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C0F56" w:rsidRDefault="00E67C6E">
      <w:pPr>
        <w:spacing w:after="0" w:line="259" w:lineRule="auto"/>
        <w:ind w:left="-1133" w:right="10817"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7560564" cy="10692383"/>
                <wp:effectExtent l="0" t="0" r="0" b="0"/>
                <wp:wrapTopAndBottom/>
                <wp:docPr id="536752" name="Group 536752"/>
                <wp:cNvGraphicFramePr/>
                <a:graphic xmlns:a="http://schemas.openxmlformats.org/drawingml/2006/main">
                  <a:graphicData uri="http://schemas.microsoft.com/office/word/2010/wordprocessingGroup">
                    <wpg:wgp>
                      <wpg:cNvGrpSpPr/>
                      <wpg:grpSpPr>
                        <a:xfrm>
                          <a:off x="0" y="0"/>
                          <a:ext cx="7560564" cy="10692383"/>
                          <a:chOff x="0" y="0"/>
                          <a:chExt cx="7560564" cy="10692383"/>
                        </a:xfrm>
                      </wpg:grpSpPr>
                      <wps:wsp>
                        <wps:cNvPr id="6" name="Rectangle 6"/>
                        <wps:cNvSpPr/>
                        <wps:spPr>
                          <a:xfrm>
                            <a:off x="3780155" y="10102362"/>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7" name="Rectangle 7"/>
                        <wps:cNvSpPr/>
                        <wps:spPr>
                          <a:xfrm>
                            <a:off x="3780155" y="7243"/>
                            <a:ext cx="59288" cy="262525"/>
                          </a:xfrm>
                          <a:prstGeom prst="rect">
                            <a:avLst/>
                          </a:prstGeom>
                          <a:ln>
                            <a:noFill/>
                          </a:ln>
                        </wps:spPr>
                        <wps:txbx>
                          <w:txbxContent>
                            <w:p w:rsidR="002C0F56" w:rsidRDefault="00E67C6E">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689283" name="Picture 689283"/>
                          <pic:cNvPicPr/>
                        </pic:nvPicPr>
                        <pic:blipFill>
                          <a:blip r:embed="rId7"/>
                          <a:stretch>
                            <a:fillRect/>
                          </a:stretch>
                        </pic:blipFill>
                        <pic:spPr>
                          <a:xfrm>
                            <a:off x="0" y="0"/>
                            <a:ext cx="7543800" cy="10664952"/>
                          </a:xfrm>
                          <a:prstGeom prst="rect">
                            <a:avLst/>
                          </a:prstGeom>
                        </pic:spPr>
                      </pic:pic>
                    </wpg:wgp>
                  </a:graphicData>
                </a:graphic>
              </wp:anchor>
            </w:drawing>
          </mc:Choice>
          <mc:Fallback xmlns:a="http://schemas.openxmlformats.org/drawingml/2006/main">
            <w:pict>
              <v:group id="Group 536752" style="width:595.32pt;height:841.92pt;position:absolute;mso-position-horizontal-relative:page;mso-position-horizontal:absolute;margin-left:0pt;mso-position-vertical-relative:page;margin-top:0pt;" coordsize="75605,106923">
                <v:rect id="Rectangle 6" style="position:absolute;width:420;height:1862;left:37801;top:101023;" filled="f" stroked="f">
                  <v:textbox inset="0,0,0,0">
                    <w:txbxContent>
                      <w:p>
                        <w:pPr>
                          <w:spacing w:before="0" w:after="160" w:line="259" w:lineRule="auto"/>
                          <w:ind w:left="0" w:firstLine="0"/>
                          <w:jc w:val="left"/>
                        </w:pPr>
                        <w:r>
                          <w:rPr>
                            <w:sz w:val="20"/>
                          </w:rPr>
                          <w:t xml:space="preserve"> </w:t>
                        </w:r>
                      </w:p>
                    </w:txbxContent>
                  </v:textbox>
                </v:rect>
                <v:rect id="Rectangle 7" style="position:absolute;width:592;height:2625;left:37801;top:72;"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w:t>
                        </w:r>
                      </w:p>
                    </w:txbxContent>
                  </v:textbox>
                </v:rect>
                <v:shape id="Picture 689283" style="position:absolute;width:75438;height:106649;left:0;top:0;" filled="f">
                  <v:imagedata r:id="rId25"/>
                </v:shape>
                <w10:wrap type="topAndBottom"/>
              </v:group>
            </w:pict>
          </mc:Fallback>
        </mc:AlternateContent>
      </w:r>
      <w:r>
        <w:br w:type="page"/>
      </w:r>
    </w:p>
    <w:p w:rsidR="002C0F56" w:rsidRDefault="00E67C6E">
      <w:pPr>
        <w:spacing w:after="218" w:line="259" w:lineRule="auto"/>
        <w:ind w:left="16" w:firstLine="0"/>
        <w:jc w:val="center"/>
      </w:pPr>
      <w:r>
        <w:rPr>
          <w:i/>
          <w:sz w:val="24"/>
        </w:rPr>
        <w:lastRenderedPageBreak/>
        <w:t xml:space="preserve"> </w:t>
      </w:r>
    </w:p>
    <w:p w:rsidR="002C0F56" w:rsidRDefault="00E67C6E">
      <w:pPr>
        <w:ind w:firstLine="0"/>
      </w:pPr>
      <w:r>
        <w:t xml:space="preserve">Частное образовательное учреждение высшего профессионального образования </w:t>
      </w:r>
    </w:p>
    <w:p w:rsidR="002C0F56" w:rsidRDefault="00E67C6E">
      <w:pPr>
        <w:spacing w:after="5" w:line="270" w:lineRule="auto"/>
        <w:ind w:left="700" w:right="737" w:hanging="10"/>
        <w:jc w:val="center"/>
      </w:pPr>
      <w:r>
        <w:rPr>
          <w:b/>
        </w:rPr>
        <w:t xml:space="preserve">«Макеевский экономико-гуманитарный институт» </w:t>
      </w:r>
    </w:p>
    <w:p w:rsidR="002C0F56" w:rsidRDefault="00E67C6E">
      <w:pPr>
        <w:spacing w:after="25" w:line="259" w:lineRule="auto"/>
        <w:ind w:left="26" w:firstLine="0"/>
        <w:jc w:val="center"/>
      </w:pPr>
      <w:r>
        <w:t xml:space="preserve"> </w:t>
      </w:r>
    </w:p>
    <w:p w:rsidR="002C0F56" w:rsidRDefault="00E67C6E">
      <w:pPr>
        <w:spacing w:after="15" w:line="268" w:lineRule="auto"/>
        <w:ind w:left="1262" w:right="1302" w:hanging="10"/>
        <w:jc w:val="center"/>
      </w:pPr>
      <w:r>
        <w:t xml:space="preserve">Частное образовательное учреждение высшего образования  </w:t>
      </w:r>
    </w:p>
    <w:p w:rsidR="002C0F56" w:rsidRDefault="00E67C6E">
      <w:pPr>
        <w:spacing w:after="5" w:line="270" w:lineRule="auto"/>
        <w:ind w:left="895" w:right="790" w:hanging="10"/>
        <w:jc w:val="center"/>
      </w:pPr>
      <w:r>
        <w:rPr>
          <w:b/>
        </w:rPr>
        <w:t>«Ростовский институт защиты предпринимателя»</w:t>
      </w:r>
      <w:r>
        <w:t xml:space="preserve">  </w:t>
      </w:r>
      <w:r>
        <w:t xml:space="preserve">(Российская Федерация) </w:t>
      </w:r>
    </w:p>
    <w:p w:rsidR="002C0F56" w:rsidRDefault="00E67C6E">
      <w:pPr>
        <w:spacing w:after="0" w:line="259" w:lineRule="auto"/>
        <w:ind w:left="26" w:firstLine="0"/>
        <w:jc w:val="center"/>
      </w:pPr>
      <w:r>
        <w:t xml:space="preserve"> </w:t>
      </w:r>
    </w:p>
    <w:p w:rsidR="002C0F56" w:rsidRDefault="00E67C6E">
      <w:pPr>
        <w:spacing w:after="0" w:line="259" w:lineRule="auto"/>
        <w:ind w:left="24" w:firstLine="0"/>
        <w:jc w:val="center"/>
      </w:pPr>
      <w:r>
        <w:rPr>
          <w:sz w:val="24"/>
        </w:rPr>
        <w:t xml:space="preserve">  </w:t>
      </w:r>
      <w:r>
        <w:rPr>
          <w:noProof/>
        </w:rPr>
        <w:drawing>
          <wp:inline distT="0" distB="0" distL="0" distR="0">
            <wp:extent cx="1269365" cy="1415415"/>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6"/>
                    <a:stretch>
                      <a:fillRect/>
                    </a:stretch>
                  </pic:blipFill>
                  <pic:spPr>
                    <a:xfrm>
                      <a:off x="0" y="0"/>
                      <a:ext cx="1269365" cy="1415415"/>
                    </a:xfrm>
                    <a:prstGeom prst="rect">
                      <a:avLst/>
                    </a:prstGeom>
                  </pic:spPr>
                </pic:pic>
              </a:graphicData>
            </a:graphic>
          </wp:inline>
        </w:drawing>
      </w:r>
      <w:r>
        <w:rPr>
          <w:sz w:val="24"/>
        </w:rPr>
        <w:t xml:space="preserve">                                         </w:t>
      </w:r>
      <w:r>
        <w:rPr>
          <w:noProof/>
        </w:rPr>
        <w:drawing>
          <wp:inline distT="0" distB="0" distL="0" distR="0">
            <wp:extent cx="1382395" cy="138176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7"/>
                    <a:stretch>
                      <a:fillRect/>
                    </a:stretch>
                  </pic:blipFill>
                  <pic:spPr>
                    <a:xfrm>
                      <a:off x="0" y="0"/>
                      <a:ext cx="1382395" cy="1381760"/>
                    </a:xfrm>
                    <a:prstGeom prst="rect">
                      <a:avLst/>
                    </a:prstGeom>
                  </pic:spPr>
                </pic:pic>
              </a:graphicData>
            </a:graphic>
          </wp:inline>
        </w:drawing>
      </w:r>
      <w:r>
        <w:t xml:space="preserve"> </w:t>
      </w:r>
    </w:p>
    <w:p w:rsidR="002C0F56" w:rsidRDefault="00E67C6E" w:rsidP="00087CE5">
      <w:pPr>
        <w:spacing w:after="0" w:line="259" w:lineRule="auto"/>
        <w:ind w:left="26" w:firstLine="0"/>
        <w:jc w:val="center"/>
      </w:pPr>
      <w:r>
        <w:t xml:space="preserve"> </w:t>
      </w:r>
    </w:p>
    <w:p w:rsidR="002C0F56" w:rsidRDefault="00E67C6E" w:rsidP="00087CE5">
      <w:pPr>
        <w:spacing w:after="0" w:line="259" w:lineRule="auto"/>
        <w:ind w:left="26" w:firstLine="0"/>
        <w:jc w:val="center"/>
      </w:pPr>
      <w:r>
        <w:t xml:space="preserve"> </w:t>
      </w:r>
      <w:r>
        <w:t xml:space="preserve"> </w:t>
      </w:r>
    </w:p>
    <w:p w:rsidR="002C0F56" w:rsidRDefault="00E67C6E">
      <w:pPr>
        <w:spacing w:after="0" w:line="259" w:lineRule="auto"/>
        <w:ind w:left="0" w:right="44" w:firstLine="0"/>
        <w:jc w:val="center"/>
      </w:pPr>
      <w:r>
        <w:rPr>
          <w:b/>
          <w:sz w:val="48"/>
        </w:rPr>
        <w:t xml:space="preserve">«ДНИ НАУКИ – 2017» </w:t>
      </w:r>
    </w:p>
    <w:p w:rsidR="002C0F56" w:rsidRDefault="00E67C6E">
      <w:pPr>
        <w:spacing w:after="38" w:line="259" w:lineRule="auto"/>
        <w:ind w:left="36" w:firstLine="0"/>
        <w:jc w:val="center"/>
      </w:pPr>
      <w:r>
        <w:rPr>
          <w:sz w:val="32"/>
        </w:rPr>
        <w:t xml:space="preserve"> </w:t>
      </w:r>
    </w:p>
    <w:p w:rsidR="002C0F56" w:rsidRDefault="00E67C6E">
      <w:pPr>
        <w:spacing w:after="17" w:line="270" w:lineRule="auto"/>
        <w:ind w:left="10" w:right="50" w:hanging="10"/>
        <w:jc w:val="center"/>
      </w:pPr>
      <w:r>
        <w:rPr>
          <w:b/>
          <w:sz w:val="32"/>
        </w:rPr>
        <w:t xml:space="preserve">СБОРНИК НАУЧНЫХ ТРУДОВ ПО РЕЗУЛЬТАТАМ </w:t>
      </w:r>
    </w:p>
    <w:p w:rsidR="002C0F56" w:rsidRDefault="00E67C6E">
      <w:pPr>
        <w:spacing w:after="17" w:line="270" w:lineRule="auto"/>
        <w:ind w:left="10" w:hanging="10"/>
        <w:jc w:val="center"/>
      </w:pPr>
      <w:r>
        <w:rPr>
          <w:b/>
          <w:sz w:val="32"/>
        </w:rPr>
        <w:t xml:space="preserve">XXIII НАУЧНО-ПРАКТИЧЕСКОЙ КОНФЕРЕНЦИИ СТУДЕНТОВ, АСПИРАНТОВ И МОЛОДЫХ УЧЕНЫХ </w:t>
      </w:r>
    </w:p>
    <w:p w:rsidR="002C0F56" w:rsidRDefault="00E67C6E">
      <w:pPr>
        <w:spacing w:after="0" w:line="259" w:lineRule="auto"/>
        <w:ind w:left="36" w:firstLine="0"/>
        <w:jc w:val="center"/>
      </w:pPr>
      <w:r>
        <w:rPr>
          <w:sz w:val="32"/>
        </w:rPr>
        <w:t xml:space="preserve"> </w:t>
      </w:r>
    </w:p>
    <w:p w:rsidR="002C0F56" w:rsidRDefault="00E67C6E">
      <w:pPr>
        <w:spacing w:after="0" w:line="259" w:lineRule="auto"/>
        <w:ind w:left="36" w:firstLine="0"/>
        <w:jc w:val="center"/>
      </w:pPr>
      <w:r>
        <w:rPr>
          <w:sz w:val="32"/>
        </w:rPr>
        <w:t xml:space="preserve"> </w:t>
      </w:r>
    </w:p>
    <w:p w:rsidR="002C0F56" w:rsidRDefault="00E67C6E">
      <w:pPr>
        <w:spacing w:after="0" w:line="259" w:lineRule="auto"/>
        <w:ind w:left="36" w:firstLine="0"/>
        <w:jc w:val="center"/>
      </w:pPr>
      <w:r>
        <w:rPr>
          <w:sz w:val="32"/>
        </w:rPr>
        <w:t xml:space="preserve"> </w:t>
      </w:r>
    </w:p>
    <w:p w:rsidR="002C0F56" w:rsidRDefault="00E67C6E">
      <w:pPr>
        <w:spacing w:after="18" w:line="259" w:lineRule="auto"/>
        <w:ind w:left="36" w:firstLine="0"/>
        <w:jc w:val="center"/>
      </w:pPr>
      <w:r>
        <w:rPr>
          <w:b/>
          <w:sz w:val="32"/>
        </w:rPr>
        <w:t xml:space="preserve"> </w:t>
      </w:r>
    </w:p>
    <w:p w:rsidR="002C0F56" w:rsidRDefault="00E67C6E" w:rsidP="00087CE5">
      <w:pPr>
        <w:spacing w:after="17" w:line="270" w:lineRule="auto"/>
        <w:ind w:left="10" w:right="43" w:hanging="10"/>
        <w:jc w:val="center"/>
      </w:pPr>
      <w:r>
        <w:rPr>
          <w:b/>
          <w:sz w:val="32"/>
        </w:rPr>
        <w:t xml:space="preserve">Том 4 </w:t>
      </w:r>
    </w:p>
    <w:p w:rsidR="002C0F56" w:rsidRDefault="00E67C6E">
      <w:pPr>
        <w:spacing w:after="0" w:line="259" w:lineRule="auto"/>
        <w:ind w:left="0" w:firstLine="0"/>
        <w:jc w:val="right"/>
      </w:pPr>
      <w:r>
        <w:rPr>
          <w:noProof/>
        </w:rPr>
        <w:drawing>
          <wp:inline distT="0" distB="0" distL="0" distR="0">
            <wp:extent cx="6087110" cy="1591310"/>
            <wp:effectExtent l="0" t="0" r="0" b="0"/>
            <wp:docPr id="73" name="Picture 73"/>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28"/>
                    <a:stretch>
                      <a:fillRect/>
                    </a:stretch>
                  </pic:blipFill>
                  <pic:spPr>
                    <a:xfrm>
                      <a:off x="0" y="0"/>
                      <a:ext cx="6087110" cy="1591310"/>
                    </a:xfrm>
                    <a:prstGeom prst="rect">
                      <a:avLst/>
                    </a:prstGeom>
                  </pic:spPr>
                </pic:pic>
              </a:graphicData>
            </a:graphic>
          </wp:inline>
        </w:drawing>
      </w:r>
      <w:r>
        <w:t xml:space="preserve"> </w:t>
      </w:r>
    </w:p>
    <w:p w:rsidR="002C0F56" w:rsidRDefault="00E67C6E" w:rsidP="00087CE5">
      <w:pPr>
        <w:spacing w:after="0" w:line="259" w:lineRule="auto"/>
        <w:ind w:left="26" w:firstLine="0"/>
        <w:jc w:val="center"/>
      </w:pPr>
      <w:r>
        <w:t xml:space="preserve"> </w:t>
      </w:r>
      <w:r>
        <w:t xml:space="preserve"> </w:t>
      </w:r>
    </w:p>
    <w:p w:rsidR="00087CE5" w:rsidRDefault="00E67C6E" w:rsidP="00087CE5">
      <w:pPr>
        <w:spacing w:after="5" w:line="270" w:lineRule="auto"/>
        <w:ind w:left="700" w:right="738" w:hanging="10"/>
        <w:jc w:val="center"/>
        <w:rPr>
          <w:b/>
        </w:rPr>
      </w:pPr>
      <w:r>
        <w:rPr>
          <w:b/>
        </w:rPr>
        <w:t xml:space="preserve">27 апреля 2017 г. </w:t>
      </w:r>
    </w:p>
    <w:p w:rsidR="002C0F56" w:rsidRPr="00087CE5" w:rsidRDefault="00E67C6E" w:rsidP="00087CE5">
      <w:pPr>
        <w:spacing w:after="5" w:line="270" w:lineRule="auto"/>
        <w:ind w:left="700" w:right="738" w:hanging="10"/>
        <w:jc w:val="center"/>
        <w:rPr>
          <w:b/>
        </w:rPr>
      </w:pPr>
      <w:r w:rsidRPr="00087CE5">
        <w:rPr>
          <w:b/>
        </w:rPr>
        <w:t xml:space="preserve">г. Макеевка </w:t>
      </w:r>
    </w:p>
    <w:p w:rsidR="002C0F56" w:rsidRDefault="00E67C6E">
      <w:pPr>
        <w:spacing w:after="0" w:line="259" w:lineRule="auto"/>
        <w:ind w:left="0" w:firstLine="0"/>
        <w:jc w:val="left"/>
      </w:pPr>
      <w:r>
        <w:rPr>
          <w:sz w:val="24"/>
        </w:rPr>
        <w:lastRenderedPageBreak/>
        <w:t xml:space="preserve"> </w:t>
      </w:r>
    </w:p>
    <w:p w:rsidR="002C0F56" w:rsidRDefault="00E67C6E">
      <w:pPr>
        <w:spacing w:after="15" w:line="271" w:lineRule="auto"/>
        <w:ind w:left="577" w:hanging="10"/>
        <w:jc w:val="left"/>
      </w:pPr>
      <w:r>
        <w:rPr>
          <w:b/>
        </w:rPr>
        <w:t xml:space="preserve">УДК001 </w:t>
      </w:r>
    </w:p>
    <w:p w:rsidR="002C0F56" w:rsidRDefault="00E67C6E">
      <w:pPr>
        <w:spacing w:after="15" w:line="271" w:lineRule="auto"/>
        <w:ind w:left="577" w:hanging="10"/>
        <w:jc w:val="left"/>
      </w:pPr>
      <w:r>
        <w:rPr>
          <w:b/>
        </w:rPr>
        <w:t xml:space="preserve">ББК65.9 </w:t>
      </w:r>
    </w:p>
    <w:p w:rsidR="002C0F56" w:rsidRDefault="00E67C6E">
      <w:pPr>
        <w:spacing w:after="25" w:line="259" w:lineRule="auto"/>
        <w:ind w:left="567" w:firstLine="0"/>
        <w:jc w:val="left"/>
      </w:pPr>
      <w:r>
        <w:t xml:space="preserve"> </w:t>
      </w:r>
    </w:p>
    <w:p w:rsidR="002C0F56" w:rsidRDefault="00E67C6E">
      <w:pPr>
        <w:spacing w:after="5" w:line="269" w:lineRule="auto"/>
        <w:ind w:left="0" w:firstLine="567"/>
        <w:jc w:val="left"/>
      </w:pPr>
      <w:r>
        <w:rPr>
          <w:i/>
        </w:rPr>
        <w:t xml:space="preserve">Рекомендовано Ученым советом Макеевского экономико-гуманитарного института </w:t>
      </w:r>
      <w:r>
        <w:t xml:space="preserve">(протокол №4 от 24.04.2017 г.). </w:t>
      </w:r>
    </w:p>
    <w:p w:rsidR="002C0F56" w:rsidRDefault="00E67C6E">
      <w:pPr>
        <w:spacing w:after="0" w:line="259" w:lineRule="auto"/>
        <w:ind w:left="567" w:firstLine="0"/>
        <w:jc w:val="left"/>
      </w:pPr>
      <w:r>
        <w:t xml:space="preserve"> </w:t>
      </w:r>
    </w:p>
    <w:p w:rsidR="002C0F56" w:rsidRDefault="00E67C6E">
      <w:pPr>
        <w:spacing w:after="24" w:line="259" w:lineRule="auto"/>
        <w:ind w:left="567" w:firstLine="0"/>
        <w:jc w:val="left"/>
      </w:pPr>
      <w:r>
        <w:t xml:space="preserve"> </w:t>
      </w:r>
    </w:p>
    <w:p w:rsidR="002C0F56" w:rsidRDefault="00E67C6E">
      <w:pPr>
        <w:ind w:left="0" w:firstLine="0"/>
      </w:pPr>
      <w:r>
        <w:rPr>
          <w:b/>
        </w:rPr>
        <w:t xml:space="preserve">Д49  </w:t>
      </w:r>
      <w:r>
        <w:t>Дни науки – 2017 : Сборник научных трудов по результатам XXIII Научно-практической кон</w:t>
      </w:r>
      <w:r>
        <w:t xml:space="preserve">ференции студентов, аспирантов и молодых ученых  </w:t>
      </w:r>
    </w:p>
    <w:p w:rsidR="002C0F56" w:rsidRDefault="00E67C6E">
      <w:pPr>
        <w:spacing w:after="12"/>
        <w:ind w:left="0" w:right="302" w:firstLine="0"/>
      </w:pPr>
      <w:r>
        <w:t xml:space="preserve">(27 апреля 2017 г.) : в 7-ми т. – Т. 4. – Макеевка : МЭГИ, 2017. – 512 c. </w:t>
      </w:r>
    </w:p>
    <w:p w:rsidR="002C0F56" w:rsidRDefault="00E67C6E">
      <w:pPr>
        <w:spacing w:after="0" w:line="259" w:lineRule="auto"/>
        <w:ind w:left="567" w:firstLine="0"/>
        <w:jc w:val="left"/>
      </w:pPr>
      <w:r>
        <w:t xml:space="preserve"> </w:t>
      </w:r>
    </w:p>
    <w:p w:rsidR="002C0F56" w:rsidRDefault="00E67C6E">
      <w:pPr>
        <w:spacing w:after="27" w:line="259" w:lineRule="auto"/>
        <w:ind w:left="567" w:firstLine="0"/>
        <w:jc w:val="left"/>
      </w:pPr>
      <w:r>
        <w:rPr>
          <w:b/>
        </w:rPr>
        <w:t xml:space="preserve"> </w:t>
      </w:r>
    </w:p>
    <w:p w:rsidR="002C0F56" w:rsidRDefault="00E67C6E">
      <w:pPr>
        <w:spacing w:after="15" w:line="271" w:lineRule="auto"/>
        <w:ind w:left="577" w:hanging="10"/>
        <w:jc w:val="left"/>
      </w:pPr>
      <w:r>
        <w:rPr>
          <w:b/>
        </w:rPr>
        <w:t>Редакционная коллегия</w:t>
      </w:r>
      <w:r>
        <w:t xml:space="preserve">: </w:t>
      </w:r>
    </w:p>
    <w:p w:rsidR="002C0F56" w:rsidRDefault="00E67C6E">
      <w:pPr>
        <w:ind w:left="0" w:right="302" w:firstLine="0"/>
      </w:pPr>
      <w:r>
        <w:rPr>
          <w:i/>
        </w:rPr>
        <w:t>Веретенников В. И.</w:t>
      </w:r>
      <w:r>
        <w:t xml:space="preserve"> –   канд. техн. наук, профессор;  </w:t>
      </w:r>
    </w:p>
    <w:p w:rsidR="002C0F56" w:rsidRDefault="00E67C6E">
      <w:pPr>
        <w:ind w:left="0" w:firstLine="0"/>
      </w:pPr>
      <w:r>
        <w:rPr>
          <w:i/>
        </w:rPr>
        <w:t>Паршина А.А.</w:t>
      </w:r>
      <w:r>
        <w:t xml:space="preserve">  –  канд. юрид. наук, доцент, член-</w:t>
      </w:r>
      <w:r>
        <w:t xml:space="preserve">корреспондент Петровской академии наук и искусств (Российская Федерация);  </w:t>
      </w:r>
    </w:p>
    <w:p w:rsidR="002C0F56" w:rsidRDefault="00E67C6E">
      <w:pPr>
        <w:ind w:left="0" w:right="302" w:firstLine="0"/>
      </w:pPr>
      <w:r>
        <w:rPr>
          <w:i/>
        </w:rPr>
        <w:t>Харченко В. Н. –</w:t>
      </w:r>
      <w:r>
        <w:t xml:space="preserve"> канд. пед. наук, профессор (Российская Федерация);  </w:t>
      </w:r>
    </w:p>
    <w:p w:rsidR="002C0F56" w:rsidRDefault="00E67C6E">
      <w:pPr>
        <w:ind w:left="0" w:right="302" w:firstLine="0"/>
      </w:pPr>
      <w:r>
        <w:rPr>
          <w:i/>
        </w:rPr>
        <w:t xml:space="preserve">Коровина З.П. – </w:t>
      </w:r>
      <w:r>
        <w:t>д-р. экон. наук, профессор</w:t>
      </w:r>
      <w:r>
        <w:rPr>
          <w:i/>
        </w:rPr>
        <w:t xml:space="preserve"> </w:t>
      </w:r>
    </w:p>
    <w:p w:rsidR="002C0F56" w:rsidRDefault="00E67C6E">
      <w:pPr>
        <w:ind w:left="0" w:right="302" w:firstLine="0"/>
      </w:pPr>
      <w:r>
        <w:rPr>
          <w:i/>
        </w:rPr>
        <w:t>Чучко Е. П.</w:t>
      </w:r>
      <w:r>
        <w:t xml:space="preserve"> – канд. экон. наук, доцент;  </w:t>
      </w:r>
    </w:p>
    <w:p w:rsidR="002C0F56" w:rsidRDefault="00E67C6E">
      <w:pPr>
        <w:spacing w:after="5" w:line="268" w:lineRule="auto"/>
        <w:ind w:left="0" w:right="3776" w:firstLine="0"/>
        <w:jc w:val="left"/>
      </w:pPr>
      <w:r>
        <w:rPr>
          <w:i/>
        </w:rPr>
        <w:t xml:space="preserve">Сизоненко О.А. </w:t>
      </w:r>
      <w:r>
        <w:t>– канд. э</w:t>
      </w:r>
      <w:r>
        <w:t xml:space="preserve">кон. наук, доцент,  </w:t>
      </w:r>
      <w:r>
        <w:rPr>
          <w:i/>
        </w:rPr>
        <w:t>Перькова Е.А.</w:t>
      </w:r>
      <w:r>
        <w:t xml:space="preserve"> – канд. экон. наук, доцент, </w:t>
      </w:r>
      <w:r>
        <w:rPr>
          <w:i/>
        </w:rPr>
        <w:t>Удалых О. А.</w:t>
      </w:r>
      <w:r>
        <w:t xml:space="preserve"> – канд. экон. наук, доцент.</w:t>
      </w:r>
      <w:r>
        <w:rPr>
          <w:sz w:val="21"/>
        </w:rPr>
        <w:t xml:space="preserve"> </w:t>
      </w:r>
    </w:p>
    <w:p w:rsidR="002C0F56" w:rsidRDefault="00E67C6E">
      <w:pPr>
        <w:spacing w:after="43" w:line="259" w:lineRule="auto"/>
        <w:ind w:left="567" w:firstLine="0"/>
        <w:jc w:val="left"/>
      </w:pPr>
      <w:r>
        <w:rPr>
          <w:sz w:val="21"/>
        </w:rPr>
        <w:t xml:space="preserve"> </w:t>
      </w:r>
    </w:p>
    <w:p w:rsidR="002C0F56" w:rsidRDefault="00E67C6E">
      <w:pPr>
        <w:spacing w:after="0" w:line="259" w:lineRule="auto"/>
        <w:ind w:left="567" w:firstLine="0"/>
        <w:jc w:val="left"/>
      </w:pPr>
      <w:r>
        <w:t xml:space="preserve"> </w:t>
      </w:r>
    </w:p>
    <w:p w:rsidR="002C0F56" w:rsidRDefault="00E67C6E">
      <w:pPr>
        <w:ind w:left="0" w:right="43"/>
      </w:pPr>
      <w:r>
        <w:t xml:space="preserve">В сборнике представлены результаты научных исследований участников XXIII Научно-практической конференции студентов, аспирантов </w:t>
      </w:r>
      <w:r>
        <w:t>и молодых ученых, проводимой в рамках Республиканского научного форума «Дни науки – 2017» по направлениям: «Экономика и управление предприятиями»,  «Финансы и кредит», «Бухгалтерский учет, анализ и аудит», «Экономическая теория, менеджмент, экология, безоп</w:t>
      </w:r>
      <w:r>
        <w:t>асность жизнедеятельности, математика, информационные системы», «Современная психология: теория и практика</w:t>
      </w:r>
      <w:r>
        <w:rPr>
          <w:i/>
        </w:rPr>
        <w:t>», «</w:t>
      </w:r>
      <w:r>
        <w:t>Философия, социология и история», «Право</w:t>
      </w:r>
      <w:r>
        <w:rPr>
          <w:i/>
        </w:rPr>
        <w:t>», «</w:t>
      </w:r>
      <w:r>
        <w:t>Зарубежная филология»</w:t>
      </w:r>
      <w:r>
        <w:rPr>
          <w:i/>
        </w:rPr>
        <w:t xml:space="preserve">, </w:t>
      </w:r>
      <w:r>
        <w:t xml:space="preserve">«Русский язык и литература». </w:t>
      </w:r>
    </w:p>
    <w:p w:rsidR="002C0F56" w:rsidRDefault="00E67C6E">
      <w:pPr>
        <w:ind w:left="0" w:right="45"/>
      </w:pPr>
      <w:r>
        <w:t>Работы печатаются в авторской редакции. Редакцион</w:t>
      </w:r>
      <w:r>
        <w:t xml:space="preserve">ная коллегия не несет ответственности за достоверность статистической и прочей информации, представленной в рукописях, и может не разделять взглядов авторов на те или иные вопросы. </w:t>
      </w:r>
    </w:p>
    <w:p w:rsidR="002C0F56" w:rsidRDefault="00E67C6E" w:rsidP="00E67C6E">
      <w:pPr>
        <w:spacing w:after="0" w:line="259" w:lineRule="auto"/>
        <w:ind w:left="567" w:firstLine="0"/>
        <w:jc w:val="left"/>
      </w:pPr>
      <w:r>
        <w:t xml:space="preserve"> </w:t>
      </w:r>
    </w:p>
    <w:p w:rsidR="002C0F56" w:rsidRDefault="00E67C6E">
      <w:pPr>
        <w:spacing w:after="23" w:line="259" w:lineRule="auto"/>
        <w:ind w:left="10" w:right="46" w:hanging="10"/>
        <w:jc w:val="right"/>
      </w:pPr>
      <w:r>
        <w:rPr>
          <w:sz w:val="24"/>
        </w:rPr>
        <w:t xml:space="preserve">© Макеевский экономико-гуманитарный институт, 2017 </w:t>
      </w:r>
    </w:p>
    <w:p w:rsidR="002C0F56" w:rsidRDefault="00E67C6E">
      <w:pPr>
        <w:spacing w:after="31" w:line="259" w:lineRule="auto"/>
        <w:ind w:left="26" w:firstLine="0"/>
        <w:jc w:val="center"/>
      </w:pPr>
      <w:r>
        <w:rPr>
          <w:b/>
        </w:rPr>
        <w:lastRenderedPageBreak/>
        <w:t xml:space="preserve"> </w:t>
      </w:r>
    </w:p>
    <w:p w:rsidR="002C0F56" w:rsidRDefault="00E67C6E">
      <w:pPr>
        <w:spacing w:after="4" w:line="266" w:lineRule="auto"/>
        <w:ind w:left="729" w:right="1093" w:firstLine="449"/>
      </w:pPr>
      <w:r>
        <w:rPr>
          <w:noProof/>
        </w:rPr>
        <w:drawing>
          <wp:anchor distT="0" distB="0" distL="114300" distR="114300" simplePos="0" relativeHeight="251659264" behindDoc="0" locked="0" layoutInCell="1" allowOverlap="0">
            <wp:simplePos x="0" y="0"/>
            <wp:positionH relativeFrom="column">
              <wp:posOffset>203962</wp:posOffset>
            </wp:positionH>
            <wp:positionV relativeFrom="paragraph">
              <wp:posOffset>-44339</wp:posOffset>
            </wp:positionV>
            <wp:extent cx="1807845" cy="2514600"/>
            <wp:effectExtent l="0" t="0" r="0" b="0"/>
            <wp:wrapSquare wrapText="bothSides"/>
            <wp:docPr id="368" name="Picture 368"/>
            <wp:cNvGraphicFramePr/>
            <a:graphic xmlns:a="http://schemas.openxmlformats.org/drawingml/2006/main">
              <a:graphicData uri="http://schemas.openxmlformats.org/drawingml/2006/picture">
                <pic:pic xmlns:pic="http://schemas.openxmlformats.org/drawingml/2006/picture">
                  <pic:nvPicPr>
                    <pic:cNvPr id="368" name="Picture 368"/>
                    <pic:cNvPicPr/>
                  </pic:nvPicPr>
                  <pic:blipFill>
                    <a:blip r:embed="rId29"/>
                    <a:stretch>
                      <a:fillRect/>
                    </a:stretch>
                  </pic:blipFill>
                  <pic:spPr>
                    <a:xfrm>
                      <a:off x="0" y="0"/>
                      <a:ext cx="1807845" cy="2514600"/>
                    </a:xfrm>
                    <a:prstGeom prst="rect">
                      <a:avLst/>
                    </a:prstGeom>
                  </pic:spPr>
                </pic:pic>
              </a:graphicData>
            </a:graphic>
          </wp:anchor>
        </w:drawing>
      </w:r>
      <w:r>
        <w:rPr>
          <w:b/>
          <w:i/>
        </w:rPr>
        <w:t>Уважаемые участники</w:t>
      </w:r>
      <w:r>
        <w:rPr>
          <w:b/>
          <w:i/>
          <w:color w:val="094D58"/>
        </w:rPr>
        <w:t xml:space="preserve"> </w:t>
      </w:r>
      <w:r>
        <w:rPr>
          <w:b/>
          <w:i/>
        </w:rPr>
        <w:t>научно-практического форума  «Дни науки – 2017»!</w:t>
      </w:r>
      <w:r>
        <w:t xml:space="preserve"> </w:t>
      </w:r>
    </w:p>
    <w:p w:rsidR="002C0F56" w:rsidRDefault="00E67C6E">
      <w:pPr>
        <w:spacing w:after="25" w:line="259" w:lineRule="auto"/>
        <w:ind w:left="321" w:firstLine="0"/>
        <w:jc w:val="left"/>
      </w:pPr>
      <w:r>
        <w:t xml:space="preserve"> </w:t>
      </w:r>
    </w:p>
    <w:p w:rsidR="002C0F56" w:rsidRDefault="00E67C6E">
      <w:pPr>
        <w:spacing w:after="11" w:line="270" w:lineRule="auto"/>
        <w:ind w:left="331" w:right="263" w:hanging="10"/>
        <w:jc w:val="right"/>
      </w:pPr>
      <w:r>
        <w:t xml:space="preserve">Мы искренне рады возможности обратиться к </w:t>
      </w:r>
    </w:p>
    <w:p w:rsidR="002C0F56" w:rsidRDefault="00E67C6E">
      <w:pPr>
        <w:spacing w:after="15" w:line="268" w:lineRule="auto"/>
        <w:ind w:left="1262" w:right="930" w:hanging="10"/>
        <w:jc w:val="center"/>
      </w:pPr>
      <w:r>
        <w:t>Вам со словами приветствия и благодарности за интерес, проявленный к научным мероприятиям, организованным Макеевским экономико</w:t>
      </w:r>
      <w:r>
        <w:t xml:space="preserve">гуманитарным институтом! </w:t>
      </w:r>
    </w:p>
    <w:p w:rsidR="002C0F56" w:rsidRDefault="00E67C6E">
      <w:pPr>
        <w:spacing w:after="450" w:line="259" w:lineRule="auto"/>
        <w:ind w:left="321" w:firstLine="0"/>
        <w:jc w:val="center"/>
      </w:pPr>
      <w:r>
        <w:t xml:space="preserve"> </w:t>
      </w:r>
    </w:p>
    <w:p w:rsidR="002C0F56" w:rsidRDefault="00E67C6E">
      <w:pPr>
        <w:spacing w:after="0" w:line="259" w:lineRule="auto"/>
        <w:ind w:left="321" w:firstLine="0"/>
        <w:jc w:val="left"/>
      </w:pPr>
      <w:r>
        <w:t xml:space="preserve"> </w:t>
      </w:r>
    </w:p>
    <w:p w:rsidR="002C0F56" w:rsidRDefault="00E67C6E">
      <w:pPr>
        <w:spacing w:after="25" w:line="259" w:lineRule="auto"/>
        <w:ind w:left="26" w:firstLine="0"/>
        <w:jc w:val="center"/>
      </w:pPr>
      <w:r>
        <w:t xml:space="preserve"> </w:t>
      </w:r>
    </w:p>
    <w:p w:rsidR="002C0F56" w:rsidRDefault="00E67C6E">
      <w:pPr>
        <w:ind w:left="0" w:right="41"/>
      </w:pPr>
      <w:r>
        <w:t>Проведение научных конференций  – одна из традиций нашего ВУЗа, которая не нарушается вот уже 23 года. В этом году в рамках Научнопрактического форума  «Дни науки – 2017» Макеевским экономикогуманитарным институтом были запл</w:t>
      </w:r>
      <w:r>
        <w:t>анированы и проведены три масштабных мероприятия: ХХIII Научно-практическая конференция студентов, аспирантов и молодых ученых, II Международная научно-практическая Интернетконференция «Экономика и право: становление, развитие, трансформация» и II Междунар</w:t>
      </w:r>
      <w:r>
        <w:t xml:space="preserve">одная научно-практическая Интернет-конференция «Гуманитарный вектор развития современного общества».  </w:t>
      </w:r>
    </w:p>
    <w:p w:rsidR="002C0F56" w:rsidRDefault="00E67C6E">
      <w:pPr>
        <w:ind w:left="0" w:right="44"/>
      </w:pPr>
      <w:r>
        <w:t>Площадка, организованная для обмена результатами научной работы,  позволила объединить людей из разных стран, обменяться мнениями об актуальных проблемах</w:t>
      </w:r>
      <w:r>
        <w:t xml:space="preserve"> экономического и социального развития, обсудить важнейшие вопросы адаптации субъектов различных уровней к современным вызовам экономико-правового и гуманитарного характера. </w:t>
      </w:r>
    </w:p>
    <w:p w:rsidR="002C0F56" w:rsidRDefault="00E67C6E">
      <w:pPr>
        <w:ind w:left="0" w:right="43"/>
      </w:pPr>
      <w:r>
        <w:t xml:space="preserve"> В работе форума приняли очное и заочное участие более 900 представителей высшего</w:t>
      </w:r>
      <w:r>
        <w:t xml:space="preserve"> и среднего образования: преподаватели, студенты, школьники, аспиранты учебных заведений Донецкой Народной Республики, Луганской Народной Республики, Республики Беларусь, Казахстана, Таджикистана, Азербайджана, Узбекистана, Молдовы, Приднестровья, Российск</w:t>
      </w:r>
      <w:r>
        <w:t xml:space="preserve">ой Федерации, в том числе Дагестана, Башкортостана, Удмуртии, Татарстана, Республики Марий Эл.  </w:t>
      </w:r>
    </w:p>
    <w:p w:rsidR="002C0F56" w:rsidRDefault="00E67C6E">
      <w:pPr>
        <w:ind w:left="0" w:right="43"/>
      </w:pPr>
      <w:r>
        <w:t>Отмечая  высокий уровень научных исследований, редколлегия  благодарит всех участников форума за неоценимый вклад в развитие науки и практики. Особая благодарн</w:t>
      </w:r>
      <w:r>
        <w:t xml:space="preserve">ость научным руководителям начинающих исследователей. Вы, способствуя формированию интереса к научной деятельности у современной молодежи, закладываете крепкий фундамент нашего будущего. </w:t>
      </w:r>
      <w:r>
        <w:lastRenderedPageBreak/>
        <w:t>Молодой человек должен верить в силу своего знания, свой талант. Поэт</w:t>
      </w:r>
      <w:r>
        <w:t xml:space="preserve">ому мы ежегодно проводим конференцию и даем возможность школьникам, студентам, магистрантам, аспирантам опубликовать свои исследования на бесплатной основе. </w:t>
      </w:r>
    </w:p>
    <w:p w:rsidR="002C0F56" w:rsidRDefault="00E67C6E">
      <w:pPr>
        <w:ind w:left="0" w:right="42"/>
      </w:pPr>
      <w:r>
        <w:t>Отдельно хотелось бы высказать слова признательности ВУЗу-партнеру нашей конференции – ЧОУ ВО «Рос</w:t>
      </w:r>
      <w:r>
        <w:t xml:space="preserve">товский институт защиты предпринимателя» в лице ректора, проф. </w:t>
      </w:r>
      <w:r>
        <w:rPr>
          <w:i/>
        </w:rPr>
        <w:t>Паршиной А.А.</w:t>
      </w:r>
      <w:r>
        <w:t xml:space="preserve"> и проректора по науке и инновационному развитию, проф. </w:t>
      </w:r>
      <w:r>
        <w:rPr>
          <w:i/>
        </w:rPr>
        <w:t>Харченко В.Н.</w:t>
      </w:r>
      <w:r>
        <w:t xml:space="preserve"> за оказанное содействие.  </w:t>
      </w:r>
    </w:p>
    <w:p w:rsidR="002C0F56" w:rsidRDefault="00E67C6E">
      <w:pPr>
        <w:spacing w:after="2"/>
        <w:ind w:left="0" w:right="50"/>
      </w:pPr>
      <w:r>
        <w:t xml:space="preserve">Искренне надеемся, что проведение подобных мероприятий позволит обогатить  научный </w:t>
      </w:r>
      <w:r>
        <w:t xml:space="preserve">поиск, приобрести новые знания, расширить круг научных связей. Желаем всем участникам форума  плодотворной работы и творческого вдохновения. </w:t>
      </w:r>
    </w:p>
    <w:p w:rsidR="002C0F56" w:rsidRDefault="00E67C6E">
      <w:pPr>
        <w:spacing w:after="23" w:line="259" w:lineRule="auto"/>
        <w:ind w:left="540" w:firstLine="0"/>
        <w:jc w:val="left"/>
      </w:pPr>
      <w:r>
        <w:t xml:space="preserve"> </w:t>
      </w:r>
    </w:p>
    <w:p w:rsidR="002C0F56" w:rsidRDefault="00E67C6E">
      <w:pPr>
        <w:spacing w:after="5" w:line="269" w:lineRule="auto"/>
        <w:ind w:left="550" w:hanging="10"/>
        <w:jc w:val="left"/>
      </w:pPr>
      <w:r>
        <w:rPr>
          <w:i/>
        </w:rPr>
        <w:t xml:space="preserve">С уважением,  </w:t>
      </w:r>
    </w:p>
    <w:p w:rsidR="002C0F56" w:rsidRDefault="00E67C6E">
      <w:pPr>
        <w:spacing w:after="5" w:line="269" w:lineRule="auto"/>
        <w:ind w:left="550" w:right="3340" w:hanging="10"/>
        <w:jc w:val="left"/>
      </w:pPr>
      <w:r>
        <w:rPr>
          <w:i/>
        </w:rPr>
        <w:t xml:space="preserve">ректор Макеевского экономико- гуманитарного института, профессор  </w:t>
      </w:r>
      <w:r>
        <w:rPr>
          <w:b/>
        </w:rPr>
        <w:t>Виталий Иванович Веретенников</w:t>
      </w: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540" w:firstLine="0"/>
        <w:jc w:val="left"/>
      </w:pPr>
      <w:r>
        <w:t xml:space="preserve"> </w:t>
      </w:r>
    </w:p>
    <w:p w:rsidR="002C0F56" w:rsidRDefault="00E67C6E">
      <w:pPr>
        <w:spacing w:after="0" w:line="259" w:lineRule="auto"/>
        <w:ind w:left="0" w:firstLine="0"/>
        <w:jc w:val="right"/>
      </w:pPr>
      <w:r>
        <w:rPr>
          <w:noProof/>
        </w:rPr>
        <w:drawing>
          <wp:inline distT="0" distB="0" distL="0" distR="0">
            <wp:extent cx="6087110" cy="1591310"/>
            <wp:effectExtent l="0" t="0" r="0" b="0"/>
            <wp:docPr id="569" name="Picture 569"/>
            <wp:cNvGraphicFramePr/>
            <a:graphic xmlns:a="http://schemas.openxmlformats.org/drawingml/2006/main">
              <a:graphicData uri="http://schemas.openxmlformats.org/drawingml/2006/picture">
                <pic:pic xmlns:pic="http://schemas.openxmlformats.org/drawingml/2006/picture">
                  <pic:nvPicPr>
                    <pic:cNvPr id="569" name="Picture 569"/>
                    <pic:cNvPicPr/>
                  </pic:nvPicPr>
                  <pic:blipFill>
                    <a:blip r:embed="rId28"/>
                    <a:stretch>
                      <a:fillRect/>
                    </a:stretch>
                  </pic:blipFill>
                  <pic:spPr>
                    <a:xfrm>
                      <a:off x="0" y="0"/>
                      <a:ext cx="6087110" cy="1591310"/>
                    </a:xfrm>
                    <a:prstGeom prst="rect">
                      <a:avLst/>
                    </a:prstGeom>
                  </pic:spPr>
                </pic:pic>
              </a:graphicData>
            </a:graphic>
          </wp:inline>
        </w:drawing>
      </w:r>
      <w:r>
        <w:rPr>
          <w:b/>
        </w:rPr>
        <w:t xml:space="preserve"> </w:t>
      </w:r>
    </w:p>
    <w:p w:rsidR="002C0F56" w:rsidRDefault="002C0F56">
      <w:pPr>
        <w:sectPr w:rsidR="002C0F56">
          <w:headerReference w:type="even" r:id="rId30"/>
          <w:headerReference w:type="default" r:id="rId31"/>
          <w:footerReference w:type="even" r:id="rId32"/>
          <w:footerReference w:type="default" r:id="rId33"/>
          <w:headerReference w:type="first" r:id="rId34"/>
          <w:footerReference w:type="first" r:id="rId35"/>
          <w:pgSz w:w="11906" w:h="16838"/>
          <w:pgMar w:top="717" w:right="1089" w:bottom="709" w:left="1133" w:header="720" w:footer="720" w:gutter="0"/>
          <w:cols w:space="720"/>
          <w:titlePg/>
        </w:sectPr>
      </w:pPr>
    </w:p>
    <w:p w:rsidR="002C0F56" w:rsidRDefault="00E67C6E">
      <w:pPr>
        <w:spacing w:after="15" w:line="268" w:lineRule="auto"/>
        <w:ind w:left="1262" w:right="1320" w:hanging="10"/>
        <w:jc w:val="center"/>
      </w:pPr>
      <w:r>
        <w:lastRenderedPageBreak/>
        <w:t xml:space="preserve">СОДЕРЖАНИЕ  </w:t>
      </w:r>
    </w:p>
    <w:p w:rsidR="002C0F56" w:rsidRDefault="00E67C6E">
      <w:pPr>
        <w:spacing w:after="28" w:line="259" w:lineRule="auto"/>
        <w:ind w:left="0" w:firstLine="0"/>
        <w:jc w:val="center"/>
      </w:pPr>
      <w:r>
        <w:rPr>
          <w:b/>
          <w:i/>
        </w:rPr>
        <w:t xml:space="preserve"> </w:t>
      </w:r>
    </w:p>
    <w:p w:rsidR="002C0F56" w:rsidRDefault="00E67C6E">
      <w:pPr>
        <w:spacing w:after="0" w:line="259" w:lineRule="auto"/>
        <w:ind w:left="0" w:right="70" w:firstLine="0"/>
        <w:jc w:val="center"/>
      </w:pPr>
      <w:r>
        <w:rPr>
          <w:b/>
          <w:i/>
        </w:rPr>
        <w:t xml:space="preserve">Том седьмой </w:t>
      </w:r>
    </w:p>
    <w:p w:rsidR="002C0F56" w:rsidRDefault="00E67C6E">
      <w:pPr>
        <w:spacing w:after="28" w:line="259" w:lineRule="auto"/>
        <w:ind w:left="0" w:firstLine="0"/>
        <w:jc w:val="center"/>
      </w:pPr>
      <w:r>
        <w:t xml:space="preserve"> </w:t>
      </w:r>
    </w:p>
    <w:p w:rsidR="002C0F56" w:rsidRDefault="00E67C6E">
      <w:pPr>
        <w:pStyle w:val="3"/>
        <w:ind w:right="0"/>
      </w:pPr>
      <w:r>
        <w:rPr>
          <w:b w:val="0"/>
        </w:rPr>
        <w:t>Секция 4</w:t>
      </w:r>
      <w:r>
        <w:t xml:space="preserve">: </w:t>
      </w:r>
      <w:r>
        <w:t xml:space="preserve">Экономическая теория, менеджмент, экология, безопасность жизнедеятельности, математика, информационные системы </w:t>
      </w:r>
    </w:p>
    <w:p w:rsidR="002C0F56" w:rsidRDefault="00E67C6E">
      <w:pPr>
        <w:tabs>
          <w:tab w:val="center" w:pos="4878"/>
          <w:tab w:val="right" w:pos="9711"/>
        </w:tabs>
        <w:spacing w:after="0" w:line="259" w:lineRule="auto"/>
        <w:ind w:left="0" w:firstLine="0"/>
        <w:jc w:val="left"/>
      </w:pPr>
      <w:r>
        <w:rPr>
          <w:rFonts w:ascii="Calibri" w:eastAsia="Calibri" w:hAnsi="Calibri" w:cs="Calibri"/>
          <w:sz w:val="22"/>
        </w:rPr>
        <w:tab/>
      </w:r>
      <w:r>
        <w:rPr>
          <w:noProof/>
        </w:rPr>
        <w:drawing>
          <wp:inline distT="0" distB="0" distL="0" distR="0">
            <wp:extent cx="5715000" cy="94615"/>
            <wp:effectExtent l="0" t="0" r="0" b="0"/>
            <wp:docPr id="596" name="Picture 596"/>
            <wp:cNvGraphicFramePr/>
            <a:graphic xmlns:a="http://schemas.openxmlformats.org/drawingml/2006/main">
              <a:graphicData uri="http://schemas.openxmlformats.org/drawingml/2006/picture">
                <pic:pic xmlns:pic="http://schemas.openxmlformats.org/drawingml/2006/picture">
                  <pic:nvPicPr>
                    <pic:cNvPr id="596" name="Picture 596"/>
                    <pic:cNvPicPr/>
                  </pic:nvPicPr>
                  <pic:blipFill>
                    <a:blip r:embed="rId36"/>
                    <a:stretch>
                      <a:fillRect/>
                    </a:stretch>
                  </pic:blipFill>
                  <pic:spPr>
                    <a:xfrm>
                      <a:off x="0" y="0"/>
                      <a:ext cx="5715000" cy="94615"/>
                    </a:xfrm>
                    <a:prstGeom prst="rect">
                      <a:avLst/>
                    </a:prstGeom>
                  </pic:spPr>
                </pic:pic>
              </a:graphicData>
            </a:graphic>
          </wp:inline>
        </w:drawing>
      </w:r>
      <w:r>
        <w:rPr>
          <w:b/>
        </w:rPr>
        <w:tab/>
        <w:t xml:space="preserve"> </w:t>
      </w:r>
    </w:p>
    <w:p w:rsidR="002C0F56" w:rsidRDefault="00E67C6E">
      <w:pPr>
        <w:spacing w:after="5" w:line="271" w:lineRule="auto"/>
        <w:ind w:left="-5" w:hanging="10"/>
        <w:jc w:val="left"/>
      </w:pPr>
      <w:r>
        <w:rPr>
          <w:sz w:val="24"/>
        </w:rPr>
        <w:t xml:space="preserve">Абдурахманова К.К.  </w:t>
      </w:r>
    </w:p>
    <w:p w:rsidR="002C0F56" w:rsidRDefault="00E67C6E">
      <w:pPr>
        <w:spacing w:after="5" w:line="271" w:lineRule="auto"/>
        <w:ind w:left="-5" w:hanging="10"/>
        <w:jc w:val="left"/>
      </w:pPr>
      <w:r>
        <w:rPr>
          <w:sz w:val="24"/>
        </w:rPr>
        <w:t xml:space="preserve">Научный руководитель: Бычкова Н.А.  </w:t>
      </w:r>
    </w:p>
    <w:p w:rsidR="002C0F56" w:rsidRDefault="00E67C6E">
      <w:pPr>
        <w:spacing w:after="5" w:line="271" w:lineRule="auto"/>
        <w:ind w:left="-5" w:hanging="10"/>
        <w:jc w:val="left"/>
      </w:pPr>
      <w:r>
        <w:rPr>
          <w:sz w:val="24"/>
        </w:rPr>
        <w:t xml:space="preserve">СИСТЕМА УПРАВЛЕНИЯ КАРЬЕРОЙ МУНИЦИПАЛЬНЫХ СЛУЖАЩИХ ---------------- 18 </w:t>
      </w:r>
    </w:p>
    <w:p w:rsidR="002C0F56" w:rsidRDefault="00E67C6E">
      <w:pPr>
        <w:spacing w:after="22"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Адамчук В.А, Гончарик Н. А </w:t>
      </w:r>
    </w:p>
    <w:p w:rsidR="002C0F56" w:rsidRDefault="00E67C6E">
      <w:pPr>
        <w:spacing w:after="5" w:line="271" w:lineRule="auto"/>
        <w:ind w:left="-5" w:hanging="10"/>
        <w:jc w:val="left"/>
      </w:pPr>
      <w:r>
        <w:rPr>
          <w:sz w:val="24"/>
        </w:rPr>
        <w:t xml:space="preserve">Научный руководитель: Рыбальченко Н.Л </w:t>
      </w:r>
    </w:p>
    <w:p w:rsidR="002C0F56" w:rsidRDefault="00E67C6E">
      <w:pPr>
        <w:spacing w:after="5" w:line="271" w:lineRule="auto"/>
        <w:ind w:left="-5" w:hanging="10"/>
        <w:jc w:val="left"/>
      </w:pPr>
      <w:r>
        <w:rPr>
          <w:sz w:val="24"/>
        </w:rPr>
        <w:t xml:space="preserve">ДЕМОГРАФИЧЕСКИЙ ПОТЕНЦИАЛ РЕСПУБЛИКИ БЕЛАРУСЬ ----------------------------- 20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Алексеева М.С.  </w:t>
      </w:r>
    </w:p>
    <w:p w:rsidR="002C0F56" w:rsidRDefault="00E67C6E">
      <w:pPr>
        <w:spacing w:after="5" w:line="271" w:lineRule="auto"/>
        <w:ind w:left="-5" w:hanging="10"/>
        <w:jc w:val="left"/>
      </w:pPr>
      <w:r>
        <w:rPr>
          <w:sz w:val="24"/>
        </w:rPr>
        <w:t xml:space="preserve">Научный руководитель: Бойкив Н.Ю.  </w:t>
      </w:r>
    </w:p>
    <w:p w:rsidR="002C0F56" w:rsidRDefault="00E67C6E">
      <w:pPr>
        <w:spacing w:after="5" w:line="271" w:lineRule="auto"/>
        <w:ind w:left="-5" w:hanging="10"/>
        <w:jc w:val="left"/>
      </w:pPr>
      <w:r>
        <w:rPr>
          <w:sz w:val="24"/>
        </w:rPr>
        <w:t>АНАЛИЗ СОДЕРЖАНИЯ ПЫЛИ В РАБОЧЕЙ ЗОНЕ ХИМИЧЕСКОЙ ЛАБОР</w:t>
      </w:r>
      <w:r>
        <w:rPr>
          <w:sz w:val="24"/>
        </w:rPr>
        <w:t xml:space="preserve">АТОРИИ -- 24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Антоненко Е.Г.  </w:t>
      </w:r>
    </w:p>
    <w:p w:rsidR="002C0F56" w:rsidRDefault="00E67C6E">
      <w:pPr>
        <w:spacing w:after="5" w:line="271" w:lineRule="auto"/>
        <w:ind w:left="-5" w:hanging="10"/>
        <w:jc w:val="left"/>
      </w:pPr>
      <w:r>
        <w:rPr>
          <w:sz w:val="24"/>
        </w:rPr>
        <w:t xml:space="preserve">Научный руководитель: Куликовская Е.В.  </w:t>
      </w:r>
    </w:p>
    <w:p w:rsidR="002C0F56" w:rsidRDefault="00E67C6E">
      <w:pPr>
        <w:spacing w:after="5" w:line="271" w:lineRule="auto"/>
        <w:ind w:left="-5" w:hanging="10"/>
        <w:jc w:val="left"/>
      </w:pPr>
      <w:r>
        <w:rPr>
          <w:sz w:val="24"/>
        </w:rPr>
        <w:t xml:space="preserve">ФИНАНСОВАЯ УСТОЙЧИВОСТЬ ПРЕДПРИЯТИЯ И ЕЕ ОЦЕНКА --------------------------- 28 </w:t>
      </w:r>
    </w:p>
    <w:p w:rsidR="002C0F56" w:rsidRDefault="00E67C6E">
      <w:pPr>
        <w:spacing w:after="22"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Астукевич Э.В., Якубовская Н.Д.  </w:t>
      </w:r>
    </w:p>
    <w:p w:rsidR="002C0F56" w:rsidRDefault="00E67C6E">
      <w:pPr>
        <w:spacing w:after="5" w:line="271" w:lineRule="auto"/>
        <w:ind w:left="-5" w:hanging="10"/>
        <w:jc w:val="left"/>
      </w:pPr>
      <w:r>
        <w:rPr>
          <w:sz w:val="24"/>
        </w:rPr>
        <w:t xml:space="preserve">Научный руководитель: Климченя Л.С.,к. э. н., доц.  </w:t>
      </w:r>
    </w:p>
    <w:p w:rsidR="002C0F56" w:rsidRDefault="00E67C6E">
      <w:pPr>
        <w:spacing w:after="5" w:line="271" w:lineRule="auto"/>
        <w:ind w:left="-5" w:hanging="10"/>
        <w:jc w:val="left"/>
      </w:pPr>
      <w:r>
        <w:rPr>
          <w:sz w:val="24"/>
        </w:rPr>
        <w:t>МОНИТОРИНГ ЦЕ</w:t>
      </w:r>
      <w:r>
        <w:rPr>
          <w:sz w:val="24"/>
        </w:rPr>
        <w:t xml:space="preserve">НОВОЙ СИТУАЦИИ НА РЫНКЕ ЖИЛОЙ НЕДВИЖИМОСТИ-------- 31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Байдюк Е.В </w:t>
      </w:r>
    </w:p>
    <w:p w:rsidR="002C0F56" w:rsidRDefault="00E67C6E">
      <w:pPr>
        <w:spacing w:after="5" w:line="271" w:lineRule="auto"/>
        <w:ind w:left="-5" w:hanging="10"/>
        <w:jc w:val="left"/>
      </w:pPr>
      <w:r>
        <w:rPr>
          <w:sz w:val="24"/>
        </w:rPr>
        <w:t xml:space="preserve">Научный руководитель: Бордачев В.С.  </w:t>
      </w:r>
    </w:p>
    <w:p w:rsidR="002C0F56" w:rsidRDefault="00E67C6E">
      <w:pPr>
        <w:spacing w:after="5" w:line="271" w:lineRule="auto"/>
        <w:ind w:left="-5" w:hanging="10"/>
        <w:jc w:val="left"/>
      </w:pPr>
      <w:r>
        <w:rPr>
          <w:sz w:val="24"/>
        </w:rPr>
        <w:t xml:space="preserve">СПОРТИВНАЯ ГИМНАСТИКА --------------------------------------------------------------------------- 33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Баталова М.А., Зыкова Т.В.  </w:t>
      </w:r>
    </w:p>
    <w:p w:rsidR="002C0F56" w:rsidRDefault="00E67C6E">
      <w:pPr>
        <w:spacing w:after="5" w:line="271" w:lineRule="auto"/>
        <w:ind w:left="-5" w:hanging="10"/>
        <w:jc w:val="left"/>
      </w:pPr>
      <w:r>
        <w:rPr>
          <w:sz w:val="24"/>
        </w:rPr>
        <w:t xml:space="preserve">Научный руководитель: Погорелая Т. А.  </w:t>
      </w:r>
    </w:p>
    <w:p w:rsidR="002C0F56" w:rsidRDefault="00E67C6E">
      <w:pPr>
        <w:spacing w:after="5" w:line="271" w:lineRule="auto"/>
        <w:ind w:left="-5" w:hanging="10"/>
        <w:jc w:val="left"/>
      </w:pPr>
      <w:r>
        <w:rPr>
          <w:sz w:val="24"/>
        </w:rPr>
        <w:t xml:space="preserve">ОСОБЕННОСТИ РАЗВИТИЯ ВНЕШНЕТОРГОВЫХ СВЯЗЕЙ КУЗБАССА В 2016 Г. ------ 37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Бартош Ю.В.  </w:t>
      </w:r>
    </w:p>
    <w:p w:rsidR="002C0F56" w:rsidRDefault="00E67C6E">
      <w:pPr>
        <w:spacing w:after="5" w:line="271" w:lineRule="auto"/>
        <w:ind w:left="-5" w:hanging="10"/>
        <w:jc w:val="left"/>
      </w:pPr>
      <w:r>
        <w:rPr>
          <w:sz w:val="24"/>
        </w:rPr>
        <w:t xml:space="preserve">Научный руководитель: Куликовская Е.В.  </w:t>
      </w:r>
    </w:p>
    <w:p w:rsidR="002C0F56" w:rsidRDefault="00E67C6E">
      <w:pPr>
        <w:spacing w:after="5" w:line="271" w:lineRule="auto"/>
        <w:ind w:left="-5" w:hanging="10"/>
        <w:jc w:val="left"/>
      </w:pPr>
      <w:r>
        <w:rPr>
          <w:sz w:val="24"/>
        </w:rPr>
        <w:t xml:space="preserve">ИННОВАЦИОННАЯ ДЕЯТЕЛЬНОСТЬ В РЕСПУБЛИКЕ БЕЛАРУСЬ: ПРОБЛЕМЫ И </w:t>
      </w:r>
    </w:p>
    <w:p w:rsidR="002C0F56" w:rsidRDefault="00E67C6E">
      <w:pPr>
        <w:spacing w:after="5" w:line="271" w:lineRule="auto"/>
        <w:ind w:left="-5" w:hanging="10"/>
        <w:jc w:val="left"/>
      </w:pPr>
      <w:r>
        <w:rPr>
          <w:sz w:val="24"/>
        </w:rPr>
        <w:t>ПЕРСПЕКТИВЫ РАЗВИТИЯ</w:t>
      </w:r>
      <w:r>
        <w:rPr>
          <w:sz w:val="24"/>
        </w:rPr>
        <w:t xml:space="preserve"> ------------------------------------------------------------------------------ 42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Бернякович Е.А.  </w:t>
      </w:r>
    </w:p>
    <w:p w:rsidR="002C0F56" w:rsidRDefault="00E67C6E">
      <w:pPr>
        <w:spacing w:after="5" w:line="271" w:lineRule="auto"/>
        <w:ind w:left="-5" w:hanging="10"/>
        <w:jc w:val="left"/>
      </w:pPr>
      <w:r>
        <w:rPr>
          <w:sz w:val="24"/>
        </w:rPr>
        <w:lastRenderedPageBreak/>
        <w:t xml:space="preserve">Научный руководитель: Савельева Е.В., к.э.н., доц.  </w:t>
      </w:r>
    </w:p>
    <w:p w:rsidR="002C0F56" w:rsidRDefault="00E67C6E">
      <w:pPr>
        <w:spacing w:after="5" w:line="271" w:lineRule="auto"/>
        <w:ind w:left="-5" w:hanging="10"/>
        <w:jc w:val="left"/>
      </w:pPr>
      <w:r>
        <w:rPr>
          <w:sz w:val="24"/>
        </w:rPr>
        <w:t xml:space="preserve">СТРАТЕГИЧЕСКОЕ ПЛАНИРОВАНИЕ ЦЕПЕЙ ПОСТАВОК В ЛОГИСТИКЕ -------------- 45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Бирук Д. А.  </w:t>
      </w:r>
    </w:p>
    <w:p w:rsidR="002C0F56" w:rsidRDefault="00E67C6E">
      <w:pPr>
        <w:spacing w:after="5" w:line="271" w:lineRule="auto"/>
        <w:ind w:left="-5" w:hanging="10"/>
        <w:jc w:val="left"/>
      </w:pPr>
      <w:r>
        <w:rPr>
          <w:sz w:val="24"/>
        </w:rPr>
        <w:t>Научный р</w:t>
      </w:r>
      <w:r>
        <w:rPr>
          <w:sz w:val="24"/>
        </w:rPr>
        <w:t xml:space="preserve">уководитель: Куликовская Е. В.                                                                                    </w:t>
      </w:r>
    </w:p>
    <w:p w:rsidR="002C0F56" w:rsidRDefault="00E67C6E">
      <w:pPr>
        <w:spacing w:after="5" w:line="271" w:lineRule="auto"/>
        <w:ind w:left="-5" w:hanging="10"/>
        <w:jc w:val="left"/>
      </w:pPr>
      <w:r>
        <w:rPr>
          <w:sz w:val="24"/>
        </w:rPr>
        <w:t xml:space="preserve">МЕТОДЫ ПРОГНОЗИРОВАНИЯ ВОЗМОЖНОГО БАНКРОТСТВА ПРЕДПРИЯТИЯ ----- 49 Блажко О.В.  </w:t>
      </w:r>
    </w:p>
    <w:p w:rsidR="002C0F56" w:rsidRDefault="00E67C6E">
      <w:pPr>
        <w:spacing w:after="5" w:line="271" w:lineRule="auto"/>
        <w:ind w:left="-5" w:hanging="10"/>
        <w:jc w:val="left"/>
      </w:pPr>
      <w:r>
        <w:rPr>
          <w:sz w:val="24"/>
        </w:rPr>
        <w:t xml:space="preserve">Научный руководитель: Костанда А.В., к.э.н.,  доц.  </w:t>
      </w:r>
    </w:p>
    <w:p w:rsidR="002C0F56" w:rsidRDefault="00E67C6E">
      <w:pPr>
        <w:spacing w:after="5" w:line="271" w:lineRule="auto"/>
        <w:ind w:left="-5" w:hanging="10"/>
        <w:jc w:val="left"/>
      </w:pPr>
      <w:r>
        <w:rPr>
          <w:sz w:val="24"/>
        </w:rPr>
        <w:t xml:space="preserve">КАПИТАЛ БРЕНДА И ВАЖНОСТЬ ЕГО ИЗМЕРЕНИЯ -------------------------------------------- 51 </w:t>
      </w:r>
    </w:p>
    <w:p w:rsidR="002C0F56" w:rsidRDefault="00E67C6E">
      <w:pPr>
        <w:spacing w:after="18"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Блажко О.  </w:t>
      </w:r>
    </w:p>
    <w:p w:rsidR="002C0F56" w:rsidRDefault="00E67C6E">
      <w:pPr>
        <w:spacing w:after="5" w:line="271" w:lineRule="auto"/>
        <w:ind w:left="-5" w:hanging="10"/>
        <w:jc w:val="left"/>
      </w:pPr>
      <w:r>
        <w:rPr>
          <w:sz w:val="24"/>
        </w:rPr>
        <w:t xml:space="preserve">Научный руководитель: Ващенко Л.А., к.э.н., доц.  </w:t>
      </w:r>
    </w:p>
    <w:p w:rsidR="002C0F56" w:rsidRDefault="00E67C6E">
      <w:pPr>
        <w:spacing w:after="5" w:line="271" w:lineRule="auto"/>
        <w:ind w:left="-5" w:hanging="10"/>
        <w:jc w:val="left"/>
      </w:pPr>
      <w:r>
        <w:rPr>
          <w:sz w:val="24"/>
        </w:rPr>
        <w:t xml:space="preserve">«ТЕНЕВАЯ ЭКОНОМИКА»: ПОНЯТИЕ И МЕТОДЫ ОЦЕНКИ --------------------------------- 54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Божко Е.А.  </w:t>
      </w:r>
    </w:p>
    <w:p w:rsidR="002C0F56" w:rsidRDefault="00E67C6E">
      <w:pPr>
        <w:spacing w:after="5" w:line="271" w:lineRule="auto"/>
        <w:ind w:left="-5" w:hanging="10"/>
        <w:jc w:val="left"/>
      </w:pPr>
      <w:r>
        <w:rPr>
          <w:sz w:val="24"/>
        </w:rPr>
        <w:t>Науч</w:t>
      </w:r>
      <w:r>
        <w:rPr>
          <w:sz w:val="24"/>
        </w:rPr>
        <w:t xml:space="preserve">ный руководитель: Самоховец М.П., к.э.н., доц.  </w:t>
      </w:r>
    </w:p>
    <w:p w:rsidR="002C0F56" w:rsidRDefault="00E67C6E">
      <w:pPr>
        <w:spacing w:after="5" w:line="271" w:lineRule="auto"/>
        <w:ind w:left="-5" w:hanging="10"/>
        <w:jc w:val="left"/>
      </w:pPr>
      <w:r>
        <w:rPr>
          <w:sz w:val="24"/>
        </w:rPr>
        <w:t xml:space="preserve">ФИНАНСИРОВАНИЕ ОБРАЗОВАНИЯ В РЕСПУБЛИКЕ БЕЛАРУСЬ ------------------------- 58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Болтунова Л.Н.  </w:t>
      </w:r>
    </w:p>
    <w:p w:rsidR="002C0F56" w:rsidRDefault="00E67C6E">
      <w:pPr>
        <w:spacing w:after="5" w:line="271" w:lineRule="auto"/>
        <w:ind w:left="-5" w:hanging="10"/>
        <w:jc w:val="left"/>
      </w:pPr>
      <w:r>
        <w:rPr>
          <w:sz w:val="24"/>
        </w:rPr>
        <w:t xml:space="preserve">Научный руководитель: Овчаренко О.И., к.т.н., доц.  </w:t>
      </w:r>
    </w:p>
    <w:p w:rsidR="002C0F56" w:rsidRDefault="00E67C6E">
      <w:pPr>
        <w:spacing w:after="5" w:line="271" w:lineRule="auto"/>
        <w:ind w:left="-5" w:hanging="10"/>
        <w:jc w:val="left"/>
      </w:pPr>
      <w:r>
        <w:rPr>
          <w:sz w:val="24"/>
        </w:rPr>
        <w:t xml:space="preserve">АВТОМАТИЗАЦИЯ ПРОЦЕССОВ УЧЕТА АДМИНИСТРАТИВНЫХ </w:t>
      </w:r>
    </w:p>
    <w:p w:rsidR="002C0F56" w:rsidRDefault="00E67C6E">
      <w:pPr>
        <w:spacing w:after="5" w:line="271" w:lineRule="auto"/>
        <w:ind w:left="-5" w:hanging="10"/>
        <w:jc w:val="left"/>
      </w:pPr>
      <w:r>
        <w:rPr>
          <w:sz w:val="24"/>
        </w:rPr>
        <w:t>ПРАВОНАР</w:t>
      </w:r>
      <w:r>
        <w:rPr>
          <w:sz w:val="24"/>
        </w:rPr>
        <w:t xml:space="preserve">УШЕНИЙ В ТАМОЖЕННЫХ ОРГАНАХ ---------------------------------------------- 63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Бородина В. А.  </w:t>
      </w:r>
    </w:p>
    <w:p w:rsidR="002C0F56" w:rsidRDefault="00E67C6E">
      <w:pPr>
        <w:spacing w:after="5" w:line="271" w:lineRule="auto"/>
        <w:ind w:left="-5" w:hanging="10"/>
        <w:jc w:val="left"/>
      </w:pPr>
      <w:r>
        <w:rPr>
          <w:sz w:val="24"/>
        </w:rPr>
        <w:t xml:space="preserve">Научный руководитель: Хитрых О. В.  </w:t>
      </w:r>
    </w:p>
    <w:p w:rsidR="002C0F56" w:rsidRDefault="00E67C6E">
      <w:pPr>
        <w:spacing w:after="5" w:line="271" w:lineRule="auto"/>
        <w:ind w:left="-5" w:hanging="10"/>
        <w:jc w:val="left"/>
      </w:pPr>
      <w:r>
        <w:rPr>
          <w:sz w:val="24"/>
        </w:rPr>
        <w:t xml:space="preserve">РЕАЛИЗАЦИЯ НЕПАРАМЕТРИЧЕСКОЙ СТАТИСТИКИ СРЕДСТВАМИ         </w:t>
      </w:r>
    </w:p>
    <w:p w:rsidR="002C0F56" w:rsidRDefault="00E67C6E">
      <w:pPr>
        <w:spacing w:after="5" w:line="271" w:lineRule="auto"/>
        <w:ind w:left="-5" w:hanging="10"/>
        <w:jc w:val="left"/>
      </w:pPr>
      <w:r>
        <w:rPr>
          <w:sz w:val="24"/>
        </w:rPr>
        <w:t>MICROSOFT EXCEL ---------------------------------------------</w:t>
      </w:r>
      <w:r>
        <w:rPr>
          <w:sz w:val="24"/>
        </w:rPr>
        <w:t xml:space="preserve">-------------------------------------------- 66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Брусильцева В.О.  </w:t>
      </w:r>
    </w:p>
    <w:p w:rsidR="002C0F56" w:rsidRDefault="00E67C6E">
      <w:pPr>
        <w:spacing w:after="5" w:line="271" w:lineRule="auto"/>
        <w:ind w:left="-5" w:hanging="10"/>
        <w:jc w:val="left"/>
      </w:pPr>
      <w:r>
        <w:rPr>
          <w:sz w:val="24"/>
        </w:rPr>
        <w:t xml:space="preserve">Научный руководитель: Корниенко Е.В., к.соц.н., доц.  </w:t>
      </w:r>
    </w:p>
    <w:p w:rsidR="002C0F56" w:rsidRDefault="00E67C6E">
      <w:pPr>
        <w:spacing w:after="5" w:line="271" w:lineRule="auto"/>
        <w:ind w:left="-5" w:hanging="10"/>
        <w:jc w:val="left"/>
      </w:pPr>
      <w:r>
        <w:rPr>
          <w:sz w:val="24"/>
        </w:rPr>
        <w:t xml:space="preserve">ПРОБЛЕМЫ РЕАЛИЗАЦИИ КАДРОВОЙ ПОЛИТИКИ В СОВРЕМЕННЫХ </w:t>
      </w:r>
    </w:p>
    <w:p w:rsidR="002C0F56" w:rsidRDefault="00E67C6E">
      <w:pPr>
        <w:spacing w:after="5" w:line="271" w:lineRule="auto"/>
        <w:ind w:left="-5" w:hanging="10"/>
        <w:jc w:val="left"/>
      </w:pPr>
      <w:r>
        <w:rPr>
          <w:sz w:val="24"/>
        </w:rPr>
        <w:t>ОРГАНИЗАЦИЯХ</w:t>
      </w:r>
      <w:r>
        <w:rPr>
          <w:sz w:val="24"/>
        </w:rPr>
        <w:t xml:space="preserve"> --------------------------------------------------------------------------------------------- 69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Бурик П.И.  </w:t>
      </w:r>
    </w:p>
    <w:p w:rsidR="002C0F56" w:rsidRDefault="00E67C6E">
      <w:pPr>
        <w:spacing w:after="5" w:line="271" w:lineRule="auto"/>
        <w:ind w:left="-5" w:hanging="10"/>
        <w:jc w:val="left"/>
      </w:pPr>
      <w:r>
        <w:rPr>
          <w:sz w:val="24"/>
        </w:rPr>
        <w:t xml:space="preserve">Научный руководитель: Друк В.Ю., к.э.н., доц.  </w:t>
      </w:r>
    </w:p>
    <w:p w:rsidR="002C0F56" w:rsidRDefault="00E67C6E">
      <w:pPr>
        <w:spacing w:after="5" w:line="271" w:lineRule="auto"/>
        <w:ind w:left="-5" w:hanging="10"/>
        <w:jc w:val="left"/>
      </w:pPr>
      <w:r>
        <w:rPr>
          <w:sz w:val="24"/>
        </w:rPr>
        <w:t xml:space="preserve">СОСТОЯНИЕ МАЛОГО ПРЕДПРИНИМАТЕЛЬСТВА В РЕСПУБЛИКЕ БЕЛАРУСЬ ------ 74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Бухал В.М., Карабань М</w:t>
      </w:r>
      <w:r>
        <w:rPr>
          <w:sz w:val="24"/>
        </w:rPr>
        <w:t xml:space="preserve">.А.  </w:t>
      </w:r>
    </w:p>
    <w:p w:rsidR="002C0F56" w:rsidRDefault="00E67C6E">
      <w:pPr>
        <w:spacing w:after="5" w:line="271" w:lineRule="auto"/>
        <w:ind w:left="-5" w:hanging="10"/>
        <w:jc w:val="left"/>
      </w:pPr>
      <w:r>
        <w:rPr>
          <w:sz w:val="24"/>
        </w:rPr>
        <w:t xml:space="preserve">Научный руководитель: Дорофеев В.Г., к.э.н., доц.  </w:t>
      </w:r>
    </w:p>
    <w:p w:rsidR="002C0F56" w:rsidRDefault="00E67C6E">
      <w:pPr>
        <w:spacing w:after="5" w:line="271" w:lineRule="auto"/>
        <w:ind w:left="-5" w:hanging="10"/>
        <w:jc w:val="left"/>
      </w:pPr>
      <w:r>
        <w:rPr>
          <w:sz w:val="24"/>
        </w:rPr>
        <w:t xml:space="preserve">АНАЛИЗ И ОЦЕНКА НАЛОГОВЫХ ДОХОДОВ РЕСПУБЛИКАНСКОГО             </w:t>
      </w:r>
    </w:p>
    <w:p w:rsidR="002C0F56" w:rsidRDefault="00E67C6E">
      <w:pPr>
        <w:spacing w:after="5" w:line="271" w:lineRule="auto"/>
        <w:ind w:left="-5" w:hanging="10"/>
        <w:jc w:val="left"/>
      </w:pPr>
      <w:r>
        <w:rPr>
          <w:sz w:val="24"/>
        </w:rPr>
        <w:t xml:space="preserve">БЮДЖЕТА РЕСПУБЛИКИ БЕЛАРУСЬ ----------------------------------------------------------------- 77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lastRenderedPageBreak/>
        <w:t xml:space="preserve">Ванкович В.А., Лавриянец М.Е.  </w:t>
      </w:r>
    </w:p>
    <w:p w:rsidR="002C0F56" w:rsidRDefault="00E67C6E">
      <w:pPr>
        <w:spacing w:after="5" w:line="271" w:lineRule="auto"/>
        <w:ind w:left="-5" w:hanging="10"/>
        <w:jc w:val="left"/>
      </w:pPr>
      <w:r>
        <w:rPr>
          <w:sz w:val="24"/>
        </w:rPr>
        <w:t>На</w:t>
      </w:r>
      <w:r>
        <w:rPr>
          <w:sz w:val="24"/>
        </w:rPr>
        <w:t xml:space="preserve">учный руководитель: Дорофеев В.Г., к.э.н., доц.  </w:t>
      </w:r>
    </w:p>
    <w:p w:rsidR="002C0F56" w:rsidRDefault="00E67C6E">
      <w:pPr>
        <w:spacing w:after="5" w:line="271" w:lineRule="auto"/>
        <w:ind w:left="-5" w:hanging="10"/>
        <w:jc w:val="left"/>
      </w:pPr>
      <w:r>
        <w:rPr>
          <w:sz w:val="24"/>
        </w:rPr>
        <w:t xml:space="preserve">ПОДХОДЫ И МЕТОДЫ ОЦЕНКИ ЭФФЕКТИВНОСТИ БЮДЖЕТНЫХ РАСХОДОВ        </w:t>
      </w:r>
    </w:p>
    <w:p w:rsidR="002C0F56" w:rsidRDefault="00E67C6E">
      <w:pPr>
        <w:spacing w:after="5" w:line="271" w:lineRule="auto"/>
        <w:ind w:left="-5" w:hanging="10"/>
        <w:jc w:val="left"/>
      </w:pPr>
      <w:r>
        <w:rPr>
          <w:sz w:val="24"/>
        </w:rPr>
        <w:t xml:space="preserve">НА ЗДРАВООХРАНЕНИЕ В РЕСПУБЛИКЕ БЕЛАРУСЬ ------------------------------------------ 81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Василенко Я. С.  </w:t>
      </w:r>
    </w:p>
    <w:p w:rsidR="002C0F56" w:rsidRDefault="00E67C6E">
      <w:pPr>
        <w:spacing w:after="5" w:line="271" w:lineRule="auto"/>
        <w:ind w:left="-5" w:hanging="10"/>
        <w:jc w:val="left"/>
      </w:pPr>
      <w:r>
        <w:rPr>
          <w:sz w:val="24"/>
        </w:rPr>
        <w:t>Научный руководитель: Хитрых О.В.</w:t>
      </w:r>
      <w:r>
        <w:rPr>
          <w:sz w:val="24"/>
        </w:rPr>
        <w:t xml:space="preserve">  </w:t>
      </w:r>
    </w:p>
    <w:p w:rsidR="002C0F56" w:rsidRDefault="00E67C6E">
      <w:pPr>
        <w:spacing w:after="5" w:line="271" w:lineRule="auto"/>
        <w:ind w:left="-5" w:hanging="10"/>
        <w:jc w:val="left"/>
      </w:pPr>
      <w:r>
        <w:rPr>
          <w:sz w:val="24"/>
        </w:rPr>
        <w:t xml:space="preserve">СРАВНИТЕЛЬНЫЙ АНАЛИЗ ЭФФЕКТИВНОСТИ ОБНАРУЖЕНИЯ         ВРЕДОНОСНОГО ПРОГРАММНОГО ОБЕСПЕЧЕНИЯ РАЗЛИЧНЫМИ </w:t>
      </w:r>
    </w:p>
    <w:p w:rsidR="002C0F56" w:rsidRDefault="00E67C6E">
      <w:pPr>
        <w:spacing w:after="5" w:line="271" w:lineRule="auto"/>
        <w:ind w:left="-5" w:hanging="10"/>
        <w:jc w:val="left"/>
      </w:pPr>
      <w:r>
        <w:rPr>
          <w:sz w:val="24"/>
        </w:rPr>
        <w:t xml:space="preserve">АНТИВИРУСНЫМИ ПРОГРАММАМИ ---------------------------------------------------------------- 85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Винник С. Н.  </w:t>
      </w:r>
    </w:p>
    <w:p w:rsidR="002C0F56" w:rsidRDefault="00E67C6E">
      <w:pPr>
        <w:spacing w:after="5" w:line="271" w:lineRule="auto"/>
        <w:ind w:left="-5" w:hanging="10"/>
        <w:jc w:val="left"/>
      </w:pPr>
      <w:r>
        <w:rPr>
          <w:sz w:val="24"/>
        </w:rPr>
        <w:t xml:space="preserve">Научный руководитель Булкин В.И., к.т.н., доц.  </w:t>
      </w:r>
    </w:p>
    <w:p w:rsidR="002C0F56" w:rsidRDefault="00E67C6E">
      <w:pPr>
        <w:spacing w:after="5" w:line="271" w:lineRule="auto"/>
        <w:ind w:left="-5" w:hanging="10"/>
        <w:jc w:val="left"/>
      </w:pPr>
      <w:r>
        <w:rPr>
          <w:sz w:val="24"/>
        </w:rPr>
        <w:t xml:space="preserve">ИСПОЛЬЗОВАНИЕ МЕТОДА КОМПАРАТОРНОЙ ИДЕНТИФИКАЦИИ ЗНАНИЙ ДЛЯ </w:t>
      </w:r>
    </w:p>
    <w:p w:rsidR="002C0F56" w:rsidRDefault="00E67C6E">
      <w:pPr>
        <w:spacing w:after="5" w:line="271" w:lineRule="auto"/>
        <w:ind w:left="-5" w:hanging="10"/>
        <w:jc w:val="left"/>
      </w:pPr>
      <w:r>
        <w:rPr>
          <w:sz w:val="24"/>
        </w:rPr>
        <w:t xml:space="preserve">СОЗДАНИЯ КОМПЬЮТЕРНЫХ ОБУЧАЮЩИХ ПРОГРАММ ---------------------------------- 87 Войтович Я.Ю.  </w:t>
      </w:r>
    </w:p>
    <w:p w:rsidR="002C0F56" w:rsidRDefault="00E67C6E">
      <w:pPr>
        <w:spacing w:after="5" w:line="271" w:lineRule="auto"/>
        <w:ind w:left="-5" w:hanging="10"/>
        <w:jc w:val="left"/>
      </w:pPr>
      <w:r>
        <w:rPr>
          <w:sz w:val="24"/>
        </w:rPr>
        <w:t xml:space="preserve">Научный руководитель: Гулягина О.С., к.э.н.  </w:t>
      </w:r>
    </w:p>
    <w:p w:rsidR="002C0F56" w:rsidRDefault="00E67C6E">
      <w:pPr>
        <w:spacing w:after="5" w:line="271" w:lineRule="auto"/>
        <w:ind w:left="-5" w:hanging="10"/>
        <w:jc w:val="left"/>
      </w:pPr>
      <w:r>
        <w:rPr>
          <w:sz w:val="24"/>
        </w:rPr>
        <w:t>НОВЕЙ</w:t>
      </w:r>
      <w:r>
        <w:rPr>
          <w:sz w:val="24"/>
        </w:rPr>
        <w:t xml:space="preserve">ШИЕЛОГИСТИЧЕСКИЕ ТЕХНОЛОГИИ НА СКЛАДЕ: КРОСС-ДОКИНГ                </w:t>
      </w:r>
    </w:p>
    <w:p w:rsidR="002C0F56" w:rsidRDefault="00E67C6E">
      <w:pPr>
        <w:spacing w:after="5" w:line="271" w:lineRule="auto"/>
        <w:ind w:left="-5" w:hanging="10"/>
        <w:jc w:val="left"/>
      </w:pPr>
      <w:r>
        <w:rPr>
          <w:sz w:val="24"/>
        </w:rPr>
        <w:t>И ПИК-БАЙ-ЛАЙН ------------------------------------------------------------------------------------------- 93</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Войтович Ю.С., Арсенович А.А.  </w:t>
      </w:r>
    </w:p>
    <w:p w:rsidR="002C0F56" w:rsidRDefault="00E67C6E">
      <w:pPr>
        <w:spacing w:after="5" w:line="271" w:lineRule="auto"/>
        <w:ind w:left="-5" w:hanging="10"/>
        <w:jc w:val="left"/>
      </w:pPr>
      <w:r>
        <w:rPr>
          <w:sz w:val="24"/>
        </w:rPr>
        <w:t xml:space="preserve">Научный руководитель:Кулакова Н.Л.  </w:t>
      </w:r>
    </w:p>
    <w:p w:rsidR="002C0F56" w:rsidRDefault="00E67C6E">
      <w:pPr>
        <w:spacing w:after="5" w:line="271" w:lineRule="auto"/>
        <w:ind w:left="-5" w:hanging="10"/>
        <w:jc w:val="left"/>
      </w:pPr>
      <w:r>
        <w:rPr>
          <w:sz w:val="24"/>
        </w:rPr>
        <w:t>СОСТОЯН</w:t>
      </w:r>
      <w:r>
        <w:rPr>
          <w:sz w:val="24"/>
        </w:rPr>
        <w:t xml:space="preserve">ИЕ И ИСПОЛЬЗОВАНИЕ ВОДНЫХ РЕСУРСОВ В                           </w:t>
      </w:r>
    </w:p>
    <w:p w:rsidR="002C0F56" w:rsidRDefault="00E67C6E">
      <w:pPr>
        <w:spacing w:after="5" w:line="271" w:lineRule="auto"/>
        <w:ind w:left="-5" w:hanging="10"/>
        <w:jc w:val="left"/>
      </w:pPr>
      <w:r>
        <w:rPr>
          <w:sz w:val="24"/>
        </w:rPr>
        <w:t xml:space="preserve">РЕСПУБЛИКЕ БЕЛАРУСЬ --------------------------------------------------------------------------------- 97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Воронина А.В.  </w:t>
      </w:r>
    </w:p>
    <w:p w:rsidR="002C0F56" w:rsidRDefault="00E67C6E">
      <w:pPr>
        <w:spacing w:after="5" w:line="271" w:lineRule="auto"/>
        <w:ind w:left="-5" w:hanging="10"/>
        <w:jc w:val="left"/>
      </w:pPr>
      <w:r>
        <w:rPr>
          <w:sz w:val="24"/>
        </w:rPr>
        <w:t xml:space="preserve">Научный руководитель: Разуваева Е. Б.  </w:t>
      </w:r>
    </w:p>
    <w:p w:rsidR="002C0F56" w:rsidRDefault="00E67C6E">
      <w:pPr>
        <w:spacing w:after="5" w:line="271" w:lineRule="auto"/>
        <w:ind w:left="-5" w:hanging="10"/>
        <w:jc w:val="left"/>
      </w:pPr>
      <w:r>
        <w:rPr>
          <w:sz w:val="24"/>
        </w:rPr>
        <w:t>ИСТОРИЧЕСКИ СЛОЖИВШИЕСЯ ЭТАП</w:t>
      </w:r>
      <w:r>
        <w:rPr>
          <w:sz w:val="24"/>
        </w:rPr>
        <w:t xml:space="preserve">Ы СТАНОВЛЕНИЯ СТАТИСТИЧЕСКИХ </w:t>
      </w:r>
    </w:p>
    <w:p w:rsidR="002C0F56" w:rsidRDefault="00E67C6E">
      <w:pPr>
        <w:spacing w:after="5" w:line="271" w:lineRule="auto"/>
        <w:ind w:left="-5" w:hanging="10"/>
        <w:jc w:val="left"/>
      </w:pPr>
      <w:r>
        <w:rPr>
          <w:sz w:val="24"/>
        </w:rPr>
        <w:t xml:space="preserve">МЕТОДОВ ----------------------------------------------------------------------------------------------------- 101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Воянец М.В.  </w:t>
      </w:r>
    </w:p>
    <w:p w:rsidR="002C0F56" w:rsidRDefault="00E67C6E">
      <w:pPr>
        <w:spacing w:after="5" w:line="271" w:lineRule="auto"/>
        <w:ind w:left="-5" w:hanging="10"/>
        <w:jc w:val="left"/>
      </w:pPr>
      <w:r>
        <w:rPr>
          <w:sz w:val="24"/>
        </w:rPr>
        <w:t xml:space="preserve">Научный руководитель: Куликовская Е.В.  </w:t>
      </w:r>
    </w:p>
    <w:p w:rsidR="002C0F56" w:rsidRDefault="00E67C6E">
      <w:pPr>
        <w:spacing w:after="5" w:line="271" w:lineRule="auto"/>
        <w:ind w:left="-5" w:hanging="10"/>
        <w:jc w:val="left"/>
      </w:pPr>
      <w:r>
        <w:rPr>
          <w:sz w:val="24"/>
        </w:rPr>
        <w:t>ОПТИМИЗАЦИЯ УПРАВЛЕНИЯ ЗАТРАТАМИ ПРЕДПРИЯТИЯ</w:t>
      </w:r>
      <w:r>
        <w:rPr>
          <w:sz w:val="24"/>
        </w:rPr>
        <w:t xml:space="preserve"> ------------------------------ 104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Гайсина З.А.  </w:t>
      </w:r>
    </w:p>
    <w:p w:rsidR="002C0F56" w:rsidRDefault="00E67C6E">
      <w:pPr>
        <w:spacing w:after="5" w:line="271" w:lineRule="auto"/>
        <w:ind w:left="-5" w:hanging="10"/>
        <w:jc w:val="left"/>
      </w:pPr>
      <w:r>
        <w:rPr>
          <w:sz w:val="24"/>
        </w:rPr>
        <w:t xml:space="preserve">Научный руководитель: ст.преп. Муканов А. Х.  </w:t>
      </w:r>
    </w:p>
    <w:p w:rsidR="002C0F56" w:rsidRDefault="00E67C6E">
      <w:pPr>
        <w:spacing w:after="5" w:line="271" w:lineRule="auto"/>
        <w:ind w:left="-5" w:hanging="10"/>
        <w:jc w:val="left"/>
      </w:pPr>
      <w:r>
        <w:rPr>
          <w:sz w:val="24"/>
        </w:rPr>
        <w:t xml:space="preserve">СТАТИСТИЧЕСКОЕ ИССЛЕДОВАНИЕ ЖЕНСКОЙ БЕЗРАБОТИЦЫ В РОССИИ -------- 107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lastRenderedPageBreak/>
        <w:t xml:space="preserve">Галабурда Т.С., Гончарук Ю.С.  </w:t>
      </w:r>
    </w:p>
    <w:p w:rsidR="002C0F56" w:rsidRDefault="00E67C6E">
      <w:pPr>
        <w:spacing w:after="5" w:line="271" w:lineRule="auto"/>
        <w:ind w:left="-5" w:right="2354" w:hanging="10"/>
        <w:jc w:val="left"/>
      </w:pPr>
      <w:r>
        <w:rPr>
          <w:sz w:val="24"/>
        </w:rPr>
        <w:t>Научный руководитель: Кулакова Н.Л.  ЗАГРЯЗНЕНИЕ З</w:t>
      </w:r>
      <w:r>
        <w:rPr>
          <w:sz w:val="24"/>
        </w:rPr>
        <w:t xml:space="preserve">ЕМЕЛЬ ПРОМЫШЛЕННЫМИ ПРЕДПРИЯТИЯМИ:                </w:t>
      </w:r>
    </w:p>
    <w:p w:rsidR="002C0F56" w:rsidRDefault="00E67C6E">
      <w:pPr>
        <w:spacing w:after="5" w:line="271" w:lineRule="auto"/>
        <w:ind w:left="-5" w:hanging="10"/>
        <w:jc w:val="left"/>
      </w:pPr>
      <w:r>
        <w:rPr>
          <w:sz w:val="24"/>
        </w:rPr>
        <w:t xml:space="preserve">ПРОБЛЕМЫ И ПУТИ ИХ РЕШЕНИЯ ------------------------------------------------------------------ 109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Гапанович О. Г.  </w:t>
      </w:r>
    </w:p>
    <w:p w:rsidR="002C0F56" w:rsidRDefault="00E67C6E">
      <w:pPr>
        <w:spacing w:after="5" w:line="271" w:lineRule="auto"/>
        <w:ind w:left="-5" w:hanging="10"/>
        <w:jc w:val="left"/>
      </w:pPr>
      <w:r>
        <w:rPr>
          <w:sz w:val="24"/>
        </w:rPr>
        <w:t xml:space="preserve">Научный руководитель: Куликовская Е. В.  </w:t>
      </w:r>
    </w:p>
    <w:p w:rsidR="002C0F56" w:rsidRDefault="00E67C6E">
      <w:pPr>
        <w:spacing w:after="5" w:line="271" w:lineRule="auto"/>
        <w:ind w:left="-5" w:hanging="10"/>
        <w:jc w:val="left"/>
      </w:pPr>
      <w:r>
        <w:rPr>
          <w:sz w:val="24"/>
        </w:rPr>
        <w:t xml:space="preserve">ПРОБЛЕМА БАНКРОТСТВА В ЭКОНОМИКЕ РЕСПУБЛИКИ </w:t>
      </w:r>
      <w:r>
        <w:rPr>
          <w:sz w:val="24"/>
        </w:rPr>
        <w:t xml:space="preserve">БЕЛАРУСЬ ----------------- 112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Гапанюк М.  </w:t>
      </w:r>
    </w:p>
    <w:p w:rsidR="002C0F56" w:rsidRDefault="00E67C6E">
      <w:pPr>
        <w:spacing w:after="5" w:line="271" w:lineRule="auto"/>
        <w:ind w:left="-5" w:hanging="10"/>
        <w:jc w:val="left"/>
      </w:pPr>
      <w:r>
        <w:rPr>
          <w:sz w:val="24"/>
        </w:rPr>
        <w:t xml:space="preserve">Научный руководитель: Тарасенко Л.М., к.э.н., проф.  </w:t>
      </w:r>
    </w:p>
    <w:p w:rsidR="002C0F56" w:rsidRDefault="00E67C6E">
      <w:pPr>
        <w:spacing w:after="5" w:line="271" w:lineRule="auto"/>
        <w:ind w:left="-5" w:hanging="10"/>
        <w:jc w:val="left"/>
      </w:pPr>
      <w:r>
        <w:rPr>
          <w:sz w:val="24"/>
        </w:rPr>
        <w:t xml:space="preserve">СОВРЕМЕННЫЕ ГЛОБАЛЬНЫЕ ПРОБЛЕМЫ ЭКОНОМИКИ ---------------------------------- 116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Главатских А.В.  </w:t>
      </w:r>
    </w:p>
    <w:p w:rsidR="002C0F56" w:rsidRDefault="00E67C6E">
      <w:pPr>
        <w:spacing w:after="5" w:line="271" w:lineRule="auto"/>
        <w:ind w:left="-5" w:hanging="10"/>
        <w:jc w:val="left"/>
      </w:pPr>
      <w:r>
        <w:rPr>
          <w:sz w:val="24"/>
        </w:rPr>
        <w:t xml:space="preserve">Научный руководитель: Корниенко Е.В., к.с.н., доц.  </w:t>
      </w:r>
    </w:p>
    <w:p w:rsidR="002C0F56" w:rsidRDefault="00E67C6E">
      <w:pPr>
        <w:spacing w:after="5" w:line="271" w:lineRule="auto"/>
        <w:ind w:left="-5" w:hanging="10"/>
        <w:jc w:val="left"/>
      </w:pPr>
      <w:r>
        <w:rPr>
          <w:sz w:val="24"/>
        </w:rPr>
        <w:t xml:space="preserve">СОРЕМЕННЫЕ АСПЕКТЫ УПРАВЛЕНИЯ ЧЕЛОВЕЧЕСКИМИ РЕСУРСАМИ </w:t>
      </w:r>
    </w:p>
    <w:p w:rsidR="002C0F56" w:rsidRDefault="00E67C6E">
      <w:pPr>
        <w:spacing w:after="5" w:line="271" w:lineRule="auto"/>
        <w:ind w:left="-5" w:hanging="10"/>
        <w:jc w:val="left"/>
      </w:pPr>
      <w:r>
        <w:rPr>
          <w:sz w:val="24"/>
        </w:rPr>
        <w:t xml:space="preserve">ОРГАНИЗАЦИИ ---------------------------------------------------------------------------------------------- 121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Говорова В.А.  </w:t>
      </w:r>
    </w:p>
    <w:p w:rsidR="002C0F56" w:rsidRDefault="00E67C6E">
      <w:pPr>
        <w:spacing w:after="5" w:line="271" w:lineRule="auto"/>
        <w:ind w:left="-5" w:hanging="10"/>
        <w:jc w:val="left"/>
      </w:pPr>
      <w:r>
        <w:rPr>
          <w:sz w:val="24"/>
        </w:rPr>
        <w:t xml:space="preserve">Научный руководитель: Лосева О.В.  </w:t>
      </w:r>
    </w:p>
    <w:p w:rsidR="002C0F56" w:rsidRDefault="00E67C6E">
      <w:pPr>
        <w:spacing w:after="5" w:line="271" w:lineRule="auto"/>
        <w:ind w:left="-5" w:hanging="10"/>
        <w:jc w:val="left"/>
      </w:pPr>
      <w:r>
        <w:rPr>
          <w:sz w:val="24"/>
        </w:rPr>
        <w:t xml:space="preserve">ПРОБЛЕМЫ В РАЗВИТИИ ДАЛЬНЕВОСТОЧНОГО РЕГИОНА РОССИИ ------------------- 124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Головач Д.А., Гуринович А.С.  </w:t>
      </w:r>
    </w:p>
    <w:p w:rsidR="002C0F56" w:rsidRDefault="00E67C6E">
      <w:pPr>
        <w:spacing w:after="5" w:line="271" w:lineRule="auto"/>
        <w:ind w:left="-5" w:hanging="10"/>
        <w:jc w:val="left"/>
      </w:pPr>
      <w:r>
        <w:rPr>
          <w:sz w:val="24"/>
        </w:rPr>
        <w:t xml:space="preserve">Научный руководитель: Кулакова Н.Л.  </w:t>
      </w:r>
    </w:p>
    <w:p w:rsidR="002C0F56" w:rsidRDefault="00E67C6E">
      <w:pPr>
        <w:spacing w:after="5" w:line="271" w:lineRule="auto"/>
        <w:ind w:left="-5" w:hanging="10"/>
        <w:jc w:val="left"/>
      </w:pPr>
      <w:r>
        <w:rPr>
          <w:sz w:val="24"/>
        </w:rPr>
        <w:t xml:space="preserve">ПРОБЛЕМЫ ЗАГРЯЗНЕНИЯ СЕЛЬСКОХОЗЯЙСТВЕННЫХ ЗЕМЕЛЬ РЕСПУБЛИКИ </w:t>
      </w:r>
    </w:p>
    <w:p w:rsidR="002C0F56" w:rsidRDefault="00E67C6E">
      <w:pPr>
        <w:spacing w:after="5" w:line="271" w:lineRule="auto"/>
        <w:ind w:left="-5" w:hanging="10"/>
        <w:jc w:val="left"/>
      </w:pPr>
      <w:r>
        <w:rPr>
          <w:sz w:val="24"/>
        </w:rPr>
        <w:t>БЕЛАРУСЬ ТЯЖЕЛЫМИ МЕТАЛЛАМИ -------------------</w:t>
      </w:r>
      <w:r>
        <w:rPr>
          <w:sz w:val="24"/>
        </w:rPr>
        <w:t xml:space="preserve">------------------------------------------ 127 Головач П. А., Дяк Т. Д.  </w:t>
      </w:r>
    </w:p>
    <w:p w:rsidR="002C0F56" w:rsidRDefault="00E67C6E">
      <w:pPr>
        <w:spacing w:after="5" w:line="271" w:lineRule="auto"/>
        <w:ind w:left="-5" w:hanging="10"/>
        <w:jc w:val="left"/>
      </w:pPr>
      <w:r>
        <w:rPr>
          <w:sz w:val="24"/>
        </w:rPr>
        <w:t xml:space="preserve">Научный руководитель: Кулакова Н. Л.  </w:t>
      </w:r>
    </w:p>
    <w:p w:rsidR="002C0F56" w:rsidRDefault="00E67C6E">
      <w:pPr>
        <w:spacing w:after="5" w:line="271" w:lineRule="auto"/>
        <w:ind w:left="-5" w:hanging="10"/>
        <w:jc w:val="left"/>
      </w:pPr>
      <w:r>
        <w:rPr>
          <w:sz w:val="24"/>
        </w:rPr>
        <w:t xml:space="preserve">ЛЕСНОЙ ФОНД РЕСПУБЛИКИ БЕЛАРУСЬ: СОВРЕМЕННОЕ СОСТОЯНИЕ И </w:t>
      </w:r>
    </w:p>
    <w:p w:rsidR="002C0F56" w:rsidRDefault="00E67C6E">
      <w:pPr>
        <w:spacing w:after="5" w:line="271" w:lineRule="auto"/>
        <w:ind w:left="-5" w:hanging="10"/>
        <w:jc w:val="left"/>
      </w:pPr>
      <w:r>
        <w:rPr>
          <w:sz w:val="24"/>
        </w:rPr>
        <w:t>ПЕРСПЕКТИВЫ РАЗВИТИЯ ----------------------------------------------------------------</w:t>
      </w:r>
      <w:r>
        <w:rPr>
          <w:sz w:val="24"/>
        </w:rPr>
        <w:t>------------- 130</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Горбань И.А.  </w:t>
      </w:r>
    </w:p>
    <w:p w:rsidR="002C0F56" w:rsidRDefault="00E67C6E">
      <w:pPr>
        <w:spacing w:after="5" w:line="271" w:lineRule="auto"/>
        <w:ind w:left="-5" w:hanging="10"/>
        <w:jc w:val="left"/>
      </w:pPr>
      <w:r>
        <w:rPr>
          <w:sz w:val="24"/>
        </w:rPr>
        <w:t xml:space="preserve">Научный руководитель: Чурилова В.Г.  </w:t>
      </w:r>
    </w:p>
    <w:p w:rsidR="002C0F56" w:rsidRDefault="00E67C6E">
      <w:pPr>
        <w:spacing w:after="5" w:line="271" w:lineRule="auto"/>
        <w:ind w:left="-5" w:hanging="10"/>
        <w:jc w:val="left"/>
      </w:pPr>
      <w:r>
        <w:rPr>
          <w:sz w:val="24"/>
        </w:rPr>
        <w:t xml:space="preserve">СРАВНИТЕЛЬНЫЙ АНАЛИЗ СОВРЕМЕННЫХ ИНСТРУМЕНТОВ  </w:t>
      </w:r>
    </w:p>
    <w:p w:rsidR="002C0F56" w:rsidRDefault="00E67C6E">
      <w:pPr>
        <w:spacing w:after="5" w:line="271" w:lineRule="auto"/>
        <w:ind w:left="-5" w:hanging="10"/>
        <w:jc w:val="left"/>
      </w:pPr>
      <w:r>
        <w:rPr>
          <w:sz w:val="24"/>
        </w:rPr>
        <w:t xml:space="preserve">ИНТЕРНЕТ-МАРКЕТИНГА ------------------------------------------------------------------------------- 134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Горбунева А.В.  </w:t>
      </w:r>
    </w:p>
    <w:p w:rsidR="002C0F56" w:rsidRDefault="00E67C6E">
      <w:pPr>
        <w:spacing w:after="5" w:line="271" w:lineRule="auto"/>
        <w:ind w:left="-5" w:hanging="10"/>
        <w:jc w:val="left"/>
      </w:pPr>
      <w:r>
        <w:rPr>
          <w:sz w:val="24"/>
        </w:rPr>
        <w:t xml:space="preserve">Научный руководитель: Овчаренко О.И., к.т.н., доц.  </w:t>
      </w:r>
    </w:p>
    <w:p w:rsidR="002C0F56" w:rsidRDefault="00E67C6E">
      <w:pPr>
        <w:spacing w:after="5" w:line="271" w:lineRule="auto"/>
        <w:ind w:left="-5" w:hanging="10"/>
        <w:jc w:val="left"/>
      </w:pPr>
      <w:r>
        <w:rPr>
          <w:sz w:val="24"/>
        </w:rPr>
        <w:t xml:space="preserve">ПУТИ ПОВЫШЕНИЯ ИНДЕКСА ЭЛЕКТРОННОГО ПРАВИТЕЛЬСТВА -------------------- 138 </w:t>
      </w:r>
    </w:p>
    <w:p w:rsidR="002C0F56" w:rsidRDefault="00E67C6E">
      <w:pPr>
        <w:spacing w:after="20" w:line="259" w:lineRule="auto"/>
        <w:ind w:left="0" w:firstLine="0"/>
        <w:jc w:val="left"/>
      </w:pPr>
      <w:r>
        <w:rPr>
          <w:color w:val="0000FF"/>
          <w:sz w:val="24"/>
        </w:rPr>
        <w:lastRenderedPageBreak/>
        <w:t xml:space="preserve"> </w:t>
      </w:r>
    </w:p>
    <w:p w:rsidR="002C0F56" w:rsidRDefault="00E67C6E">
      <w:pPr>
        <w:spacing w:after="5" w:line="271" w:lineRule="auto"/>
        <w:ind w:left="-5" w:hanging="10"/>
        <w:jc w:val="left"/>
      </w:pPr>
      <w:r>
        <w:rPr>
          <w:sz w:val="24"/>
        </w:rPr>
        <w:t xml:space="preserve">Горохова Л.А.  </w:t>
      </w:r>
    </w:p>
    <w:p w:rsidR="002C0F56" w:rsidRDefault="00E67C6E">
      <w:pPr>
        <w:spacing w:after="5" w:line="271" w:lineRule="auto"/>
        <w:ind w:left="-5" w:hanging="10"/>
        <w:jc w:val="left"/>
      </w:pPr>
      <w:r>
        <w:rPr>
          <w:sz w:val="24"/>
        </w:rPr>
        <w:t xml:space="preserve">Научный руководитель: Бычкова Н.А.  </w:t>
      </w:r>
    </w:p>
    <w:p w:rsidR="002C0F56" w:rsidRDefault="00E67C6E">
      <w:pPr>
        <w:spacing w:after="5" w:line="271" w:lineRule="auto"/>
        <w:ind w:left="-5" w:hanging="10"/>
        <w:jc w:val="left"/>
      </w:pPr>
      <w:r>
        <w:rPr>
          <w:sz w:val="24"/>
        </w:rPr>
        <w:t xml:space="preserve">ПРИМЕНЕНИЕ УПРАВЛЕНЧЕСКОГО КОНСАЛТИНГА В  МУНИЦИПАЛЬНОМ </w:t>
      </w:r>
    </w:p>
    <w:p w:rsidR="002C0F56" w:rsidRDefault="00E67C6E">
      <w:pPr>
        <w:spacing w:after="5" w:line="271" w:lineRule="auto"/>
        <w:ind w:left="-5" w:hanging="10"/>
        <w:jc w:val="left"/>
      </w:pPr>
      <w:r>
        <w:rPr>
          <w:sz w:val="24"/>
        </w:rPr>
        <w:t>УПРАВЛЕНИИ В ГО</w:t>
      </w:r>
      <w:r>
        <w:rPr>
          <w:sz w:val="24"/>
        </w:rPr>
        <w:t xml:space="preserve">РОДЕ РЯЗАНИ -------------------------------------------------------------------- 142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Готто Я.В., Рыхтер Е.С.  </w:t>
      </w:r>
    </w:p>
    <w:p w:rsidR="002C0F56" w:rsidRDefault="00E67C6E">
      <w:pPr>
        <w:spacing w:after="5" w:line="271" w:lineRule="auto"/>
        <w:ind w:left="-5" w:hanging="10"/>
        <w:jc w:val="left"/>
      </w:pPr>
      <w:r>
        <w:rPr>
          <w:sz w:val="24"/>
        </w:rPr>
        <w:t xml:space="preserve">Научный руководитель: к.э.н. Забродская К.А.  </w:t>
      </w:r>
    </w:p>
    <w:p w:rsidR="002C0F56" w:rsidRDefault="00E67C6E">
      <w:pPr>
        <w:spacing w:after="5" w:line="271" w:lineRule="auto"/>
        <w:ind w:left="-5" w:hanging="10"/>
        <w:jc w:val="left"/>
      </w:pPr>
      <w:r>
        <w:rPr>
          <w:sz w:val="24"/>
        </w:rPr>
        <w:t xml:space="preserve">АНАЛИЗ ДИНАМИКИ ЗАРАБОТНОЙ ПЛАТЫ В РЕСПУБЛИКЕ БЕЛАРУСЬ -------------- 147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Гражданинова Е.Г. </w:t>
      </w:r>
      <w:r>
        <w:rPr>
          <w:sz w:val="24"/>
        </w:rPr>
        <w:t xml:space="preserve"> </w:t>
      </w:r>
    </w:p>
    <w:p w:rsidR="002C0F56" w:rsidRDefault="00E67C6E">
      <w:pPr>
        <w:spacing w:after="5" w:line="271" w:lineRule="auto"/>
        <w:ind w:left="-5" w:hanging="10"/>
        <w:jc w:val="left"/>
      </w:pPr>
      <w:r>
        <w:rPr>
          <w:sz w:val="24"/>
        </w:rPr>
        <w:t xml:space="preserve">Научный руководитель: Капацинская Е.Н., к.э.н., доц.  </w:t>
      </w:r>
    </w:p>
    <w:p w:rsidR="002C0F56" w:rsidRDefault="00E67C6E">
      <w:pPr>
        <w:spacing w:after="5" w:line="271" w:lineRule="auto"/>
        <w:ind w:left="-5" w:hanging="10"/>
        <w:jc w:val="left"/>
      </w:pPr>
      <w:r>
        <w:rPr>
          <w:sz w:val="24"/>
        </w:rPr>
        <w:t xml:space="preserve">ОСОБЕННОСТИ РАБОТЫ С КАДРОВЫМИ АГЕНТСТВАМИ В ПРОЦЕССЕ        </w:t>
      </w:r>
    </w:p>
    <w:p w:rsidR="002C0F56" w:rsidRDefault="00E67C6E">
      <w:pPr>
        <w:spacing w:after="5" w:line="271" w:lineRule="auto"/>
        <w:ind w:left="-5" w:hanging="10"/>
        <w:jc w:val="left"/>
      </w:pPr>
      <w:r>
        <w:rPr>
          <w:sz w:val="24"/>
        </w:rPr>
        <w:t xml:space="preserve">ПОДБОРА И НАЙМА ПЕРСОНАЛА-------------------------------------------------------------------- 154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Гракова М.А., к.э.н., доц.  </w:t>
      </w:r>
    </w:p>
    <w:p w:rsidR="002C0F56" w:rsidRDefault="00E67C6E">
      <w:pPr>
        <w:spacing w:after="5" w:line="271" w:lineRule="auto"/>
        <w:ind w:left="-5" w:hanging="10"/>
        <w:jc w:val="left"/>
      </w:pPr>
      <w:r>
        <w:rPr>
          <w:sz w:val="24"/>
        </w:rPr>
        <w:t xml:space="preserve">ОЦЕНКА </w:t>
      </w:r>
      <w:r>
        <w:rPr>
          <w:sz w:val="24"/>
        </w:rPr>
        <w:t xml:space="preserve">ЭФФЕКТИВНОСТИ УПРАВЛЕНИЯ НЕДВИЖИМОСТЬЮ НА РАЗНЫХ </w:t>
      </w:r>
    </w:p>
    <w:p w:rsidR="002C0F56" w:rsidRDefault="00E67C6E">
      <w:pPr>
        <w:spacing w:after="5" w:line="271" w:lineRule="auto"/>
        <w:ind w:left="-5" w:hanging="10"/>
        <w:jc w:val="left"/>
      </w:pPr>
      <w:r>
        <w:rPr>
          <w:sz w:val="24"/>
        </w:rPr>
        <w:t xml:space="preserve">ЭТАПАХ ЖИЗНЕННОГО ЦИКЛА ---------------------------------------------------------------------- 156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Громова П.П., Крылова А. В.  </w:t>
      </w:r>
    </w:p>
    <w:p w:rsidR="002C0F56" w:rsidRDefault="00E67C6E">
      <w:pPr>
        <w:spacing w:after="5" w:line="271" w:lineRule="auto"/>
        <w:ind w:left="-5" w:hanging="10"/>
        <w:jc w:val="left"/>
      </w:pPr>
      <w:r>
        <w:rPr>
          <w:sz w:val="24"/>
        </w:rPr>
        <w:t xml:space="preserve">МЕТОДИКА ВЫЯВЛЕНИЯ КОМПЕТЕНЦИЙ ДОЛЖНОСТИ СПЕЦИАЛИСТ ПО </w:t>
      </w:r>
    </w:p>
    <w:p w:rsidR="002C0F56" w:rsidRDefault="00E67C6E">
      <w:pPr>
        <w:spacing w:after="5" w:line="271" w:lineRule="auto"/>
        <w:ind w:left="-5" w:hanging="10"/>
        <w:jc w:val="left"/>
      </w:pPr>
      <w:r>
        <w:rPr>
          <w:sz w:val="24"/>
        </w:rPr>
        <w:t xml:space="preserve">УПРАВЛЕНИЮ ПЕРСОНАЛОМ НА ОСНОВЕ КОНТЕНТ-АНАЛИЗА ------------------------ 160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Гузельбаева Г.Т., к.э.н., доц.  </w:t>
      </w:r>
    </w:p>
    <w:p w:rsidR="002C0F56" w:rsidRDefault="00E67C6E">
      <w:pPr>
        <w:spacing w:after="5" w:line="271" w:lineRule="auto"/>
        <w:ind w:left="-5" w:hanging="10"/>
        <w:jc w:val="left"/>
      </w:pPr>
      <w:r>
        <w:rPr>
          <w:sz w:val="24"/>
        </w:rPr>
        <w:t xml:space="preserve">РЕАЛИЗАЦИЯ ГОСУДАРСТВЕННО-ЧАСТНОГО ПАРТНЕРСТВА В ОСОБЫХ </w:t>
      </w:r>
    </w:p>
    <w:p w:rsidR="002C0F56" w:rsidRDefault="00E67C6E">
      <w:pPr>
        <w:spacing w:after="5" w:line="271" w:lineRule="auto"/>
        <w:ind w:left="-5" w:hanging="10"/>
        <w:jc w:val="left"/>
      </w:pPr>
      <w:r>
        <w:rPr>
          <w:sz w:val="24"/>
        </w:rPr>
        <w:t>ЭКОНОМИЧЕСКИХ ЗОНАХ ------------------------------------------------------------------</w:t>
      </w:r>
      <w:r>
        <w:rPr>
          <w:sz w:val="24"/>
        </w:rPr>
        <w:t xml:space="preserve">----------- 163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Денисюк М. Н.  </w:t>
      </w:r>
    </w:p>
    <w:p w:rsidR="002C0F56" w:rsidRDefault="00E67C6E">
      <w:pPr>
        <w:spacing w:after="5" w:line="271" w:lineRule="auto"/>
        <w:ind w:left="-5" w:hanging="10"/>
        <w:jc w:val="left"/>
      </w:pPr>
      <w:r>
        <w:rPr>
          <w:sz w:val="24"/>
        </w:rPr>
        <w:t xml:space="preserve">Научный руководитель: Дунько Э.М., к.э.н., доц.  </w:t>
      </w:r>
    </w:p>
    <w:p w:rsidR="002C0F56" w:rsidRDefault="00E67C6E">
      <w:pPr>
        <w:spacing w:after="5" w:line="271" w:lineRule="auto"/>
        <w:ind w:left="-5" w:hanging="10"/>
        <w:jc w:val="left"/>
      </w:pPr>
      <w:r>
        <w:rPr>
          <w:sz w:val="24"/>
        </w:rPr>
        <w:t xml:space="preserve">АВТОМАТИЗАЦИЯ ПРОЦЕССОВ УПРАВЛЕНИЯ РИСКАМИ ЛИЗИНГОВОЙ </w:t>
      </w:r>
    </w:p>
    <w:p w:rsidR="002C0F56" w:rsidRDefault="00E67C6E">
      <w:pPr>
        <w:spacing w:after="5" w:line="271" w:lineRule="auto"/>
        <w:ind w:left="-5" w:hanging="10"/>
        <w:jc w:val="left"/>
      </w:pPr>
      <w:r>
        <w:rPr>
          <w:sz w:val="24"/>
        </w:rPr>
        <w:t xml:space="preserve">КОМПАНИИ -------------------------------------------------------------------------------------------------- 166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Джуманазаров О.Р.  </w:t>
      </w:r>
    </w:p>
    <w:p w:rsidR="002C0F56" w:rsidRDefault="00E67C6E">
      <w:pPr>
        <w:spacing w:after="5" w:line="271" w:lineRule="auto"/>
        <w:ind w:left="-5" w:hanging="10"/>
        <w:jc w:val="left"/>
      </w:pPr>
      <w:r>
        <w:rPr>
          <w:sz w:val="24"/>
        </w:rPr>
        <w:t xml:space="preserve">Научний руководитель: Юсупов Ф., к.т.н., доц.  </w:t>
      </w:r>
    </w:p>
    <w:p w:rsidR="002C0F56" w:rsidRDefault="00E67C6E">
      <w:pPr>
        <w:spacing w:after="5" w:line="271" w:lineRule="auto"/>
        <w:ind w:left="-5" w:hanging="10"/>
        <w:jc w:val="left"/>
      </w:pPr>
      <w:r>
        <w:rPr>
          <w:sz w:val="24"/>
        </w:rPr>
        <w:t xml:space="preserve">ПРОЕКТИРОВАНИЕ ARDUINO-ПРОЕКТЫ С ПОМОЩЬЮ “FRITZING” -------------------- 168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lastRenderedPageBreak/>
        <w:t xml:space="preserve">Дорошенко Е.Ю.  </w:t>
      </w:r>
    </w:p>
    <w:p w:rsidR="002C0F56" w:rsidRDefault="00E67C6E">
      <w:pPr>
        <w:spacing w:after="5" w:line="271" w:lineRule="auto"/>
        <w:ind w:left="-5" w:hanging="10"/>
        <w:jc w:val="left"/>
      </w:pPr>
      <w:r>
        <w:rPr>
          <w:sz w:val="24"/>
        </w:rPr>
        <w:t xml:space="preserve">Научный руководитель: Быченкова И.А., к.ф.н., доц.  </w:t>
      </w:r>
    </w:p>
    <w:p w:rsidR="002C0F56" w:rsidRDefault="00E67C6E">
      <w:pPr>
        <w:spacing w:after="5" w:line="271" w:lineRule="auto"/>
        <w:ind w:left="-5" w:hanging="10"/>
        <w:jc w:val="left"/>
      </w:pPr>
      <w:r>
        <w:rPr>
          <w:sz w:val="24"/>
        </w:rPr>
        <w:t>ЭКОЛОГИЯ  И  ЭКОНОМИКА:  ПРАВОВЫЕ   АС</w:t>
      </w:r>
      <w:r>
        <w:rPr>
          <w:sz w:val="24"/>
        </w:rPr>
        <w:t xml:space="preserve">ПЕКТЫ   ПЕРЕСЕЧЕНИЯ --------------- 171 Дружбальская А. С., Курмыса Ю.А.  </w:t>
      </w:r>
    </w:p>
    <w:p w:rsidR="002C0F56" w:rsidRDefault="00E67C6E">
      <w:pPr>
        <w:spacing w:after="5" w:line="271" w:lineRule="auto"/>
        <w:ind w:left="-5" w:hanging="10"/>
        <w:jc w:val="left"/>
      </w:pPr>
      <w:r>
        <w:rPr>
          <w:sz w:val="24"/>
        </w:rPr>
        <w:t xml:space="preserve">Научный руководитель: Бункевич Н.Л.  </w:t>
      </w:r>
    </w:p>
    <w:p w:rsidR="002C0F56" w:rsidRDefault="00E67C6E">
      <w:pPr>
        <w:spacing w:after="5" w:line="271" w:lineRule="auto"/>
        <w:ind w:left="-5" w:hanging="10"/>
        <w:jc w:val="left"/>
      </w:pPr>
      <w:r>
        <w:rPr>
          <w:sz w:val="24"/>
        </w:rPr>
        <w:t xml:space="preserve">РАЗВИТИЕ И ИСПОЛЬЗОВАНИЕ АЛЬТЕРНАТИВНЫХ ИСТОЧНИКОВ                </w:t>
      </w:r>
    </w:p>
    <w:p w:rsidR="002C0F56" w:rsidRDefault="00E67C6E">
      <w:pPr>
        <w:spacing w:after="5" w:line="271" w:lineRule="auto"/>
        <w:ind w:left="-5" w:hanging="10"/>
        <w:jc w:val="left"/>
      </w:pPr>
      <w:r>
        <w:rPr>
          <w:sz w:val="24"/>
        </w:rPr>
        <w:t>ЭНЕРГИИ В РЕСПУБЛИКЕ БЕЛАРУСЬ</w:t>
      </w:r>
      <w:r>
        <w:rPr>
          <w:sz w:val="24"/>
        </w:rPr>
        <w:t xml:space="preserve"> --------------------------------------------------------------- 175</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Емельянова Д.А.  </w:t>
      </w:r>
    </w:p>
    <w:p w:rsidR="002C0F56" w:rsidRDefault="00E67C6E">
      <w:pPr>
        <w:spacing w:after="5" w:line="271" w:lineRule="auto"/>
        <w:ind w:left="-5" w:hanging="10"/>
        <w:jc w:val="left"/>
      </w:pPr>
      <w:r>
        <w:rPr>
          <w:sz w:val="24"/>
        </w:rPr>
        <w:t xml:space="preserve">Научный руководитель: Меньшикова М.А., д.э.н., проф.  </w:t>
      </w:r>
    </w:p>
    <w:p w:rsidR="002C0F56" w:rsidRDefault="00E67C6E">
      <w:pPr>
        <w:spacing w:after="5" w:line="271" w:lineRule="auto"/>
        <w:ind w:left="-5" w:hanging="10"/>
        <w:jc w:val="left"/>
      </w:pPr>
      <w:r>
        <w:rPr>
          <w:sz w:val="24"/>
        </w:rPr>
        <w:t xml:space="preserve">ИНФОРМАЦИОННОЕ ОБЕСПЕЧЕНИЕ СЛУЖБЫ МАРКЕТИНГА ---------------------------- 179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Званько Е.А.  </w:t>
      </w:r>
    </w:p>
    <w:p w:rsidR="002C0F56" w:rsidRDefault="00E67C6E">
      <w:pPr>
        <w:spacing w:after="5" w:line="271" w:lineRule="auto"/>
        <w:ind w:left="-5" w:hanging="10"/>
        <w:jc w:val="left"/>
      </w:pPr>
      <w:r>
        <w:rPr>
          <w:sz w:val="24"/>
        </w:rPr>
        <w:t>Научный руководи</w:t>
      </w:r>
      <w:r>
        <w:rPr>
          <w:sz w:val="24"/>
        </w:rPr>
        <w:t xml:space="preserve">тель: Дунько Э.М., к.э.н., доц.  </w:t>
      </w:r>
    </w:p>
    <w:p w:rsidR="002C0F56" w:rsidRDefault="00E67C6E">
      <w:pPr>
        <w:spacing w:after="5" w:line="271" w:lineRule="auto"/>
        <w:ind w:left="-5" w:hanging="10"/>
        <w:jc w:val="left"/>
      </w:pPr>
      <w:r>
        <w:rPr>
          <w:sz w:val="24"/>
        </w:rPr>
        <w:t xml:space="preserve">АВТОМАТИЗАЦИЯ ПРОЦЕССА МОНИТОРИНГА ВЗАИМОДЕЙСТВИЯ  </w:t>
      </w:r>
    </w:p>
    <w:p w:rsidR="002C0F56" w:rsidRDefault="00E67C6E">
      <w:pPr>
        <w:spacing w:after="5" w:line="271" w:lineRule="auto"/>
        <w:ind w:left="-5" w:hanging="10"/>
        <w:jc w:val="left"/>
      </w:pPr>
      <w:r>
        <w:rPr>
          <w:sz w:val="24"/>
        </w:rPr>
        <w:t xml:space="preserve">ОРГАНИЗАЦИИ С ВНЕШНИМИ КЛИЕНТАМИ ---------------------------------------------------- 181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Зенкевич В.В.  </w:t>
      </w:r>
    </w:p>
    <w:p w:rsidR="002C0F56" w:rsidRDefault="00E67C6E">
      <w:pPr>
        <w:spacing w:after="5" w:line="271" w:lineRule="auto"/>
        <w:ind w:left="-5" w:hanging="10"/>
        <w:jc w:val="left"/>
      </w:pPr>
      <w:r>
        <w:rPr>
          <w:sz w:val="24"/>
        </w:rPr>
        <w:t xml:space="preserve">Научный руководитель: Шаврук Е.Ю.  </w:t>
      </w:r>
    </w:p>
    <w:p w:rsidR="002C0F56" w:rsidRDefault="00E67C6E">
      <w:pPr>
        <w:spacing w:after="5" w:line="271" w:lineRule="auto"/>
        <w:ind w:left="-5" w:hanging="10"/>
        <w:jc w:val="left"/>
      </w:pPr>
      <w:r>
        <w:rPr>
          <w:sz w:val="24"/>
        </w:rPr>
        <w:t>ЭКОНОМИЧЕСКИЕ АСПЕКТЫ МАЙ</w:t>
      </w:r>
      <w:r>
        <w:rPr>
          <w:sz w:val="24"/>
        </w:rPr>
        <w:t xml:space="preserve">НИНГА КРИПТОВАЛЮТ ------------------------------- 185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Иларионова В. С.  </w:t>
      </w:r>
    </w:p>
    <w:p w:rsidR="002C0F56" w:rsidRDefault="00E67C6E">
      <w:pPr>
        <w:spacing w:after="5" w:line="271" w:lineRule="auto"/>
        <w:ind w:left="-5" w:hanging="10"/>
        <w:jc w:val="left"/>
      </w:pPr>
      <w:r>
        <w:rPr>
          <w:sz w:val="24"/>
        </w:rPr>
        <w:t xml:space="preserve">Научный руководитель: Булкин В.И., к.т.н., доц.  </w:t>
      </w:r>
    </w:p>
    <w:p w:rsidR="002C0F56" w:rsidRDefault="00E67C6E">
      <w:pPr>
        <w:spacing w:after="5" w:line="271" w:lineRule="auto"/>
        <w:ind w:left="-5" w:hanging="10"/>
        <w:jc w:val="left"/>
      </w:pPr>
      <w:r>
        <w:rPr>
          <w:sz w:val="24"/>
        </w:rPr>
        <w:t xml:space="preserve">ИСПОЛЬЗОВАНИЕ МЕТОДА КОМПАРАТОРНОЙ ИДЕНТИФИКАЦИИ ЗНАНИЙ        </w:t>
      </w:r>
    </w:p>
    <w:p w:rsidR="002C0F56" w:rsidRDefault="00E67C6E">
      <w:pPr>
        <w:spacing w:after="5" w:line="271" w:lineRule="auto"/>
        <w:ind w:left="-5" w:hanging="10"/>
        <w:jc w:val="left"/>
      </w:pPr>
      <w:r>
        <w:rPr>
          <w:sz w:val="24"/>
        </w:rPr>
        <w:t>ДЛЯ СОВЕРШЕНСТВОВАНИЯ УЧЕБНОГО ПРОЦЕССА --------------------------</w:t>
      </w:r>
      <w:r>
        <w:rPr>
          <w:sz w:val="24"/>
        </w:rPr>
        <w:t xml:space="preserve">-------------- 187 </w:t>
      </w:r>
    </w:p>
    <w:p w:rsidR="002C0F56" w:rsidRDefault="00E67C6E">
      <w:pPr>
        <w:spacing w:after="22" w:line="259" w:lineRule="auto"/>
        <w:ind w:left="0" w:firstLine="0"/>
        <w:jc w:val="left"/>
      </w:pPr>
      <w:r>
        <w:rPr>
          <w:color w:val="0000FF"/>
          <w:sz w:val="24"/>
        </w:rPr>
        <w:t xml:space="preserve"> </w:t>
      </w:r>
    </w:p>
    <w:p w:rsidR="002C0F56" w:rsidRDefault="00E67C6E">
      <w:pPr>
        <w:spacing w:after="5" w:line="271" w:lineRule="auto"/>
        <w:ind w:left="-5" w:right="1661" w:hanging="10"/>
        <w:jc w:val="left"/>
      </w:pPr>
      <w:r>
        <w:rPr>
          <w:sz w:val="24"/>
        </w:rPr>
        <w:t xml:space="preserve">Иномов Жафар Гуломжон угли, Таджиев Асрорбек Равшанжон угли Научный руководитель: Бустонов М. М., к.э.н., доц.  </w:t>
      </w:r>
    </w:p>
    <w:p w:rsidR="002C0F56" w:rsidRDefault="00E67C6E">
      <w:pPr>
        <w:spacing w:after="5" w:line="271" w:lineRule="auto"/>
        <w:ind w:left="-5" w:hanging="10"/>
        <w:jc w:val="left"/>
      </w:pPr>
      <w:r>
        <w:rPr>
          <w:sz w:val="24"/>
        </w:rPr>
        <w:t xml:space="preserve">УСЛОВИЯ И ПРЕДПОСЫЛКИ РАЗРАБОТКИ ЭКОНОМЕТРИЧЕСКОЙ МОДЕЛИ </w:t>
      </w:r>
    </w:p>
    <w:p w:rsidR="002C0F56" w:rsidRDefault="00E67C6E">
      <w:pPr>
        <w:spacing w:after="5" w:line="271" w:lineRule="auto"/>
        <w:ind w:left="-5" w:hanging="10"/>
        <w:jc w:val="left"/>
      </w:pPr>
      <w:r>
        <w:rPr>
          <w:sz w:val="24"/>
        </w:rPr>
        <w:t>КАЧЕСТВА ЭКОНОМИЧЕСКОГО РОСТА</w:t>
      </w:r>
      <w:r>
        <w:rPr>
          <w:sz w:val="24"/>
        </w:rPr>
        <w:t xml:space="preserve"> ----------------------------------------------------------- 192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Калиева А.А.  </w:t>
      </w:r>
    </w:p>
    <w:p w:rsidR="002C0F56" w:rsidRDefault="00E67C6E">
      <w:pPr>
        <w:spacing w:after="5" w:line="271" w:lineRule="auto"/>
        <w:ind w:left="-5" w:hanging="10"/>
        <w:jc w:val="left"/>
      </w:pPr>
      <w:r>
        <w:rPr>
          <w:sz w:val="24"/>
        </w:rPr>
        <w:t xml:space="preserve">Научный руководитель: Жунусова А.Ж.  </w:t>
      </w:r>
    </w:p>
    <w:p w:rsidR="002C0F56" w:rsidRDefault="00E67C6E">
      <w:pPr>
        <w:spacing w:after="5" w:line="271" w:lineRule="auto"/>
        <w:ind w:left="-5" w:hanging="10"/>
        <w:jc w:val="left"/>
      </w:pPr>
      <w:r>
        <w:rPr>
          <w:sz w:val="24"/>
        </w:rPr>
        <w:t xml:space="preserve">КОРПОРАТИВНАЯ СОЦИАЛЬНАЯ ОТВЕТСТВЕННОСТЬ БИЗНЕСА ----------------------- 197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Каминская Н.А.  </w:t>
      </w:r>
    </w:p>
    <w:p w:rsidR="002C0F56" w:rsidRDefault="00E67C6E">
      <w:pPr>
        <w:spacing w:after="5" w:line="271" w:lineRule="auto"/>
        <w:ind w:left="-5" w:hanging="10"/>
        <w:jc w:val="left"/>
      </w:pPr>
      <w:r>
        <w:rPr>
          <w:sz w:val="24"/>
        </w:rPr>
        <w:t xml:space="preserve">Научный руководитель: Горбач С.М.  </w:t>
      </w:r>
    </w:p>
    <w:p w:rsidR="002C0F56" w:rsidRDefault="00E67C6E">
      <w:pPr>
        <w:spacing w:after="5" w:line="271" w:lineRule="auto"/>
        <w:ind w:left="-5" w:hanging="10"/>
        <w:jc w:val="left"/>
      </w:pPr>
      <w:r>
        <w:rPr>
          <w:sz w:val="24"/>
        </w:rPr>
        <w:t>БЕ</w:t>
      </w:r>
      <w:r>
        <w:rPr>
          <w:sz w:val="24"/>
        </w:rPr>
        <w:t xml:space="preserve">ЗРАБОТИЦА В РЕСПУБЛИКЕ БЕЛАРУСЬ, АНАЛИЗ И ПУТИ ЕЕ РЕШЕНИЯ --------- 202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Каратун Т.Г.  </w:t>
      </w:r>
    </w:p>
    <w:p w:rsidR="002C0F56" w:rsidRDefault="00E67C6E">
      <w:pPr>
        <w:spacing w:after="5" w:line="271" w:lineRule="auto"/>
        <w:ind w:left="-5" w:hanging="10"/>
        <w:jc w:val="left"/>
      </w:pPr>
      <w:r>
        <w:rPr>
          <w:sz w:val="24"/>
        </w:rPr>
        <w:lastRenderedPageBreak/>
        <w:t xml:space="preserve">Научный руководитель: Шильченко Т.Н.  </w:t>
      </w:r>
    </w:p>
    <w:p w:rsidR="002C0F56" w:rsidRDefault="00E67C6E">
      <w:pPr>
        <w:spacing w:after="5" w:line="271" w:lineRule="auto"/>
        <w:ind w:left="-5" w:hanging="10"/>
        <w:jc w:val="left"/>
      </w:pPr>
      <w:r>
        <w:rPr>
          <w:sz w:val="24"/>
        </w:rPr>
        <w:t xml:space="preserve">АНАЛИЗ УРОВНЯ БЕЗРАБОТИЦЫ НА РЕГИОНАЛЬНОМ УРОВНЕ ------------------------- 206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Карпачева Е.И.  </w:t>
      </w:r>
    </w:p>
    <w:p w:rsidR="002C0F56" w:rsidRDefault="00E67C6E">
      <w:pPr>
        <w:spacing w:after="5" w:line="271" w:lineRule="auto"/>
        <w:ind w:left="-5" w:hanging="10"/>
        <w:jc w:val="left"/>
      </w:pPr>
      <w:r>
        <w:rPr>
          <w:sz w:val="24"/>
        </w:rPr>
        <w:t xml:space="preserve">Научный руководитель: Козак А.А., к.э.н., доц.  </w:t>
      </w:r>
    </w:p>
    <w:p w:rsidR="002C0F56" w:rsidRDefault="00E67C6E">
      <w:pPr>
        <w:spacing w:after="5" w:line="271" w:lineRule="auto"/>
        <w:ind w:left="-5" w:hanging="10"/>
        <w:jc w:val="left"/>
      </w:pPr>
      <w:r>
        <w:rPr>
          <w:sz w:val="24"/>
        </w:rPr>
        <w:t xml:space="preserve">КРЕДИТНОЕ ДОНОРСТВО: ОСОБЕННОСТИ, ПРЕИМУЩЕСТВА, НЕДОСТАТКИ ------ 210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Карпов А.Ю.  </w:t>
      </w:r>
    </w:p>
    <w:p w:rsidR="002C0F56" w:rsidRDefault="00E67C6E">
      <w:pPr>
        <w:spacing w:after="5" w:line="271" w:lineRule="auto"/>
        <w:ind w:left="-5" w:hanging="10"/>
        <w:jc w:val="left"/>
      </w:pPr>
      <w:r>
        <w:rPr>
          <w:sz w:val="24"/>
        </w:rPr>
        <w:t xml:space="preserve">Научный руководитель: Лосева О.В.  </w:t>
      </w:r>
    </w:p>
    <w:p w:rsidR="002C0F56" w:rsidRDefault="00E67C6E">
      <w:pPr>
        <w:spacing w:after="5" w:line="271" w:lineRule="auto"/>
        <w:ind w:left="-5" w:hanging="10"/>
        <w:jc w:val="left"/>
      </w:pPr>
      <w:r>
        <w:rPr>
          <w:sz w:val="24"/>
        </w:rPr>
        <w:t xml:space="preserve">РИСК МЕНЕДЖМЕНТ В УСЛОВИЯХ САНКЦИОННОГО РЕЖИМА ------------------------- 212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Карпук Н.В.  </w:t>
      </w:r>
    </w:p>
    <w:p w:rsidR="002C0F56" w:rsidRDefault="00E67C6E">
      <w:pPr>
        <w:spacing w:after="5" w:line="271" w:lineRule="auto"/>
        <w:ind w:left="-5" w:hanging="10"/>
        <w:jc w:val="left"/>
      </w:pPr>
      <w:r>
        <w:rPr>
          <w:sz w:val="24"/>
        </w:rPr>
        <w:t xml:space="preserve">Научный руководитель: Добрыдень Н.В.  </w:t>
      </w:r>
    </w:p>
    <w:p w:rsidR="002C0F56" w:rsidRDefault="00E67C6E">
      <w:pPr>
        <w:spacing w:after="5" w:line="271" w:lineRule="auto"/>
        <w:ind w:left="-5" w:hanging="10"/>
        <w:jc w:val="left"/>
      </w:pPr>
      <w:r>
        <w:rPr>
          <w:sz w:val="24"/>
        </w:rPr>
        <w:t xml:space="preserve">РЫНОК ТРУДА: СТАНОВЛЕНИЕ И ФОРМИРОВАНИЕ В УСЛОВИЯХ </w:t>
      </w:r>
    </w:p>
    <w:p w:rsidR="002C0F56" w:rsidRDefault="00E67C6E">
      <w:pPr>
        <w:spacing w:after="5" w:line="271" w:lineRule="auto"/>
        <w:ind w:left="-5" w:hanging="10"/>
        <w:jc w:val="left"/>
      </w:pPr>
      <w:r>
        <w:rPr>
          <w:sz w:val="24"/>
        </w:rPr>
        <w:t xml:space="preserve">ТРАНСФОРМАЦИОННОЙ ЭКОНОМИКИ ----------------------------------------------------------- 215 Клименко И.В. </w:t>
      </w:r>
    </w:p>
    <w:p w:rsidR="002C0F56" w:rsidRDefault="00E67C6E">
      <w:pPr>
        <w:spacing w:after="5" w:line="271" w:lineRule="auto"/>
        <w:ind w:left="-5" w:hanging="10"/>
        <w:jc w:val="left"/>
      </w:pPr>
      <w:r>
        <w:rPr>
          <w:sz w:val="24"/>
        </w:rPr>
        <w:t xml:space="preserve">Научный руководитель: Ващенко Л.А., к.э.н., </w:t>
      </w:r>
      <w:r>
        <w:rPr>
          <w:sz w:val="24"/>
        </w:rPr>
        <w:t xml:space="preserve">доц.  </w:t>
      </w:r>
    </w:p>
    <w:p w:rsidR="002C0F56" w:rsidRDefault="00E67C6E">
      <w:pPr>
        <w:spacing w:after="5" w:line="271" w:lineRule="auto"/>
        <w:ind w:left="-5" w:hanging="10"/>
        <w:jc w:val="left"/>
      </w:pPr>
      <w:r>
        <w:rPr>
          <w:sz w:val="24"/>
        </w:rPr>
        <w:t>АНАЛИЗ РЫНКА АВТОМОБИЛЕЙ В РОССИИ -----------------------------------------------------218</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Ковтун А.Д.  </w:t>
      </w:r>
    </w:p>
    <w:p w:rsidR="002C0F56" w:rsidRDefault="00E67C6E">
      <w:pPr>
        <w:spacing w:after="5" w:line="271" w:lineRule="auto"/>
        <w:ind w:left="-5" w:hanging="10"/>
        <w:jc w:val="left"/>
      </w:pPr>
      <w:r>
        <w:rPr>
          <w:sz w:val="24"/>
        </w:rPr>
        <w:t xml:space="preserve">Научный руководитель Золотая Л.В. </w:t>
      </w:r>
    </w:p>
    <w:p w:rsidR="002C0F56" w:rsidRDefault="00E67C6E">
      <w:pPr>
        <w:spacing w:after="5" w:line="271" w:lineRule="auto"/>
        <w:ind w:left="-5" w:hanging="10"/>
        <w:jc w:val="left"/>
      </w:pPr>
      <w:r>
        <w:rPr>
          <w:sz w:val="24"/>
        </w:rPr>
        <w:t>МЕНЕДЖМЕНТ В СОВРЕМЕННОЙ ОРГАНИЗАЦИИ --------------------------------------------220</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Коринчук А.И.  </w:t>
      </w:r>
    </w:p>
    <w:p w:rsidR="002C0F56" w:rsidRDefault="00E67C6E">
      <w:pPr>
        <w:spacing w:after="5" w:line="271" w:lineRule="auto"/>
        <w:ind w:left="-5" w:hanging="10"/>
        <w:jc w:val="left"/>
      </w:pPr>
      <w:r>
        <w:rPr>
          <w:sz w:val="24"/>
        </w:rPr>
        <w:t>Науч</w:t>
      </w:r>
      <w:r>
        <w:rPr>
          <w:sz w:val="24"/>
        </w:rPr>
        <w:t xml:space="preserve">ный руководитель: Шаврук Е.Ю.  </w:t>
      </w:r>
    </w:p>
    <w:p w:rsidR="002C0F56" w:rsidRDefault="00E67C6E">
      <w:pPr>
        <w:spacing w:after="5" w:line="271" w:lineRule="auto"/>
        <w:ind w:left="-5" w:hanging="10"/>
        <w:jc w:val="left"/>
      </w:pPr>
      <w:r>
        <w:rPr>
          <w:sz w:val="24"/>
        </w:rPr>
        <w:t xml:space="preserve">УПРАВЛЕНИЕ ЛОГИСТИКОЙ НА ПРОИЗВОДСТВЕ НА ОСНОВЕ СИСТЕМЫ     </w:t>
      </w:r>
    </w:p>
    <w:p w:rsidR="002C0F56" w:rsidRPr="00087CE5" w:rsidRDefault="00E67C6E">
      <w:pPr>
        <w:spacing w:after="5" w:line="271" w:lineRule="auto"/>
        <w:ind w:left="-5" w:hanging="10"/>
        <w:jc w:val="left"/>
        <w:rPr>
          <w:lang w:val="en-US"/>
        </w:rPr>
      </w:pPr>
      <w:r w:rsidRPr="00087CE5">
        <w:rPr>
          <w:sz w:val="24"/>
          <w:lang w:val="en-US"/>
        </w:rPr>
        <w:t xml:space="preserve">ORACLE E-BUSINESS SUITE ----------------------------------------------------------------------------- 224 </w:t>
      </w:r>
    </w:p>
    <w:p w:rsidR="002C0F56" w:rsidRPr="00087CE5" w:rsidRDefault="00E67C6E">
      <w:pPr>
        <w:spacing w:after="21" w:line="259" w:lineRule="auto"/>
        <w:ind w:left="0" w:firstLine="0"/>
        <w:jc w:val="left"/>
        <w:rPr>
          <w:lang w:val="en-US"/>
        </w:rPr>
      </w:pPr>
      <w:r w:rsidRPr="00087CE5">
        <w:rPr>
          <w:color w:val="0000FF"/>
          <w:sz w:val="24"/>
          <w:lang w:val="en-US"/>
        </w:rPr>
        <w:t xml:space="preserve"> </w:t>
      </w:r>
    </w:p>
    <w:p w:rsidR="002C0F56" w:rsidRPr="00087CE5" w:rsidRDefault="00E67C6E">
      <w:pPr>
        <w:spacing w:after="5" w:line="271" w:lineRule="auto"/>
        <w:ind w:left="-5" w:hanging="10"/>
        <w:jc w:val="left"/>
        <w:rPr>
          <w:lang w:val="en-US"/>
        </w:rPr>
      </w:pPr>
      <w:r>
        <w:rPr>
          <w:sz w:val="24"/>
        </w:rPr>
        <w:t>Коршик</w:t>
      </w:r>
      <w:r w:rsidRPr="00087CE5">
        <w:rPr>
          <w:sz w:val="24"/>
          <w:lang w:val="en-US"/>
        </w:rPr>
        <w:t xml:space="preserve"> </w:t>
      </w:r>
      <w:r>
        <w:rPr>
          <w:sz w:val="24"/>
        </w:rPr>
        <w:t>Т</w:t>
      </w:r>
      <w:r w:rsidRPr="00087CE5">
        <w:rPr>
          <w:sz w:val="24"/>
          <w:lang w:val="en-US"/>
        </w:rPr>
        <w:t xml:space="preserve">. </w:t>
      </w:r>
      <w:r>
        <w:rPr>
          <w:sz w:val="24"/>
        </w:rPr>
        <w:t>Ч</w:t>
      </w:r>
      <w:r w:rsidRPr="00087CE5">
        <w:rPr>
          <w:sz w:val="24"/>
          <w:lang w:val="en-US"/>
        </w:rPr>
        <w:t xml:space="preserve">., </w:t>
      </w:r>
      <w:r>
        <w:rPr>
          <w:sz w:val="24"/>
        </w:rPr>
        <w:t>Саганович</w:t>
      </w:r>
      <w:r w:rsidRPr="00087CE5">
        <w:rPr>
          <w:sz w:val="24"/>
          <w:lang w:val="en-US"/>
        </w:rPr>
        <w:t xml:space="preserve"> </w:t>
      </w:r>
      <w:r>
        <w:rPr>
          <w:sz w:val="24"/>
        </w:rPr>
        <w:t>Д</w:t>
      </w:r>
      <w:r w:rsidRPr="00087CE5">
        <w:rPr>
          <w:sz w:val="24"/>
          <w:lang w:val="en-US"/>
        </w:rPr>
        <w:t xml:space="preserve">. </w:t>
      </w:r>
      <w:r>
        <w:rPr>
          <w:sz w:val="24"/>
        </w:rPr>
        <w:t>О</w:t>
      </w:r>
      <w:r w:rsidRPr="00087CE5">
        <w:rPr>
          <w:sz w:val="24"/>
          <w:lang w:val="en-US"/>
        </w:rPr>
        <w:t xml:space="preserve">.  </w:t>
      </w:r>
    </w:p>
    <w:p w:rsidR="002C0F56" w:rsidRDefault="00E67C6E">
      <w:pPr>
        <w:spacing w:after="5" w:line="271" w:lineRule="auto"/>
        <w:ind w:left="-5" w:hanging="10"/>
        <w:jc w:val="left"/>
      </w:pPr>
      <w:r>
        <w:rPr>
          <w:sz w:val="24"/>
        </w:rPr>
        <w:t xml:space="preserve">Научный руководитель: Шаврук Е.Ю.  </w:t>
      </w:r>
    </w:p>
    <w:p w:rsidR="002C0F56" w:rsidRDefault="00E67C6E">
      <w:pPr>
        <w:spacing w:after="5" w:line="271" w:lineRule="auto"/>
        <w:ind w:left="-5" w:hanging="10"/>
        <w:jc w:val="left"/>
      </w:pPr>
      <w:r>
        <w:rPr>
          <w:sz w:val="24"/>
        </w:rPr>
        <w:t xml:space="preserve">РАЗВИТИЕ SEO В КОНТЕКСТЕ ГОЛОСОВЫХ ПОИСКОВЫХ ЗАПРОСОВ ---------------- 227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Коссе В. В.  </w:t>
      </w:r>
    </w:p>
    <w:p w:rsidR="002C0F56" w:rsidRDefault="00E67C6E">
      <w:pPr>
        <w:spacing w:after="5" w:line="271" w:lineRule="auto"/>
        <w:ind w:left="-5" w:hanging="10"/>
        <w:jc w:val="left"/>
      </w:pPr>
      <w:r>
        <w:rPr>
          <w:sz w:val="24"/>
        </w:rPr>
        <w:t xml:space="preserve">Научный руководитель: Корзун В.Е.  </w:t>
      </w:r>
    </w:p>
    <w:p w:rsidR="002C0F56" w:rsidRDefault="00E67C6E">
      <w:pPr>
        <w:spacing w:after="5" w:line="271" w:lineRule="auto"/>
        <w:ind w:left="-5" w:hanging="10"/>
        <w:jc w:val="left"/>
      </w:pPr>
      <w:r>
        <w:rPr>
          <w:sz w:val="24"/>
        </w:rPr>
        <w:t>МОДА ИЛИ ПРИРОДА? --------------------------------------------------------------------------</w:t>
      </w:r>
      <w:r>
        <w:rPr>
          <w:sz w:val="24"/>
        </w:rPr>
        <w:t xml:space="preserve">---------- 231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Крылова А. В., Громова П.П.  </w:t>
      </w:r>
    </w:p>
    <w:p w:rsidR="002C0F56" w:rsidRDefault="00E67C6E">
      <w:pPr>
        <w:spacing w:after="5" w:line="271" w:lineRule="auto"/>
        <w:ind w:left="-5" w:hanging="10"/>
        <w:jc w:val="left"/>
      </w:pPr>
      <w:r>
        <w:rPr>
          <w:sz w:val="24"/>
        </w:rPr>
        <w:lastRenderedPageBreak/>
        <w:t xml:space="preserve">ПРОБЛЕМЫ ВНЕДРЕНИЯ И АДАПТАЦИИ СИСТЕМ СТИМУЛИРОВАНИЯ             </w:t>
      </w:r>
    </w:p>
    <w:p w:rsidR="002C0F56" w:rsidRDefault="00E67C6E">
      <w:pPr>
        <w:spacing w:after="5" w:line="271" w:lineRule="auto"/>
        <w:ind w:left="-5" w:hanging="10"/>
        <w:jc w:val="left"/>
      </w:pPr>
      <w:r>
        <w:rPr>
          <w:sz w:val="24"/>
        </w:rPr>
        <w:t xml:space="preserve">ТРУДА В РОССИЙСКИХ ОРГАНИЗАЦИЯХ --------------------------------------------------------- 235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Кудря М.Д. </w:t>
      </w:r>
    </w:p>
    <w:p w:rsidR="002C0F56" w:rsidRDefault="00E67C6E">
      <w:pPr>
        <w:spacing w:after="5" w:line="271" w:lineRule="auto"/>
        <w:ind w:left="-5" w:hanging="10"/>
        <w:jc w:val="left"/>
      </w:pPr>
      <w:r>
        <w:rPr>
          <w:sz w:val="24"/>
        </w:rPr>
        <w:t xml:space="preserve">Руководитель: Карая Е. А.  </w:t>
      </w:r>
    </w:p>
    <w:p w:rsidR="002C0F56" w:rsidRDefault="00E67C6E">
      <w:pPr>
        <w:spacing w:after="5" w:line="271" w:lineRule="auto"/>
        <w:ind w:left="-5" w:hanging="10"/>
        <w:jc w:val="left"/>
      </w:pPr>
      <w:r>
        <w:rPr>
          <w:sz w:val="24"/>
        </w:rPr>
        <w:t>ВЛИЯН</w:t>
      </w:r>
      <w:r>
        <w:rPr>
          <w:sz w:val="24"/>
        </w:rPr>
        <w:t xml:space="preserve">ИЕ ВОЕННЫХ ДЕЙСТВИЙ НА ЭКОЛОГИЮ ДОНЕЦКОГО КРАЯ ----------------- 238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Кулакова А.А.  </w:t>
      </w:r>
    </w:p>
    <w:p w:rsidR="002C0F56" w:rsidRDefault="00E67C6E">
      <w:pPr>
        <w:spacing w:after="5" w:line="271" w:lineRule="auto"/>
        <w:ind w:left="-5" w:hanging="10"/>
        <w:jc w:val="left"/>
      </w:pPr>
      <w:r>
        <w:rPr>
          <w:sz w:val="24"/>
        </w:rPr>
        <w:t xml:space="preserve">Научный руководитель: Фаизова Э.Ф., к.э.н.  </w:t>
      </w:r>
    </w:p>
    <w:p w:rsidR="002C0F56" w:rsidRDefault="00E67C6E">
      <w:pPr>
        <w:spacing w:after="5" w:line="271" w:lineRule="auto"/>
        <w:ind w:left="-5" w:hanging="10"/>
        <w:jc w:val="left"/>
      </w:pPr>
      <w:r>
        <w:rPr>
          <w:sz w:val="24"/>
        </w:rPr>
        <w:t xml:space="preserve">EVENT-MARKETING КАК ПРЯМОЙ КОММУНИКАТИВНЫЙ ИНСТРУМЕНТ С </w:t>
      </w:r>
    </w:p>
    <w:p w:rsidR="002C0F56" w:rsidRDefault="00E67C6E">
      <w:pPr>
        <w:spacing w:after="5" w:line="271" w:lineRule="auto"/>
        <w:ind w:left="-5" w:hanging="10"/>
        <w:jc w:val="left"/>
      </w:pPr>
      <w:r>
        <w:rPr>
          <w:sz w:val="24"/>
        </w:rPr>
        <w:t>ПОТРЕБИТЕЛЯМИ ----------------------------------------------------</w:t>
      </w:r>
      <w:r>
        <w:rPr>
          <w:sz w:val="24"/>
        </w:rPr>
        <w:t xml:space="preserve">-------------------------------------- 243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Куликова Т.В.  </w:t>
      </w:r>
    </w:p>
    <w:p w:rsidR="002C0F56" w:rsidRDefault="00E67C6E">
      <w:pPr>
        <w:spacing w:after="5" w:line="271" w:lineRule="auto"/>
        <w:ind w:left="-5" w:hanging="10"/>
        <w:jc w:val="left"/>
      </w:pPr>
      <w:r>
        <w:rPr>
          <w:sz w:val="24"/>
        </w:rPr>
        <w:t xml:space="preserve">Научный руководитель: Ломовцева А.В., к.э.н., доц.  </w:t>
      </w:r>
    </w:p>
    <w:p w:rsidR="002C0F56" w:rsidRDefault="00E67C6E">
      <w:pPr>
        <w:spacing w:after="5" w:line="271" w:lineRule="auto"/>
        <w:ind w:left="-5" w:hanging="10"/>
        <w:jc w:val="left"/>
      </w:pPr>
      <w:r>
        <w:rPr>
          <w:sz w:val="24"/>
        </w:rPr>
        <w:t xml:space="preserve">РЕГИОНАЛЬНАЯ ПОДДЕРЖКА АПК НА ПРИМЕРЕ НИЖЕГОРОДСКОЙ ОБЛАСТИ -- 247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Кулинич А.  </w:t>
      </w:r>
    </w:p>
    <w:p w:rsidR="002C0F56" w:rsidRDefault="00E67C6E">
      <w:pPr>
        <w:spacing w:after="5" w:line="271" w:lineRule="auto"/>
        <w:ind w:left="-5" w:hanging="10"/>
        <w:jc w:val="left"/>
      </w:pPr>
      <w:r>
        <w:rPr>
          <w:sz w:val="24"/>
        </w:rPr>
        <w:t xml:space="preserve">Научный руководитель: Перькова Е.А., к.э.н., доц.  </w:t>
      </w:r>
    </w:p>
    <w:p w:rsidR="002C0F56" w:rsidRDefault="00E67C6E">
      <w:pPr>
        <w:spacing w:after="5" w:line="271" w:lineRule="auto"/>
        <w:ind w:left="-5" w:hanging="10"/>
        <w:jc w:val="left"/>
      </w:pPr>
      <w:r>
        <w:rPr>
          <w:sz w:val="24"/>
        </w:rPr>
        <w:t xml:space="preserve">ВЛИЯНИЕ ИНФЛЯЦИИ НА ЭКОНОМИКУ ---------------------------------------------------------- 251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Лапикова А. В.  </w:t>
      </w:r>
    </w:p>
    <w:p w:rsidR="002C0F56" w:rsidRDefault="00E67C6E">
      <w:pPr>
        <w:spacing w:after="5" w:line="271" w:lineRule="auto"/>
        <w:ind w:left="-5" w:hanging="10"/>
        <w:jc w:val="left"/>
      </w:pPr>
      <w:r>
        <w:rPr>
          <w:sz w:val="24"/>
        </w:rPr>
        <w:t xml:space="preserve">Научный руководитель: Погорелая Т. А.  </w:t>
      </w:r>
    </w:p>
    <w:p w:rsidR="002C0F56" w:rsidRDefault="00E67C6E">
      <w:pPr>
        <w:spacing w:after="5" w:line="271" w:lineRule="auto"/>
        <w:ind w:left="-5" w:hanging="10"/>
        <w:jc w:val="left"/>
      </w:pPr>
      <w:r>
        <w:rPr>
          <w:sz w:val="24"/>
        </w:rPr>
        <w:t xml:space="preserve">ВЛИЯНИЕ МИРОВОГО КРИЗИСА НА РАЗВИТИЕ СТРАН БРИКС --------------------------- 254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Ларина Л.А., Горохо</w:t>
      </w:r>
      <w:r>
        <w:rPr>
          <w:sz w:val="24"/>
        </w:rPr>
        <w:t xml:space="preserve">ва Л.А.  </w:t>
      </w:r>
    </w:p>
    <w:p w:rsidR="002C0F56" w:rsidRDefault="00E67C6E">
      <w:pPr>
        <w:spacing w:after="5" w:line="271" w:lineRule="auto"/>
        <w:ind w:left="-5" w:hanging="10"/>
        <w:jc w:val="left"/>
      </w:pPr>
      <w:r>
        <w:rPr>
          <w:sz w:val="24"/>
        </w:rPr>
        <w:t xml:space="preserve">Научный руководитель: Чернобродова Л.А., к.э.н., доц.  </w:t>
      </w:r>
    </w:p>
    <w:p w:rsidR="002C0F56" w:rsidRDefault="00E67C6E">
      <w:pPr>
        <w:spacing w:after="5" w:line="271" w:lineRule="auto"/>
        <w:ind w:left="-5" w:hanging="10"/>
        <w:jc w:val="left"/>
      </w:pPr>
      <w:r>
        <w:rPr>
          <w:sz w:val="24"/>
        </w:rPr>
        <w:t xml:space="preserve">ПРОБЛЕМЫ И ПЕРСПЕКТИВЫ ВЗАИМОДЕЙСТВИЯ ЖИВОЙ И НЕЖИВОЙ    </w:t>
      </w:r>
    </w:p>
    <w:p w:rsidR="002C0F56" w:rsidRDefault="00E67C6E">
      <w:pPr>
        <w:spacing w:after="5" w:line="271" w:lineRule="auto"/>
        <w:ind w:left="-5" w:hanging="10"/>
        <w:jc w:val="left"/>
      </w:pPr>
      <w:r>
        <w:rPr>
          <w:sz w:val="24"/>
        </w:rPr>
        <w:t xml:space="preserve">ПРИРОДЫ ------------------------------------------------------------------------------------------------------ 259 Лебединская В.А. </w:t>
      </w:r>
      <w:r>
        <w:rPr>
          <w:sz w:val="24"/>
        </w:rPr>
        <w:t xml:space="preserve"> </w:t>
      </w:r>
    </w:p>
    <w:p w:rsidR="002C0F56" w:rsidRDefault="00E67C6E">
      <w:pPr>
        <w:spacing w:after="5" w:line="271" w:lineRule="auto"/>
        <w:ind w:left="-5" w:hanging="10"/>
        <w:jc w:val="left"/>
      </w:pPr>
      <w:r>
        <w:rPr>
          <w:sz w:val="24"/>
        </w:rPr>
        <w:t xml:space="preserve">Научный руководитель: Костанда А.В., к.э.н., доц. </w:t>
      </w:r>
    </w:p>
    <w:p w:rsidR="002C0F56" w:rsidRDefault="00E67C6E">
      <w:pPr>
        <w:spacing w:after="5" w:line="271" w:lineRule="auto"/>
        <w:ind w:left="-5" w:hanging="10"/>
        <w:jc w:val="left"/>
      </w:pPr>
      <w:r>
        <w:rPr>
          <w:sz w:val="24"/>
        </w:rPr>
        <w:t>ВЛИЯНИЕ УПАКОВКИ ТОВАРА НА ПРОДАЖУ --------------------------------------------------262</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Лебединская В.А.  </w:t>
      </w:r>
    </w:p>
    <w:p w:rsidR="002C0F56" w:rsidRDefault="00E67C6E">
      <w:pPr>
        <w:spacing w:after="5" w:line="271" w:lineRule="auto"/>
        <w:ind w:left="-5" w:hanging="10"/>
        <w:jc w:val="left"/>
      </w:pPr>
      <w:r>
        <w:rPr>
          <w:sz w:val="24"/>
        </w:rPr>
        <w:t xml:space="preserve">Научный руководитель: Левадный А.Н.  </w:t>
      </w:r>
    </w:p>
    <w:p w:rsidR="002C0F56" w:rsidRDefault="00E67C6E">
      <w:pPr>
        <w:spacing w:after="5" w:line="271" w:lineRule="auto"/>
        <w:ind w:left="-5" w:hanging="10"/>
        <w:jc w:val="left"/>
      </w:pPr>
      <w:r>
        <w:rPr>
          <w:sz w:val="24"/>
        </w:rPr>
        <w:t>САМЫЕ ПОПУЛЯРНЫЕ ВИДЫ СПОРТА В МИРЕ -------------------</w:t>
      </w:r>
      <w:r>
        <w:rPr>
          <w:sz w:val="24"/>
        </w:rPr>
        <w:t>-----------------------------265</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Либерман И.Э.  </w:t>
      </w:r>
    </w:p>
    <w:p w:rsidR="002C0F56" w:rsidRDefault="00E67C6E">
      <w:pPr>
        <w:spacing w:after="5" w:line="271" w:lineRule="auto"/>
        <w:ind w:left="-5" w:hanging="10"/>
        <w:jc w:val="left"/>
      </w:pPr>
      <w:r>
        <w:rPr>
          <w:sz w:val="24"/>
        </w:rPr>
        <w:t xml:space="preserve">Научный руководитель: Балабанова Л.В, д.э.н., проф.  </w:t>
      </w:r>
    </w:p>
    <w:p w:rsidR="002C0F56" w:rsidRDefault="00E67C6E">
      <w:pPr>
        <w:spacing w:after="5" w:line="271" w:lineRule="auto"/>
        <w:ind w:left="-5" w:hanging="10"/>
        <w:jc w:val="left"/>
      </w:pPr>
      <w:r>
        <w:rPr>
          <w:sz w:val="24"/>
        </w:rPr>
        <w:t xml:space="preserve">УПРАВЛЕНИЕ ПЕРСОНАЛОМ ПРЕДПРИЯТИЯ НА ОСНОВЕ СИСТЕМНОГО  </w:t>
      </w:r>
    </w:p>
    <w:p w:rsidR="002C0F56" w:rsidRDefault="00E67C6E">
      <w:pPr>
        <w:spacing w:after="5" w:line="271" w:lineRule="auto"/>
        <w:ind w:left="-5" w:hanging="10"/>
        <w:jc w:val="left"/>
      </w:pPr>
      <w:r>
        <w:rPr>
          <w:sz w:val="24"/>
        </w:rPr>
        <w:t xml:space="preserve">ПОДХОДА В УСЛОВИЯХ МАРКЕТИНГОВОЙ ОРИЕНТАЦИИ-------------------------------- 268 </w:t>
      </w:r>
    </w:p>
    <w:p w:rsidR="002C0F56" w:rsidRDefault="00E67C6E">
      <w:pPr>
        <w:spacing w:after="20" w:line="259" w:lineRule="auto"/>
        <w:ind w:left="0" w:firstLine="0"/>
        <w:jc w:val="left"/>
      </w:pPr>
      <w:r>
        <w:rPr>
          <w:color w:val="0000FF"/>
          <w:sz w:val="24"/>
        </w:rPr>
        <w:lastRenderedPageBreak/>
        <w:t xml:space="preserve"> </w:t>
      </w:r>
    </w:p>
    <w:p w:rsidR="002C0F56" w:rsidRDefault="00E67C6E">
      <w:pPr>
        <w:spacing w:after="5" w:line="271" w:lineRule="auto"/>
        <w:ind w:left="-5" w:hanging="10"/>
        <w:jc w:val="left"/>
      </w:pPr>
      <w:r>
        <w:rPr>
          <w:sz w:val="24"/>
        </w:rPr>
        <w:t xml:space="preserve">Лукашова Т. С.  </w:t>
      </w:r>
    </w:p>
    <w:p w:rsidR="002C0F56" w:rsidRDefault="00E67C6E">
      <w:pPr>
        <w:spacing w:after="5" w:line="271" w:lineRule="auto"/>
        <w:ind w:left="-5" w:hanging="10"/>
        <w:jc w:val="left"/>
      </w:pPr>
      <w:r>
        <w:rPr>
          <w:sz w:val="24"/>
        </w:rPr>
        <w:t xml:space="preserve">Научный руководитель: Тарасенко Л. М.,  к.э.н., проф.  </w:t>
      </w:r>
    </w:p>
    <w:p w:rsidR="002C0F56" w:rsidRDefault="00E67C6E">
      <w:pPr>
        <w:spacing w:after="5" w:line="271" w:lineRule="auto"/>
        <w:ind w:left="-5" w:hanging="10"/>
        <w:jc w:val="left"/>
      </w:pPr>
      <w:r>
        <w:rPr>
          <w:sz w:val="24"/>
        </w:rPr>
        <w:t xml:space="preserve">ФИНАНСОВЫЙ ГЛОБАЛИЗМ КАК ОБЪЕКТИВНЫЙ ЭТАП  </w:t>
      </w:r>
    </w:p>
    <w:p w:rsidR="002C0F56" w:rsidRDefault="00E67C6E">
      <w:pPr>
        <w:spacing w:after="5" w:line="271" w:lineRule="auto"/>
        <w:ind w:left="-5" w:hanging="10"/>
        <w:jc w:val="left"/>
      </w:pPr>
      <w:r>
        <w:rPr>
          <w:sz w:val="24"/>
        </w:rPr>
        <w:t xml:space="preserve">ИНТЕРНАЦИОНАЛИЗАЦИИ МИРОВОГО ХОЗЯЙСТВА ---------------------------------------- 272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Лысенко Д.Д.  </w:t>
      </w:r>
    </w:p>
    <w:p w:rsidR="002C0F56" w:rsidRDefault="00E67C6E">
      <w:pPr>
        <w:spacing w:after="5" w:line="271" w:lineRule="auto"/>
        <w:ind w:left="-5" w:hanging="10"/>
        <w:jc w:val="left"/>
      </w:pPr>
      <w:r>
        <w:rPr>
          <w:sz w:val="24"/>
        </w:rPr>
        <w:t>Научный руководитель: Голубничая С.Н.</w:t>
      </w:r>
      <w:r>
        <w:rPr>
          <w:sz w:val="24"/>
        </w:rPr>
        <w:t xml:space="preserve">, к.б.н., доц.  </w:t>
      </w:r>
    </w:p>
    <w:p w:rsidR="002C0F56" w:rsidRDefault="00E67C6E">
      <w:pPr>
        <w:spacing w:after="5" w:line="271" w:lineRule="auto"/>
        <w:ind w:left="-5" w:hanging="10"/>
        <w:jc w:val="left"/>
      </w:pPr>
      <w:r>
        <w:rPr>
          <w:sz w:val="24"/>
        </w:rPr>
        <w:t xml:space="preserve">ЭКОЛОГИЗАЦИЯ ТУРИСТИЧЕСКОЙ СФЕРЫ ----------------------------------------------------- 276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Маланова Н.А.  </w:t>
      </w:r>
    </w:p>
    <w:p w:rsidR="002C0F56" w:rsidRDefault="00E67C6E">
      <w:pPr>
        <w:spacing w:after="5" w:line="271" w:lineRule="auto"/>
        <w:ind w:left="-5" w:hanging="10"/>
        <w:jc w:val="left"/>
      </w:pPr>
      <w:r>
        <w:rPr>
          <w:sz w:val="24"/>
        </w:rPr>
        <w:t xml:space="preserve">Научный руководитель: Корниенко Е.В., к.соц.н., доц.  </w:t>
      </w:r>
    </w:p>
    <w:p w:rsidR="002C0F56" w:rsidRDefault="00E67C6E">
      <w:pPr>
        <w:spacing w:after="5" w:line="271" w:lineRule="auto"/>
        <w:ind w:left="-5" w:hanging="10"/>
        <w:jc w:val="left"/>
      </w:pPr>
      <w:r>
        <w:rPr>
          <w:sz w:val="24"/>
        </w:rPr>
        <w:t xml:space="preserve">СОЦИОЛОГИЧЕСКИЙ АНАЛИЗ ОТНОШЕНИЯ СОТРУДНИКОВ К СИСТЕМЕ </w:t>
      </w:r>
    </w:p>
    <w:p w:rsidR="002C0F56" w:rsidRDefault="00E67C6E">
      <w:pPr>
        <w:spacing w:after="5" w:line="271" w:lineRule="auto"/>
        <w:ind w:left="-5" w:hanging="10"/>
        <w:jc w:val="left"/>
      </w:pPr>
      <w:r>
        <w:rPr>
          <w:sz w:val="24"/>
        </w:rPr>
        <w:t>УПРАВЛЕНИЯ ЧЕЛОВЕЧ</w:t>
      </w:r>
      <w:r>
        <w:rPr>
          <w:sz w:val="24"/>
        </w:rPr>
        <w:t xml:space="preserve">ЕСКИМИ РЕСУРСАМИ В ОРГАНИЗАЦИИ ----------------------- 279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Макарова А.Д.  </w:t>
      </w:r>
    </w:p>
    <w:p w:rsidR="002C0F56" w:rsidRDefault="00E67C6E">
      <w:pPr>
        <w:spacing w:after="5" w:line="271" w:lineRule="auto"/>
        <w:ind w:left="-5" w:hanging="10"/>
        <w:jc w:val="left"/>
      </w:pPr>
      <w:r>
        <w:rPr>
          <w:sz w:val="24"/>
        </w:rPr>
        <w:t xml:space="preserve">Научный руководитель: Тиндова М.Г., к.э.н., доц.  </w:t>
      </w:r>
    </w:p>
    <w:p w:rsidR="002C0F56" w:rsidRDefault="00E67C6E">
      <w:pPr>
        <w:spacing w:after="5" w:line="271" w:lineRule="auto"/>
        <w:ind w:left="-5" w:hanging="10"/>
        <w:jc w:val="left"/>
      </w:pPr>
      <w:r>
        <w:rPr>
          <w:sz w:val="24"/>
        </w:rPr>
        <w:t xml:space="preserve">КОИНТЕГРАЦИОННЫЙ АНАЛИЗ ЛЕСОВОССТАНОВИТЕЛЬНЫХ РАБОТ --------------- 284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Махтей К.В.  </w:t>
      </w:r>
    </w:p>
    <w:p w:rsidR="002C0F56" w:rsidRDefault="00E67C6E">
      <w:pPr>
        <w:spacing w:after="5" w:line="271" w:lineRule="auto"/>
        <w:ind w:left="-5" w:hanging="10"/>
        <w:jc w:val="left"/>
      </w:pPr>
      <w:r>
        <w:rPr>
          <w:sz w:val="24"/>
        </w:rPr>
        <w:t xml:space="preserve">Научный руководитель: Ванкович Г.Р.  </w:t>
      </w:r>
    </w:p>
    <w:p w:rsidR="002C0F56" w:rsidRDefault="00E67C6E">
      <w:pPr>
        <w:spacing w:after="5" w:line="271" w:lineRule="auto"/>
        <w:ind w:left="-5" w:hanging="10"/>
        <w:jc w:val="left"/>
      </w:pPr>
      <w:r>
        <w:rPr>
          <w:sz w:val="24"/>
        </w:rPr>
        <w:t xml:space="preserve">ИНФОРМАЦИОННАЯ БЕЗОПАСНОСТЬ ОРГАНИЗАЦИИ И ПРЕДПРИЯТИЯ:   </w:t>
      </w:r>
    </w:p>
    <w:p w:rsidR="002C0F56" w:rsidRDefault="00E67C6E">
      <w:pPr>
        <w:spacing w:after="5" w:line="271" w:lineRule="auto"/>
        <w:ind w:left="-5" w:hanging="10"/>
        <w:jc w:val="left"/>
      </w:pPr>
      <w:r>
        <w:rPr>
          <w:sz w:val="24"/>
        </w:rPr>
        <w:t xml:space="preserve">ПОНЯТИЕ, УГРОЗЫ, МЕТОДЫ ОБЕСПЕЧЕНИЯ --------------------------------------------------- 286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Мезенцева В.Г.  </w:t>
      </w:r>
    </w:p>
    <w:p w:rsidR="002C0F56" w:rsidRDefault="00E67C6E">
      <w:pPr>
        <w:spacing w:after="5" w:line="271" w:lineRule="auto"/>
        <w:ind w:left="-5" w:hanging="10"/>
        <w:jc w:val="left"/>
      </w:pPr>
      <w:r>
        <w:rPr>
          <w:sz w:val="24"/>
        </w:rPr>
        <w:t xml:space="preserve">Научный руководитель: Меньшикова М.А, д.э.н., проф.  </w:t>
      </w:r>
    </w:p>
    <w:p w:rsidR="002C0F56" w:rsidRDefault="00E67C6E">
      <w:pPr>
        <w:spacing w:after="5" w:line="271" w:lineRule="auto"/>
        <w:ind w:left="-5" w:hanging="10"/>
        <w:jc w:val="left"/>
      </w:pPr>
      <w:r>
        <w:rPr>
          <w:sz w:val="24"/>
        </w:rPr>
        <w:t>КОМПЛЕКС МАРКЕТИНГА И  МАРКЕТИНГ</w:t>
      </w:r>
      <w:r>
        <w:rPr>
          <w:sz w:val="24"/>
        </w:rPr>
        <w:t xml:space="preserve">ОВАЯ СТРАТЕГИЯ                                    </w:t>
      </w:r>
    </w:p>
    <w:p w:rsidR="002C0F56" w:rsidRDefault="00E67C6E">
      <w:pPr>
        <w:spacing w:after="5" w:line="271" w:lineRule="auto"/>
        <w:ind w:left="-5" w:hanging="10"/>
        <w:jc w:val="left"/>
      </w:pPr>
      <w:r>
        <w:rPr>
          <w:sz w:val="24"/>
        </w:rPr>
        <w:t xml:space="preserve">ПАО «СБЕРБАНК РОССИИ» ----------------------------------------------------------------------------- 290 </w:t>
      </w:r>
    </w:p>
    <w:p w:rsidR="002C0F56" w:rsidRDefault="00E67C6E">
      <w:pPr>
        <w:spacing w:after="22"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Мелещенко Д.Д., Шильникова Е.Д., Погорелая Т. А.  </w:t>
      </w:r>
    </w:p>
    <w:p w:rsidR="002C0F56" w:rsidRDefault="00E67C6E">
      <w:pPr>
        <w:spacing w:after="5" w:line="271" w:lineRule="auto"/>
        <w:ind w:left="-5" w:hanging="10"/>
        <w:jc w:val="left"/>
      </w:pPr>
      <w:r>
        <w:rPr>
          <w:sz w:val="24"/>
        </w:rPr>
        <w:t>ФАКТОРЫ ПРЕОДОЛЕНИЯ НЕПРИВЛЕКАТЕЛЬНОСТИ ЭКОНОМИ</w:t>
      </w:r>
      <w:r>
        <w:rPr>
          <w:sz w:val="24"/>
        </w:rPr>
        <w:t xml:space="preserve">КИ           </w:t>
      </w:r>
    </w:p>
    <w:p w:rsidR="002C0F56" w:rsidRDefault="00E67C6E">
      <w:pPr>
        <w:spacing w:after="5" w:line="271" w:lineRule="auto"/>
        <w:ind w:left="-5" w:hanging="10"/>
        <w:jc w:val="left"/>
      </w:pPr>
      <w:r>
        <w:rPr>
          <w:sz w:val="24"/>
        </w:rPr>
        <w:t xml:space="preserve">КУЗБАССА ДЛЯ ИНОСТРАННЫХ ИНВЕСТОРОВ ------------------------------------------------ 293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Минина А. И., Пинчук Т. А.  </w:t>
      </w:r>
    </w:p>
    <w:p w:rsidR="002C0F56" w:rsidRDefault="00E67C6E">
      <w:pPr>
        <w:spacing w:after="5" w:line="271" w:lineRule="auto"/>
        <w:ind w:left="-5" w:hanging="10"/>
        <w:jc w:val="left"/>
      </w:pPr>
      <w:r>
        <w:rPr>
          <w:sz w:val="24"/>
        </w:rPr>
        <w:t xml:space="preserve">Научный руководитель: Кулакова Н. Л.  </w:t>
      </w:r>
    </w:p>
    <w:p w:rsidR="002C0F56" w:rsidRDefault="00E67C6E">
      <w:pPr>
        <w:spacing w:after="5" w:line="271" w:lineRule="auto"/>
        <w:ind w:left="-5" w:hanging="10"/>
        <w:jc w:val="left"/>
      </w:pPr>
      <w:r>
        <w:rPr>
          <w:sz w:val="24"/>
        </w:rPr>
        <w:t xml:space="preserve">ОСОБО ОХРАНЯЕМЫЕ ПРИРОДНЫЕ ТЕРРИТОРИИ РЕСПУБЛИКИ БЕЛАРУСЬ: </w:t>
      </w:r>
    </w:p>
    <w:p w:rsidR="002C0F56" w:rsidRDefault="00E67C6E">
      <w:pPr>
        <w:spacing w:after="5" w:line="271" w:lineRule="auto"/>
        <w:ind w:left="-5" w:hanging="10"/>
        <w:jc w:val="left"/>
      </w:pPr>
      <w:r>
        <w:rPr>
          <w:sz w:val="24"/>
        </w:rPr>
        <w:t>ПРОБЛЕМЫ И ПУТИ ИХ РЕШ</w:t>
      </w:r>
      <w:r>
        <w:rPr>
          <w:sz w:val="24"/>
        </w:rPr>
        <w:t xml:space="preserve">ЕНИЯ ------------------------------------------------------------------ 297 Моисеенко И.В. </w:t>
      </w:r>
    </w:p>
    <w:p w:rsidR="002C0F56" w:rsidRDefault="00E67C6E">
      <w:pPr>
        <w:spacing w:after="5" w:line="271" w:lineRule="auto"/>
        <w:ind w:left="-5" w:hanging="10"/>
        <w:jc w:val="left"/>
      </w:pPr>
      <w:r>
        <w:rPr>
          <w:sz w:val="24"/>
        </w:rPr>
        <w:lastRenderedPageBreak/>
        <w:t xml:space="preserve">Научный руководитель: Стасюк Н.В., к.э.н., доц.  </w:t>
      </w:r>
    </w:p>
    <w:p w:rsidR="002C0F56" w:rsidRDefault="00E67C6E">
      <w:pPr>
        <w:spacing w:after="5" w:line="271" w:lineRule="auto"/>
        <w:ind w:left="-5" w:hanging="10"/>
        <w:jc w:val="left"/>
      </w:pPr>
      <w:r>
        <w:rPr>
          <w:sz w:val="24"/>
        </w:rPr>
        <w:t>ПРИНЯТИЕ РЕШЕНИЙ В УСЛОВИЯХ НЕОПРЕДЕЛЕННОСТИ -------------------------------302</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Мухитдинов Ш. З.  </w:t>
      </w:r>
    </w:p>
    <w:p w:rsidR="002C0F56" w:rsidRDefault="00E67C6E">
      <w:pPr>
        <w:spacing w:after="5" w:line="271" w:lineRule="auto"/>
        <w:ind w:left="-5" w:hanging="10"/>
        <w:jc w:val="left"/>
      </w:pPr>
      <w:r>
        <w:rPr>
          <w:sz w:val="24"/>
        </w:rPr>
        <w:t xml:space="preserve">ПЕРСПЕКТИВЫ РАЗВИТИЯ МАЛОГО БИЗНЕСА И ЧАСТНОГО </w:t>
      </w:r>
    </w:p>
    <w:p w:rsidR="002C0F56" w:rsidRDefault="00E67C6E">
      <w:pPr>
        <w:spacing w:after="5" w:line="271" w:lineRule="auto"/>
        <w:ind w:left="-5" w:hanging="10"/>
        <w:jc w:val="left"/>
      </w:pPr>
      <w:r>
        <w:rPr>
          <w:sz w:val="24"/>
        </w:rPr>
        <w:t>ПРЕДПРИНИМАТЕЛЬСТВА В РЕСПУБЛИКЕ УЗБЕКИСТАН ----------------------------------306</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Мухитдинов Ш. З.  </w:t>
      </w:r>
    </w:p>
    <w:p w:rsidR="002C0F56" w:rsidRDefault="00E67C6E">
      <w:pPr>
        <w:spacing w:after="5" w:line="271" w:lineRule="auto"/>
        <w:ind w:left="-5" w:hanging="10"/>
        <w:jc w:val="left"/>
      </w:pPr>
      <w:r>
        <w:rPr>
          <w:sz w:val="24"/>
        </w:rPr>
        <w:t xml:space="preserve">РЕГИОНАЛЬНЫЕ ОСОБЕННОСТИ МАЛОГО БИЗНЕСА И ЧАСТНОГО </w:t>
      </w:r>
    </w:p>
    <w:p w:rsidR="002C0F56" w:rsidRDefault="00E67C6E">
      <w:pPr>
        <w:spacing w:after="5" w:line="271" w:lineRule="auto"/>
        <w:ind w:left="-5" w:hanging="10"/>
        <w:jc w:val="left"/>
      </w:pPr>
      <w:r>
        <w:rPr>
          <w:sz w:val="24"/>
        </w:rPr>
        <w:t>ПРЕДПРИНИМАТЕЛЬСТВА В РЕСПУБЛИКЕ УЗБЕКИСТАН ---------</w:t>
      </w:r>
      <w:r>
        <w:rPr>
          <w:sz w:val="24"/>
        </w:rPr>
        <w:t xml:space="preserve">------------------------- 309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Ненартович К.Р.  </w:t>
      </w:r>
    </w:p>
    <w:p w:rsidR="002C0F56" w:rsidRDefault="00E67C6E">
      <w:pPr>
        <w:spacing w:after="5" w:line="271" w:lineRule="auto"/>
        <w:ind w:left="-5" w:hanging="10"/>
        <w:jc w:val="left"/>
      </w:pPr>
      <w:r>
        <w:rPr>
          <w:sz w:val="24"/>
        </w:rPr>
        <w:t xml:space="preserve">Научный руководитель: Ванкович Г.Р.  </w:t>
      </w:r>
    </w:p>
    <w:p w:rsidR="002C0F56" w:rsidRDefault="00E67C6E">
      <w:pPr>
        <w:spacing w:after="5" w:line="271" w:lineRule="auto"/>
        <w:ind w:left="-5" w:hanging="10"/>
        <w:jc w:val="left"/>
      </w:pPr>
      <w:r>
        <w:rPr>
          <w:sz w:val="24"/>
        </w:rPr>
        <w:t xml:space="preserve">ЭФФЕКТИВНОСТЬ ИСПОЛЬЗОВАНИЯ ЭЛЕКТРОННЫХ ДНЕВНИКОВ ------------------- 313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Никоненко И.О.  </w:t>
      </w:r>
    </w:p>
    <w:p w:rsidR="002C0F56" w:rsidRDefault="00E67C6E">
      <w:pPr>
        <w:spacing w:after="5" w:line="271" w:lineRule="auto"/>
        <w:ind w:left="-5" w:hanging="10"/>
        <w:jc w:val="left"/>
      </w:pPr>
      <w:r>
        <w:rPr>
          <w:sz w:val="24"/>
        </w:rPr>
        <w:t xml:space="preserve">Научный руководитель: Майоренко Т.Н.  </w:t>
      </w:r>
    </w:p>
    <w:p w:rsidR="002C0F56" w:rsidRDefault="00E67C6E">
      <w:pPr>
        <w:spacing w:after="5" w:line="271" w:lineRule="auto"/>
        <w:ind w:left="-5" w:hanging="10"/>
        <w:jc w:val="left"/>
      </w:pPr>
      <w:r>
        <w:rPr>
          <w:sz w:val="24"/>
        </w:rPr>
        <w:t>ДИНАМИКА СРЕДНЕЙ РЕАЛЬНОЙ ЗАРАБОТН</w:t>
      </w:r>
      <w:r>
        <w:rPr>
          <w:sz w:val="24"/>
        </w:rPr>
        <w:t xml:space="preserve">ОЙ ПЛАТЫ  </w:t>
      </w:r>
    </w:p>
    <w:p w:rsidR="002C0F56" w:rsidRDefault="00E67C6E">
      <w:pPr>
        <w:spacing w:after="5" w:line="271" w:lineRule="auto"/>
        <w:ind w:left="-5" w:hanging="10"/>
        <w:jc w:val="left"/>
      </w:pPr>
      <w:r>
        <w:rPr>
          <w:sz w:val="24"/>
        </w:rPr>
        <w:t xml:space="preserve">В МИРОВОЙ ЭКОНОМИКЕ ------------------------------------------------------------------------------ 316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Никулина В.В., Май М.Е.  </w:t>
      </w:r>
    </w:p>
    <w:p w:rsidR="002C0F56" w:rsidRDefault="00E67C6E">
      <w:pPr>
        <w:spacing w:after="5" w:line="271" w:lineRule="auto"/>
        <w:ind w:left="-5" w:hanging="10"/>
        <w:jc w:val="left"/>
      </w:pPr>
      <w:r>
        <w:rPr>
          <w:sz w:val="24"/>
        </w:rPr>
        <w:t xml:space="preserve">Научный руководитель: Погорелая Т. А., к.э.н, доц.  </w:t>
      </w:r>
    </w:p>
    <w:p w:rsidR="002C0F56" w:rsidRDefault="00E67C6E">
      <w:pPr>
        <w:spacing w:after="5" w:line="271" w:lineRule="auto"/>
        <w:ind w:left="-5" w:hanging="10"/>
        <w:jc w:val="left"/>
      </w:pPr>
      <w:r>
        <w:rPr>
          <w:sz w:val="24"/>
        </w:rPr>
        <w:t xml:space="preserve">ФОНДЫ ПОДДЕРЖКИ МАЛОГО БИЗНЕСА В США </w:t>
      </w:r>
    </w:p>
    <w:p w:rsidR="002C0F56" w:rsidRDefault="00E67C6E">
      <w:pPr>
        <w:spacing w:after="5" w:line="271" w:lineRule="auto"/>
        <w:ind w:left="-5" w:hanging="10"/>
        <w:jc w:val="left"/>
      </w:pPr>
      <w:r>
        <w:rPr>
          <w:sz w:val="24"/>
        </w:rPr>
        <w:t>(УРОКИ ДЛЯ РОССИИ)</w:t>
      </w:r>
      <w:r>
        <w:rPr>
          <w:sz w:val="24"/>
        </w:rPr>
        <w:t xml:space="preserve"> ------------------------------------------------------------------------------------ 320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Ныркова Э.  </w:t>
      </w:r>
    </w:p>
    <w:p w:rsidR="002C0F56" w:rsidRDefault="00E67C6E">
      <w:pPr>
        <w:spacing w:after="5" w:line="271" w:lineRule="auto"/>
        <w:ind w:left="-5" w:hanging="10"/>
        <w:jc w:val="left"/>
      </w:pPr>
      <w:r>
        <w:rPr>
          <w:sz w:val="24"/>
        </w:rPr>
        <w:t xml:space="preserve">Научный руководитель: Бойцова Е.Н.  </w:t>
      </w:r>
    </w:p>
    <w:p w:rsidR="002C0F56" w:rsidRDefault="00E67C6E">
      <w:pPr>
        <w:spacing w:after="5" w:line="271" w:lineRule="auto"/>
        <w:ind w:left="-5" w:hanging="10"/>
        <w:jc w:val="left"/>
      </w:pPr>
      <w:r>
        <w:rPr>
          <w:sz w:val="24"/>
        </w:rPr>
        <w:t xml:space="preserve">ИССЛЕДОВАНИЕ ПРОБЛЕМЫ ЗДОРОВОГО ПИТАНИЯ И КРАСОТЫ     </w:t>
      </w:r>
    </w:p>
    <w:p w:rsidR="002C0F56" w:rsidRDefault="00E67C6E">
      <w:pPr>
        <w:spacing w:after="5" w:line="271" w:lineRule="auto"/>
        <w:ind w:left="-5" w:hanging="10"/>
        <w:jc w:val="left"/>
      </w:pPr>
      <w:r>
        <w:rPr>
          <w:sz w:val="24"/>
        </w:rPr>
        <w:t>СОВРЕМЕННОЙ ДЕВУШКИ --------------------------------------</w:t>
      </w:r>
      <w:r>
        <w:rPr>
          <w:sz w:val="24"/>
        </w:rPr>
        <w:t xml:space="preserve">--------------------------------------- 325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Овчаренко О.И., к.т.н., доц.  </w:t>
      </w:r>
    </w:p>
    <w:p w:rsidR="002C0F56" w:rsidRDefault="00E67C6E">
      <w:pPr>
        <w:spacing w:after="5" w:line="271" w:lineRule="auto"/>
        <w:ind w:left="-5" w:hanging="10"/>
        <w:jc w:val="left"/>
      </w:pPr>
      <w:r>
        <w:rPr>
          <w:sz w:val="24"/>
        </w:rPr>
        <w:t xml:space="preserve">ПАРАЛЛЕЛЬНЫЕ АЛГОРИТМЫ РЕШЕНИЯ СИСТЕМ ЛИНЕЙНЫХ   </w:t>
      </w:r>
    </w:p>
    <w:p w:rsidR="002C0F56" w:rsidRDefault="00E67C6E">
      <w:pPr>
        <w:spacing w:after="5" w:line="271" w:lineRule="auto"/>
        <w:ind w:left="-5" w:hanging="10"/>
        <w:jc w:val="left"/>
      </w:pPr>
      <w:r>
        <w:rPr>
          <w:sz w:val="24"/>
        </w:rPr>
        <w:t xml:space="preserve">АЛГЕБРАИЧЕСКИХ УРАВНЕНИЙ --------------------------------------------------------------------- 329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Осипов Д.А.  </w:t>
      </w:r>
    </w:p>
    <w:p w:rsidR="002C0F56" w:rsidRDefault="00E67C6E">
      <w:pPr>
        <w:spacing w:after="5" w:line="271" w:lineRule="auto"/>
        <w:ind w:left="-5" w:hanging="10"/>
        <w:jc w:val="left"/>
      </w:pPr>
      <w:r>
        <w:rPr>
          <w:sz w:val="24"/>
        </w:rPr>
        <w:t xml:space="preserve">Научный руководитель: Овчаренко О.И., к.т.н., доц.  </w:t>
      </w:r>
    </w:p>
    <w:p w:rsidR="002C0F56" w:rsidRDefault="00E67C6E">
      <w:pPr>
        <w:spacing w:after="5" w:line="271" w:lineRule="auto"/>
        <w:ind w:left="-5" w:hanging="10"/>
        <w:jc w:val="left"/>
      </w:pPr>
      <w:r>
        <w:rPr>
          <w:sz w:val="24"/>
        </w:rPr>
        <w:t xml:space="preserve">ИСПОЛЬЗОВАНИЕ ОБЛАЧНЫХ ТЕХНОЛОГИЙ ДЛЯ СОВЕРШЕНСТВОВАНИЯ       </w:t>
      </w:r>
    </w:p>
    <w:p w:rsidR="002C0F56" w:rsidRDefault="00E67C6E">
      <w:pPr>
        <w:spacing w:after="5" w:line="271" w:lineRule="auto"/>
        <w:ind w:left="-5" w:hanging="10"/>
        <w:jc w:val="left"/>
      </w:pPr>
      <w:r>
        <w:rPr>
          <w:sz w:val="24"/>
        </w:rPr>
        <w:lastRenderedPageBreak/>
        <w:t xml:space="preserve">HRM-ПРОЦЕССОВ ------------------------------------------------------------------------------------------ 334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Остапенко Я.В.  </w:t>
      </w:r>
    </w:p>
    <w:p w:rsidR="002C0F56" w:rsidRDefault="00E67C6E">
      <w:pPr>
        <w:spacing w:after="5" w:line="271" w:lineRule="auto"/>
        <w:ind w:left="-5" w:hanging="10"/>
        <w:jc w:val="left"/>
      </w:pPr>
      <w:r>
        <w:rPr>
          <w:sz w:val="24"/>
        </w:rPr>
        <w:t>Научный рук</w:t>
      </w:r>
      <w:r>
        <w:rPr>
          <w:sz w:val="24"/>
        </w:rPr>
        <w:t xml:space="preserve">оводитель: Долбня Н.В.  </w:t>
      </w:r>
    </w:p>
    <w:p w:rsidR="002C0F56" w:rsidRDefault="00E67C6E">
      <w:pPr>
        <w:spacing w:after="5" w:line="271" w:lineRule="auto"/>
        <w:ind w:left="-5" w:hanging="10"/>
        <w:jc w:val="left"/>
      </w:pPr>
      <w:r>
        <w:rPr>
          <w:sz w:val="24"/>
        </w:rPr>
        <w:t xml:space="preserve">БИОИНДИКАЦИЯ ЗАГРЯЗНЕНИЯ ВОЗДУХА ПО СОСТОЯНИЮ ХВОИ ЕЛИ </w:t>
      </w:r>
    </w:p>
    <w:p w:rsidR="002C0F56" w:rsidRDefault="00E67C6E">
      <w:pPr>
        <w:spacing w:after="5" w:line="271" w:lineRule="auto"/>
        <w:ind w:left="-5" w:hanging="10"/>
        <w:jc w:val="left"/>
      </w:pPr>
      <w:r>
        <w:rPr>
          <w:sz w:val="24"/>
        </w:rPr>
        <w:t xml:space="preserve">ОБЫКНОВЕННОЙ ------------------------------------------------------------------------------------------- 338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Острикова А.Е.  </w:t>
      </w:r>
    </w:p>
    <w:p w:rsidR="002C0F56" w:rsidRDefault="00E67C6E">
      <w:pPr>
        <w:spacing w:after="5" w:line="271" w:lineRule="auto"/>
        <w:ind w:left="-5" w:hanging="10"/>
        <w:jc w:val="left"/>
      </w:pPr>
      <w:r>
        <w:rPr>
          <w:sz w:val="24"/>
        </w:rPr>
        <w:t xml:space="preserve">Научный руководитель: Лыхач Н.С.  </w:t>
      </w:r>
    </w:p>
    <w:p w:rsidR="002C0F56" w:rsidRDefault="00E67C6E">
      <w:pPr>
        <w:spacing w:after="5" w:line="271" w:lineRule="auto"/>
        <w:ind w:left="-5" w:hanging="10"/>
        <w:jc w:val="left"/>
      </w:pPr>
      <w:r>
        <w:rPr>
          <w:sz w:val="24"/>
        </w:rPr>
        <w:t xml:space="preserve">РАЗВИТИЕ СПОСОБНОСТЕЙ И ТАЛАНТА ЭКОНОМИЧЕСКОЙ       </w:t>
      </w:r>
    </w:p>
    <w:p w:rsidR="002C0F56" w:rsidRDefault="00E67C6E">
      <w:pPr>
        <w:spacing w:after="5" w:line="271" w:lineRule="auto"/>
        <w:ind w:left="-5" w:hanging="10"/>
        <w:jc w:val="left"/>
      </w:pPr>
      <w:r>
        <w:rPr>
          <w:sz w:val="24"/>
        </w:rPr>
        <w:t xml:space="preserve">НАПРАВЛЕННОСТИ В МОЛОДЁЖНОЙ СРЕДЕ --------------------------------------------------- 342 Пальчик Д.В.  </w:t>
      </w:r>
    </w:p>
    <w:p w:rsidR="002C0F56" w:rsidRDefault="00E67C6E">
      <w:pPr>
        <w:spacing w:after="5" w:line="271" w:lineRule="auto"/>
        <w:ind w:left="-5" w:hanging="10"/>
        <w:jc w:val="left"/>
      </w:pPr>
      <w:r>
        <w:rPr>
          <w:sz w:val="24"/>
        </w:rPr>
        <w:t xml:space="preserve">Научный руководитель: Дорофеев В.Г., к.э.н., доц. </w:t>
      </w:r>
    </w:p>
    <w:p w:rsidR="002C0F56" w:rsidRDefault="00E67C6E">
      <w:pPr>
        <w:spacing w:after="5" w:line="271" w:lineRule="auto"/>
        <w:ind w:left="-5" w:hanging="10"/>
        <w:jc w:val="left"/>
      </w:pPr>
      <w:r>
        <w:rPr>
          <w:sz w:val="24"/>
        </w:rPr>
        <w:t xml:space="preserve">СУЩНОСТЬ ИННОВАЦИОННОГО ПОТЕНЦИАЛА В ЭКОНОМИКЕ </w:t>
      </w:r>
      <w:r>
        <w:rPr>
          <w:sz w:val="24"/>
        </w:rPr>
        <w:t>ЗНАНИЙ ----------345</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Пахомова А.А.  </w:t>
      </w:r>
    </w:p>
    <w:p w:rsidR="002C0F56" w:rsidRDefault="00E67C6E">
      <w:pPr>
        <w:spacing w:after="5" w:line="271" w:lineRule="auto"/>
        <w:ind w:left="-5" w:hanging="10"/>
        <w:jc w:val="left"/>
      </w:pPr>
      <w:r>
        <w:rPr>
          <w:sz w:val="24"/>
        </w:rPr>
        <w:t xml:space="preserve">Научный руководитель: Хитрых О.В.  </w:t>
      </w:r>
    </w:p>
    <w:p w:rsidR="002C0F56" w:rsidRDefault="00E67C6E">
      <w:pPr>
        <w:spacing w:after="5" w:line="271" w:lineRule="auto"/>
        <w:ind w:left="-5" w:hanging="10"/>
        <w:jc w:val="left"/>
      </w:pPr>
      <w:r>
        <w:rPr>
          <w:sz w:val="24"/>
        </w:rPr>
        <w:t>ПОИСКОВЫЕ СИСТЕМЫ В ГЛОБАЛЬНОЙ СИСТЕМЕ ИНТЕРНЕТ -------------------------348</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Пекарская А.С.  </w:t>
      </w:r>
    </w:p>
    <w:p w:rsidR="002C0F56" w:rsidRDefault="00E67C6E">
      <w:pPr>
        <w:spacing w:after="5" w:line="271" w:lineRule="auto"/>
        <w:ind w:left="-5" w:hanging="10"/>
        <w:jc w:val="left"/>
      </w:pPr>
      <w:r>
        <w:rPr>
          <w:sz w:val="24"/>
        </w:rPr>
        <w:t xml:space="preserve">Научный руководитель: Сетько Е.А., к.физ.-мат.н., доц.  </w:t>
      </w:r>
    </w:p>
    <w:p w:rsidR="002C0F56" w:rsidRDefault="00E67C6E">
      <w:pPr>
        <w:spacing w:after="5" w:line="271" w:lineRule="auto"/>
        <w:ind w:left="-5" w:hanging="10"/>
        <w:jc w:val="left"/>
      </w:pPr>
      <w:r>
        <w:rPr>
          <w:sz w:val="24"/>
        </w:rPr>
        <w:t>МОДЕЛИ ЛИНЕЙНОЙ АЛГЕБРЫ В ЭК</w:t>
      </w:r>
      <w:r>
        <w:rPr>
          <w:sz w:val="24"/>
        </w:rPr>
        <w:t xml:space="preserve">ОНОМИКЕ ------------------------------------------------ 351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Перегудина Э. С.  </w:t>
      </w:r>
    </w:p>
    <w:p w:rsidR="002C0F56" w:rsidRDefault="00E67C6E">
      <w:pPr>
        <w:spacing w:after="5" w:line="271" w:lineRule="auto"/>
        <w:ind w:left="-5" w:hanging="10"/>
        <w:jc w:val="left"/>
      </w:pPr>
      <w:r>
        <w:rPr>
          <w:sz w:val="24"/>
        </w:rPr>
        <w:t xml:space="preserve">Научный руководитель: Перегудин С.И., д.ф.м.н., проф.  </w:t>
      </w:r>
    </w:p>
    <w:p w:rsidR="002C0F56" w:rsidRDefault="00E67C6E">
      <w:pPr>
        <w:spacing w:after="5" w:line="271" w:lineRule="auto"/>
        <w:ind w:left="-5" w:hanging="10"/>
        <w:jc w:val="left"/>
      </w:pPr>
      <w:r>
        <w:rPr>
          <w:sz w:val="24"/>
        </w:rPr>
        <w:t xml:space="preserve">РЕШЕНИЕ СИСТЕМ ДИФФЕРЕНЦИАЛЬНЫХ УРАВНЕНИЙ МЕТОДОМ АДАМСА, </w:t>
      </w:r>
    </w:p>
    <w:p w:rsidR="002C0F56" w:rsidRDefault="00E67C6E">
      <w:pPr>
        <w:spacing w:after="5" w:line="271" w:lineRule="auto"/>
        <w:ind w:left="-5" w:hanging="10"/>
        <w:jc w:val="left"/>
      </w:pPr>
      <w:r>
        <w:rPr>
          <w:sz w:val="24"/>
        </w:rPr>
        <w:t>МЕТОДОМ ПРОГНОЗА И КОРРЕКЦИИ -----------------------------</w:t>
      </w:r>
      <w:r>
        <w:rPr>
          <w:sz w:val="24"/>
        </w:rPr>
        <w:t xml:space="preserve">--------------------------------- 356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Погорелая Е.В.  </w:t>
      </w:r>
    </w:p>
    <w:p w:rsidR="002C0F56" w:rsidRDefault="00E67C6E">
      <w:pPr>
        <w:spacing w:after="5" w:line="271" w:lineRule="auto"/>
        <w:ind w:left="-5" w:hanging="10"/>
        <w:jc w:val="left"/>
      </w:pPr>
      <w:r>
        <w:rPr>
          <w:sz w:val="24"/>
        </w:rPr>
        <w:t xml:space="preserve">Научный руководитель: Погорелая Т. А., к.э.н., доц.  </w:t>
      </w:r>
    </w:p>
    <w:p w:rsidR="002C0F56" w:rsidRDefault="00E67C6E">
      <w:pPr>
        <w:spacing w:after="5" w:line="271" w:lineRule="auto"/>
        <w:ind w:left="-5" w:hanging="10"/>
        <w:jc w:val="left"/>
      </w:pPr>
      <w:r>
        <w:rPr>
          <w:sz w:val="24"/>
        </w:rPr>
        <w:t xml:space="preserve">ПРОБЛЕМА ПРЕОДОЛЕНИЯ НЕРАВНОМЕРНОСТИ ОТРАСЛЕВОГО РАЗВИТИЯ В </w:t>
      </w:r>
    </w:p>
    <w:p w:rsidR="002C0F56" w:rsidRDefault="00E67C6E">
      <w:pPr>
        <w:spacing w:after="5" w:line="271" w:lineRule="auto"/>
        <w:ind w:left="-5" w:hanging="10"/>
        <w:jc w:val="left"/>
      </w:pPr>
      <w:r>
        <w:rPr>
          <w:sz w:val="24"/>
        </w:rPr>
        <w:t>РЕГИОНЕ----------------------------------------------------------------------------</w:t>
      </w:r>
      <w:r>
        <w:rPr>
          <w:sz w:val="24"/>
        </w:rPr>
        <w:t xml:space="preserve">--------------------------- 359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Погребняк А.  </w:t>
      </w:r>
    </w:p>
    <w:p w:rsidR="002C0F56" w:rsidRDefault="00E67C6E">
      <w:pPr>
        <w:spacing w:after="5" w:line="271" w:lineRule="auto"/>
        <w:ind w:left="-5" w:hanging="10"/>
        <w:jc w:val="left"/>
      </w:pPr>
      <w:r>
        <w:rPr>
          <w:sz w:val="24"/>
        </w:rPr>
        <w:t xml:space="preserve">Научный руководитель: Бордачев В.С.  </w:t>
      </w:r>
    </w:p>
    <w:p w:rsidR="002C0F56" w:rsidRDefault="00E67C6E">
      <w:pPr>
        <w:spacing w:after="5" w:line="271" w:lineRule="auto"/>
        <w:ind w:left="-5" w:hanging="10"/>
        <w:jc w:val="left"/>
      </w:pPr>
      <w:r>
        <w:rPr>
          <w:sz w:val="24"/>
        </w:rPr>
        <w:t xml:space="preserve">ОСОБЕННОСТИ ЗАНЯТИЙ В СПЕЦИАЛЬНЫХ МЕДИЦИНСКИХ ГРУППАХ </w:t>
      </w:r>
    </w:p>
    <w:p w:rsidR="002C0F56" w:rsidRDefault="00E67C6E">
      <w:pPr>
        <w:spacing w:after="5" w:line="271" w:lineRule="auto"/>
        <w:ind w:left="-5" w:hanging="10"/>
        <w:jc w:val="left"/>
      </w:pPr>
      <w:r>
        <w:rPr>
          <w:sz w:val="24"/>
        </w:rPr>
        <w:lastRenderedPageBreak/>
        <w:t xml:space="preserve">СТУДЕНТОВ С ОСЛАБЛЕННЫМ ЗДОРОВЬЕМ ---------------------------------------------------- 364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Полешук Т.А.  </w:t>
      </w:r>
    </w:p>
    <w:p w:rsidR="002C0F56" w:rsidRDefault="00E67C6E">
      <w:pPr>
        <w:spacing w:after="5" w:line="271" w:lineRule="auto"/>
        <w:ind w:left="-5" w:hanging="10"/>
        <w:jc w:val="left"/>
      </w:pPr>
      <w:r>
        <w:rPr>
          <w:sz w:val="24"/>
        </w:rPr>
        <w:t xml:space="preserve">Научный руководитель: Онищук А.В.  </w:t>
      </w:r>
    </w:p>
    <w:p w:rsidR="002C0F56" w:rsidRDefault="00E67C6E">
      <w:pPr>
        <w:spacing w:after="5" w:line="271" w:lineRule="auto"/>
        <w:ind w:left="-5" w:hanging="10"/>
        <w:jc w:val="left"/>
      </w:pPr>
      <w:r>
        <w:rPr>
          <w:sz w:val="24"/>
        </w:rPr>
        <w:t xml:space="preserve">МЕТОДОЛОГИЯ ВНЕДРЕНИЯ РИСК-МЕНЕДЖМЕНТА НА ПРЕДПРИЯТИИ------------- 371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Попова К. Д.  </w:t>
      </w:r>
    </w:p>
    <w:p w:rsidR="002C0F56" w:rsidRDefault="00E67C6E">
      <w:pPr>
        <w:spacing w:after="5" w:line="271" w:lineRule="auto"/>
        <w:ind w:left="-5" w:hanging="10"/>
        <w:jc w:val="left"/>
      </w:pPr>
      <w:r>
        <w:rPr>
          <w:sz w:val="24"/>
        </w:rPr>
        <w:t xml:space="preserve">Научный руководитель: Карпова Е. Г.  </w:t>
      </w:r>
    </w:p>
    <w:p w:rsidR="002C0F56" w:rsidRDefault="00E67C6E">
      <w:pPr>
        <w:spacing w:after="5" w:line="271" w:lineRule="auto"/>
        <w:ind w:left="-5" w:hanging="10"/>
        <w:jc w:val="left"/>
      </w:pPr>
      <w:r>
        <w:rPr>
          <w:sz w:val="24"/>
        </w:rPr>
        <w:t xml:space="preserve">ВЗАИМОСВЯЗЬ ПРОСТРАНСТВЕННО-ВРЕМЕННЫХ ПОКАЗАТЕЛЕЙ В НОВОЙ </w:t>
      </w:r>
    </w:p>
    <w:p w:rsidR="002C0F56" w:rsidRDefault="00E67C6E">
      <w:pPr>
        <w:spacing w:after="5" w:line="271" w:lineRule="auto"/>
        <w:ind w:left="-5" w:hanging="10"/>
        <w:jc w:val="left"/>
      </w:pPr>
      <w:r>
        <w:rPr>
          <w:sz w:val="24"/>
        </w:rPr>
        <w:t xml:space="preserve">ТЕОРИИ ЭКОНОМИЧЕСКИХ </w:t>
      </w:r>
      <w:r>
        <w:rPr>
          <w:sz w:val="24"/>
        </w:rPr>
        <w:t xml:space="preserve">СИСТЕМ Г. КЛЕЙНЕРА ------------------------------------------ 376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Потоцкая Д. А.  </w:t>
      </w:r>
    </w:p>
    <w:p w:rsidR="002C0F56" w:rsidRDefault="00E67C6E">
      <w:pPr>
        <w:spacing w:after="5" w:line="271" w:lineRule="auto"/>
        <w:ind w:left="-5" w:hanging="10"/>
        <w:jc w:val="left"/>
      </w:pPr>
      <w:r>
        <w:rPr>
          <w:sz w:val="24"/>
        </w:rPr>
        <w:t xml:space="preserve">Научный руководитель: Шаврук Е. Н.  </w:t>
      </w:r>
    </w:p>
    <w:p w:rsidR="002C0F56" w:rsidRDefault="00E67C6E">
      <w:pPr>
        <w:spacing w:after="5" w:line="271" w:lineRule="auto"/>
        <w:ind w:left="-5" w:hanging="10"/>
        <w:jc w:val="left"/>
      </w:pPr>
      <w:r>
        <w:rPr>
          <w:sz w:val="24"/>
        </w:rPr>
        <w:t xml:space="preserve">ИСПОЛЬЗОВАНИЕ ГИС В ЛОГИСТИКЕ ------------------------------------------------------------- 381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Поцепня И.Н.  </w:t>
      </w:r>
    </w:p>
    <w:p w:rsidR="002C0F56" w:rsidRDefault="00E67C6E">
      <w:pPr>
        <w:spacing w:after="5" w:line="271" w:lineRule="auto"/>
        <w:ind w:left="-5" w:hanging="10"/>
        <w:jc w:val="left"/>
      </w:pPr>
      <w:r>
        <w:rPr>
          <w:sz w:val="24"/>
        </w:rPr>
        <w:t>Научный руководител</w:t>
      </w:r>
      <w:r>
        <w:rPr>
          <w:sz w:val="24"/>
        </w:rPr>
        <w:t xml:space="preserve">ь: Онищук А.В.  </w:t>
      </w:r>
    </w:p>
    <w:p w:rsidR="002C0F56" w:rsidRDefault="00E67C6E">
      <w:pPr>
        <w:spacing w:after="5" w:line="271" w:lineRule="auto"/>
        <w:ind w:left="-5" w:hanging="10"/>
        <w:jc w:val="left"/>
      </w:pPr>
      <w:r>
        <w:rPr>
          <w:sz w:val="24"/>
        </w:rPr>
        <w:t xml:space="preserve">МЕЖДУНАРОДНЫЙ ФИНАНСОВЫЙ МЕНЕДЖМЕНТ В УСЛОВИЯХ КРИЗИСА </w:t>
      </w:r>
    </w:p>
    <w:p w:rsidR="002C0F56" w:rsidRDefault="00E67C6E">
      <w:pPr>
        <w:spacing w:after="5" w:line="271" w:lineRule="auto"/>
        <w:ind w:left="-5" w:hanging="10"/>
        <w:jc w:val="left"/>
      </w:pPr>
      <w:r>
        <w:rPr>
          <w:sz w:val="24"/>
        </w:rPr>
        <w:t xml:space="preserve">ГЛОБАЛЬНОГО ФИНАНСОВОГО РЫНКА ---------------------------------------------------------- 384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Поцепня И.Н.  </w:t>
      </w:r>
    </w:p>
    <w:p w:rsidR="002C0F56" w:rsidRDefault="00E67C6E">
      <w:pPr>
        <w:spacing w:after="5" w:line="271" w:lineRule="auto"/>
        <w:ind w:left="-5" w:hanging="10"/>
        <w:jc w:val="left"/>
      </w:pPr>
      <w:r>
        <w:rPr>
          <w:sz w:val="24"/>
        </w:rPr>
        <w:t xml:space="preserve">Научный руководитель: Лягуская Н.В.  </w:t>
      </w:r>
    </w:p>
    <w:p w:rsidR="002C0F56" w:rsidRDefault="00E67C6E">
      <w:pPr>
        <w:spacing w:after="5" w:line="271" w:lineRule="auto"/>
        <w:ind w:left="-5" w:hanging="10"/>
        <w:jc w:val="left"/>
      </w:pPr>
      <w:r>
        <w:rPr>
          <w:sz w:val="24"/>
        </w:rPr>
        <w:t xml:space="preserve">ПРОБЛЕМА ИМПОРТОЗАМЕЩЕНИЯ В ЭКОНОМИКЕ РЕСПУБЛИКИ БЕЛАРУСЬ ---- 389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Протасова М.А.  </w:t>
      </w:r>
    </w:p>
    <w:p w:rsidR="002C0F56" w:rsidRDefault="00E67C6E">
      <w:pPr>
        <w:spacing w:after="5" w:line="271" w:lineRule="auto"/>
        <w:ind w:left="-5" w:hanging="10"/>
        <w:jc w:val="left"/>
      </w:pPr>
      <w:r>
        <w:rPr>
          <w:sz w:val="24"/>
        </w:rPr>
        <w:t xml:space="preserve">МИРОВОЙ ОПЫТ ИННОВАЦИОННОГО РАЗВИТИЯ --------------------------------------------394 Разиньков А.О. </w:t>
      </w:r>
    </w:p>
    <w:p w:rsidR="002C0F56" w:rsidRDefault="00E67C6E">
      <w:pPr>
        <w:spacing w:after="5" w:line="271" w:lineRule="auto"/>
        <w:ind w:left="-5" w:hanging="10"/>
        <w:jc w:val="left"/>
      </w:pPr>
      <w:r>
        <w:rPr>
          <w:sz w:val="24"/>
        </w:rPr>
        <w:t xml:space="preserve">Научный руководитель: Быстрицкая А.Ю., к.э.н., доц.  </w:t>
      </w:r>
    </w:p>
    <w:p w:rsidR="002C0F56" w:rsidRDefault="00E67C6E">
      <w:pPr>
        <w:spacing w:after="5" w:line="271" w:lineRule="auto"/>
        <w:ind w:left="-5" w:hanging="10"/>
        <w:jc w:val="left"/>
      </w:pPr>
      <w:r>
        <w:rPr>
          <w:sz w:val="24"/>
        </w:rPr>
        <w:t>ТЕХНОЛОГИЯ РАЗ</w:t>
      </w:r>
      <w:r>
        <w:rPr>
          <w:sz w:val="24"/>
        </w:rPr>
        <w:t xml:space="preserve">РАБОТКИ ТЕХНИКО-ЭКОНОМИЧЕСКОГО ОБОСНОВАНИЯ </w:t>
      </w:r>
    </w:p>
    <w:p w:rsidR="002C0F56" w:rsidRDefault="00E67C6E">
      <w:pPr>
        <w:spacing w:after="5" w:line="271" w:lineRule="auto"/>
        <w:ind w:left="-5" w:hanging="10"/>
        <w:jc w:val="left"/>
      </w:pPr>
      <w:r>
        <w:rPr>
          <w:sz w:val="24"/>
        </w:rPr>
        <w:t xml:space="preserve">ИННОВАЦИОННОГО ПРОЕКТА ----------------------------------------------------------------------- 397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Рахманкулова М.Р.  </w:t>
      </w:r>
    </w:p>
    <w:p w:rsidR="002C0F56" w:rsidRDefault="00E67C6E">
      <w:pPr>
        <w:spacing w:after="5" w:line="271" w:lineRule="auto"/>
        <w:ind w:left="-5" w:hanging="10"/>
        <w:jc w:val="left"/>
      </w:pPr>
      <w:r>
        <w:rPr>
          <w:sz w:val="24"/>
        </w:rPr>
        <w:t xml:space="preserve">Научный руководитель: Аллабергенова Д.Қ.  </w:t>
      </w:r>
    </w:p>
    <w:p w:rsidR="002C0F56" w:rsidRDefault="00E67C6E">
      <w:pPr>
        <w:spacing w:after="5" w:line="271" w:lineRule="auto"/>
        <w:ind w:left="-5" w:hanging="10"/>
        <w:jc w:val="left"/>
      </w:pPr>
      <w:r>
        <w:rPr>
          <w:sz w:val="24"/>
        </w:rPr>
        <w:t>СОСТОЯНИЕ ЗДОРОВЬЯ НАСЕЛЕНИЯ И ФАКТОРЫ ОКРУЖАЮЩ</w:t>
      </w:r>
      <w:r>
        <w:rPr>
          <w:sz w:val="24"/>
        </w:rPr>
        <w:t xml:space="preserve">ЕЙ СРЕДЫ --------- 400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Рыбалкина А. А.  </w:t>
      </w:r>
    </w:p>
    <w:p w:rsidR="002C0F56" w:rsidRDefault="00E67C6E">
      <w:pPr>
        <w:spacing w:after="5" w:line="271" w:lineRule="auto"/>
        <w:ind w:left="-5" w:hanging="10"/>
        <w:jc w:val="left"/>
      </w:pPr>
      <w:r>
        <w:rPr>
          <w:sz w:val="24"/>
        </w:rPr>
        <w:t xml:space="preserve">Научный руководитель: Тиндова М.Г., к.э.н., доц.  </w:t>
      </w:r>
    </w:p>
    <w:p w:rsidR="002C0F56" w:rsidRDefault="00E67C6E">
      <w:pPr>
        <w:spacing w:after="5" w:line="271" w:lineRule="auto"/>
        <w:ind w:left="-5" w:hanging="10"/>
        <w:jc w:val="left"/>
      </w:pPr>
      <w:r>
        <w:rPr>
          <w:sz w:val="24"/>
        </w:rPr>
        <w:t xml:space="preserve">МАТЕМАТИЧЕСКИЕ МОДЕЛИ ОЦЕНКИ СТОИМОСТИ НА РЕГИОНАЛЬНЫХ   </w:t>
      </w:r>
    </w:p>
    <w:p w:rsidR="002C0F56" w:rsidRDefault="00E67C6E">
      <w:pPr>
        <w:spacing w:after="5" w:line="271" w:lineRule="auto"/>
        <w:ind w:left="-5" w:hanging="10"/>
        <w:jc w:val="left"/>
      </w:pPr>
      <w:r>
        <w:rPr>
          <w:sz w:val="24"/>
        </w:rPr>
        <w:t xml:space="preserve">РЫНКАХ БЫТОВОЙ ТЕХНИКИ ------------------------------------------------------------------------ 403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Садовая А.М.  </w:t>
      </w:r>
    </w:p>
    <w:p w:rsidR="002C0F56" w:rsidRDefault="00E67C6E">
      <w:pPr>
        <w:spacing w:after="5" w:line="271" w:lineRule="auto"/>
        <w:ind w:left="-5" w:hanging="10"/>
        <w:jc w:val="left"/>
      </w:pPr>
      <w:r>
        <w:rPr>
          <w:sz w:val="24"/>
        </w:rPr>
        <w:t xml:space="preserve">Научный руководитель: Крылова Е.В., к.э.н., доц.  </w:t>
      </w:r>
    </w:p>
    <w:p w:rsidR="002C0F56" w:rsidRDefault="00E67C6E">
      <w:pPr>
        <w:spacing w:after="5" w:line="271" w:lineRule="auto"/>
        <w:ind w:left="-5" w:hanging="10"/>
        <w:jc w:val="left"/>
      </w:pPr>
      <w:r>
        <w:rPr>
          <w:sz w:val="24"/>
        </w:rPr>
        <w:t xml:space="preserve">ПРОБЛЕМЫ ЗАНЯТОСТИ НАСЕЛЕНИЯ В ВОЛОГОДСКОЙ ОБЛАСТИ -------------------- 406 </w:t>
      </w:r>
    </w:p>
    <w:p w:rsidR="002C0F56" w:rsidRDefault="00E67C6E">
      <w:pPr>
        <w:spacing w:after="20" w:line="259" w:lineRule="auto"/>
        <w:ind w:left="0" w:firstLine="0"/>
        <w:jc w:val="left"/>
      </w:pPr>
      <w:r>
        <w:rPr>
          <w:color w:val="0000FF"/>
          <w:sz w:val="24"/>
        </w:rPr>
        <w:lastRenderedPageBreak/>
        <w:t xml:space="preserve"> </w:t>
      </w:r>
    </w:p>
    <w:p w:rsidR="002C0F56" w:rsidRDefault="00E67C6E">
      <w:pPr>
        <w:spacing w:after="5" w:line="271" w:lineRule="auto"/>
        <w:ind w:left="-5" w:hanging="10"/>
        <w:jc w:val="left"/>
      </w:pPr>
      <w:r>
        <w:rPr>
          <w:sz w:val="24"/>
        </w:rPr>
        <w:t xml:space="preserve">Саркисян Ж.Р.  </w:t>
      </w:r>
    </w:p>
    <w:p w:rsidR="002C0F56" w:rsidRDefault="00E67C6E">
      <w:pPr>
        <w:spacing w:after="5" w:line="271" w:lineRule="auto"/>
        <w:ind w:left="-5" w:hanging="10"/>
        <w:jc w:val="left"/>
      </w:pPr>
      <w:r>
        <w:rPr>
          <w:sz w:val="24"/>
        </w:rPr>
        <w:t xml:space="preserve">Научный руководитель: Е.В. Товстик </w:t>
      </w:r>
    </w:p>
    <w:p w:rsidR="002C0F56" w:rsidRDefault="00E67C6E">
      <w:pPr>
        <w:spacing w:after="5" w:line="271" w:lineRule="auto"/>
        <w:ind w:left="-5" w:hanging="10"/>
        <w:jc w:val="left"/>
      </w:pPr>
      <w:r>
        <w:rPr>
          <w:sz w:val="24"/>
        </w:rPr>
        <w:t>ЗНАЧЕНИЕ ТРАНСНАЦИОНАЛЬНЫХ КОРПОРАЦИЙ В МИРОВОЙ ЭКОНОМИКЕ</w:t>
      </w:r>
      <w:r>
        <w:rPr>
          <w:sz w:val="24"/>
        </w:rPr>
        <w:t xml:space="preserve"> --- 409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Серищев И.Р.  </w:t>
      </w:r>
    </w:p>
    <w:p w:rsidR="002C0F56" w:rsidRDefault="00E67C6E">
      <w:pPr>
        <w:spacing w:after="5" w:line="271" w:lineRule="auto"/>
        <w:ind w:left="-5" w:hanging="10"/>
        <w:jc w:val="left"/>
      </w:pPr>
      <w:r>
        <w:rPr>
          <w:sz w:val="24"/>
        </w:rPr>
        <w:t xml:space="preserve">Научный руководитель: Мителкина Г.А.  </w:t>
      </w:r>
    </w:p>
    <w:p w:rsidR="002C0F56" w:rsidRDefault="00E67C6E">
      <w:pPr>
        <w:spacing w:after="5" w:line="271" w:lineRule="auto"/>
        <w:ind w:left="-5" w:hanging="10"/>
        <w:jc w:val="left"/>
      </w:pPr>
      <w:r>
        <w:rPr>
          <w:sz w:val="24"/>
        </w:rPr>
        <w:t xml:space="preserve">УТИЛИЗАЦИЯ ТВЕРДЫХ БЫТОВЫХ ОТХОДОВ В ЛУГАНСКЕ ----------------------------- 412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Сидорова О.В.  </w:t>
      </w:r>
    </w:p>
    <w:p w:rsidR="002C0F56" w:rsidRDefault="00E67C6E">
      <w:pPr>
        <w:spacing w:after="5" w:line="271" w:lineRule="auto"/>
        <w:ind w:left="-5" w:hanging="10"/>
        <w:jc w:val="left"/>
      </w:pPr>
      <w:r>
        <w:rPr>
          <w:sz w:val="24"/>
        </w:rPr>
        <w:t xml:space="preserve">Научный руководитель: Капацинская Е. Н., к.э.н, доц.  </w:t>
      </w:r>
    </w:p>
    <w:p w:rsidR="002C0F56" w:rsidRDefault="00E67C6E">
      <w:pPr>
        <w:spacing w:after="5" w:line="271" w:lineRule="auto"/>
        <w:ind w:left="-5" w:hanging="10"/>
        <w:jc w:val="left"/>
      </w:pPr>
      <w:r>
        <w:rPr>
          <w:sz w:val="24"/>
        </w:rPr>
        <w:t>ОРГАНИЗАЦИЯ ТРУДА ПЕРСОНАЛА, ЕЕ СОДЕ</w:t>
      </w:r>
      <w:r>
        <w:rPr>
          <w:sz w:val="24"/>
        </w:rPr>
        <w:t xml:space="preserve">РЖАНИЕ ------------------------------------- 415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Смагина О.В.  </w:t>
      </w:r>
    </w:p>
    <w:p w:rsidR="002C0F56" w:rsidRDefault="00E67C6E">
      <w:pPr>
        <w:spacing w:after="5" w:line="271" w:lineRule="auto"/>
        <w:ind w:left="-5" w:hanging="10"/>
        <w:jc w:val="left"/>
      </w:pPr>
      <w:r>
        <w:rPr>
          <w:sz w:val="24"/>
        </w:rPr>
        <w:t xml:space="preserve">Научный руководитель: Тиндова М.Г., к.э.н., доц.  </w:t>
      </w:r>
    </w:p>
    <w:p w:rsidR="002C0F56" w:rsidRDefault="00E67C6E">
      <w:pPr>
        <w:spacing w:after="5" w:line="271" w:lineRule="auto"/>
        <w:ind w:left="-5" w:hanging="10"/>
        <w:jc w:val="left"/>
      </w:pPr>
      <w:r>
        <w:rPr>
          <w:sz w:val="24"/>
        </w:rPr>
        <w:t xml:space="preserve">ДИНАМИЧЕСКИЙ АНАЛИЗ ЛЕСОВОССТАНОВИТЕЛЬНЫХ РАБОТ В РФ --------------- 418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Смердова К.Ф.  </w:t>
      </w:r>
    </w:p>
    <w:p w:rsidR="002C0F56" w:rsidRDefault="00E67C6E">
      <w:pPr>
        <w:spacing w:after="5" w:line="271" w:lineRule="auto"/>
        <w:ind w:left="-5" w:hanging="10"/>
        <w:jc w:val="left"/>
      </w:pPr>
      <w:r>
        <w:rPr>
          <w:sz w:val="24"/>
        </w:rPr>
        <w:t xml:space="preserve">Научный руководитель: Дариенко О.Л.  </w:t>
      </w:r>
    </w:p>
    <w:p w:rsidR="002C0F56" w:rsidRDefault="00E67C6E">
      <w:pPr>
        <w:spacing w:after="5" w:line="271" w:lineRule="auto"/>
        <w:ind w:left="-5" w:hanging="10"/>
        <w:jc w:val="left"/>
      </w:pPr>
      <w:r>
        <w:rPr>
          <w:sz w:val="24"/>
        </w:rPr>
        <w:t xml:space="preserve">ФОРМИРОВАНИЯ ПОРТФЕЛЯ ИННОВАЦИОННЫХ ПРОЕКТОВ «ЗЕЛЕНОГО»     РОСТА ЭКОНОМИКИ ДОНЕЦКОГО РЕГИОНА: ТЕОРЕТИЧЕСКИЙ АСПЕКТ ----------- 421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Смирнова В.И.  </w:t>
      </w:r>
    </w:p>
    <w:p w:rsidR="002C0F56" w:rsidRDefault="00E67C6E">
      <w:pPr>
        <w:spacing w:after="5" w:line="271" w:lineRule="auto"/>
        <w:ind w:left="-5" w:hanging="10"/>
        <w:jc w:val="left"/>
      </w:pPr>
      <w:r>
        <w:rPr>
          <w:sz w:val="24"/>
        </w:rPr>
        <w:t xml:space="preserve">Научный руководитель: Тиндова М.Г., к.э.н., доц.  </w:t>
      </w:r>
    </w:p>
    <w:p w:rsidR="002C0F56" w:rsidRDefault="00E67C6E">
      <w:pPr>
        <w:spacing w:after="5" w:line="271" w:lineRule="auto"/>
        <w:ind w:left="-5" w:hanging="10"/>
        <w:jc w:val="left"/>
      </w:pPr>
      <w:r>
        <w:rPr>
          <w:sz w:val="24"/>
        </w:rPr>
        <w:t xml:space="preserve">ДИНАМИЧЕСКИЙ АНАЛИЗ ВЛИЯНИЯ РЕМОНТА НА СТОИМОСТЬ КВАРТИР               </w:t>
      </w:r>
    </w:p>
    <w:p w:rsidR="002C0F56" w:rsidRDefault="00E67C6E">
      <w:pPr>
        <w:spacing w:after="5" w:line="271" w:lineRule="auto"/>
        <w:ind w:left="-5" w:hanging="10"/>
        <w:jc w:val="left"/>
      </w:pPr>
      <w:r>
        <w:rPr>
          <w:sz w:val="24"/>
        </w:rPr>
        <w:t xml:space="preserve">В ПФО ----------------------------------------------------------------------------------------------------------- 426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Стафиевская П.С.  </w:t>
      </w:r>
    </w:p>
    <w:p w:rsidR="002C0F56" w:rsidRDefault="00E67C6E">
      <w:pPr>
        <w:spacing w:after="5" w:line="271" w:lineRule="auto"/>
        <w:ind w:left="-5" w:hanging="10"/>
        <w:jc w:val="left"/>
      </w:pPr>
      <w:r>
        <w:rPr>
          <w:sz w:val="24"/>
        </w:rPr>
        <w:t xml:space="preserve">Научный руководитель: Васенева И.А.  </w:t>
      </w:r>
    </w:p>
    <w:p w:rsidR="002C0F56" w:rsidRDefault="00E67C6E">
      <w:pPr>
        <w:spacing w:after="5" w:line="271" w:lineRule="auto"/>
        <w:ind w:left="-5" w:hanging="10"/>
        <w:jc w:val="left"/>
      </w:pPr>
      <w:r>
        <w:rPr>
          <w:sz w:val="24"/>
        </w:rPr>
        <w:t xml:space="preserve">ПОИСК </w:t>
      </w:r>
      <w:r>
        <w:rPr>
          <w:sz w:val="24"/>
        </w:rPr>
        <w:t xml:space="preserve">МАТЕМАТИЧЕСКОЙ СОСТАВЛЯЮЩЕЙ ------------------------------------------------ 429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Стафиевская П.С.  </w:t>
      </w:r>
    </w:p>
    <w:p w:rsidR="002C0F56" w:rsidRDefault="00E67C6E">
      <w:pPr>
        <w:spacing w:after="5" w:line="271" w:lineRule="auto"/>
        <w:ind w:left="-5" w:hanging="10"/>
        <w:jc w:val="left"/>
      </w:pPr>
      <w:r>
        <w:rPr>
          <w:sz w:val="24"/>
        </w:rPr>
        <w:t xml:space="preserve">Научный руководитель: Норкина Т.В.  </w:t>
      </w:r>
    </w:p>
    <w:p w:rsidR="002C0F56" w:rsidRDefault="00E67C6E">
      <w:pPr>
        <w:spacing w:after="5" w:line="271" w:lineRule="auto"/>
        <w:ind w:left="-5" w:hanging="10"/>
        <w:jc w:val="left"/>
      </w:pPr>
      <w:r>
        <w:rPr>
          <w:sz w:val="24"/>
        </w:rPr>
        <w:t xml:space="preserve">ПРЕДПРИНИМАТЕЛЬСТВО И ПРАВОСЛАВИЕ ---------------------------------------------------431 Суворина К.Ю.  </w:t>
      </w:r>
    </w:p>
    <w:p w:rsidR="002C0F56" w:rsidRDefault="00E67C6E">
      <w:pPr>
        <w:spacing w:after="5" w:line="271" w:lineRule="auto"/>
        <w:ind w:left="-5" w:hanging="10"/>
        <w:jc w:val="left"/>
      </w:pPr>
      <w:r>
        <w:rPr>
          <w:sz w:val="24"/>
        </w:rPr>
        <w:t>Научный рук</w:t>
      </w:r>
      <w:r>
        <w:rPr>
          <w:sz w:val="24"/>
        </w:rPr>
        <w:t xml:space="preserve">оводитель: Макаров Е.И., д.э.н., проф. </w:t>
      </w:r>
    </w:p>
    <w:p w:rsidR="002C0F56" w:rsidRDefault="00E67C6E">
      <w:pPr>
        <w:spacing w:after="5" w:line="271" w:lineRule="auto"/>
        <w:ind w:left="-5" w:hanging="10"/>
        <w:jc w:val="left"/>
      </w:pPr>
      <w:r>
        <w:rPr>
          <w:sz w:val="24"/>
        </w:rPr>
        <w:lastRenderedPageBreak/>
        <w:t xml:space="preserve">РАЦИОНАЛЬНОЕ УПРАВЛЕНИЕ РАЗВИТИЕМ ПЕРСОНАЛА ОРГАНИЗАЦИИ НА ОСНОВЕ КОГНИТИВНОГО ДИНАМИЧЕСКОГО МОДЕЛИРОВАНИЯ ---------------------- 432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Сулиманова И.О.  </w:t>
      </w:r>
    </w:p>
    <w:p w:rsidR="002C0F56" w:rsidRDefault="00E67C6E">
      <w:pPr>
        <w:spacing w:after="5" w:line="271" w:lineRule="auto"/>
        <w:ind w:left="-5" w:hanging="10"/>
        <w:jc w:val="left"/>
      </w:pPr>
      <w:r>
        <w:rPr>
          <w:sz w:val="24"/>
        </w:rPr>
        <w:t xml:space="preserve">Научный руководитель: Перькова Е.А., к.э.н., доц.  </w:t>
      </w:r>
    </w:p>
    <w:p w:rsidR="002C0F56" w:rsidRDefault="00E67C6E">
      <w:pPr>
        <w:spacing w:after="5" w:line="271" w:lineRule="auto"/>
        <w:ind w:left="-5" w:hanging="10"/>
        <w:jc w:val="left"/>
      </w:pPr>
      <w:r>
        <w:rPr>
          <w:sz w:val="24"/>
        </w:rPr>
        <w:t>ГОСУДАРСТ</w:t>
      </w:r>
      <w:r>
        <w:rPr>
          <w:sz w:val="24"/>
        </w:rPr>
        <w:t xml:space="preserve">ВЕННОЕ РЕГУЛИРОВАНИЕ ОТНОШЕНИЙ С СОЦИАЛЬНО </w:t>
      </w:r>
    </w:p>
    <w:p w:rsidR="002C0F56" w:rsidRDefault="00E67C6E">
      <w:pPr>
        <w:spacing w:after="5" w:line="271" w:lineRule="auto"/>
        <w:ind w:left="-5" w:hanging="10"/>
        <w:jc w:val="left"/>
      </w:pPr>
      <w:r>
        <w:rPr>
          <w:sz w:val="24"/>
        </w:rPr>
        <w:t xml:space="preserve">НЕЗАЩИЩЕННЫМИ СЛОЯМИ НАСЕЛЕНИЯ ----------------------------------------------------- 436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Тиханский И.В.  </w:t>
      </w:r>
    </w:p>
    <w:p w:rsidR="002C0F56" w:rsidRDefault="00E67C6E">
      <w:pPr>
        <w:spacing w:after="5" w:line="271" w:lineRule="auto"/>
        <w:ind w:left="-5" w:hanging="10"/>
        <w:jc w:val="left"/>
      </w:pPr>
      <w:r>
        <w:rPr>
          <w:sz w:val="24"/>
        </w:rPr>
        <w:t xml:space="preserve">Научный руководитель: Леонова Л.А., к. э. н., доц.  </w:t>
      </w:r>
    </w:p>
    <w:p w:rsidR="002C0F56" w:rsidRDefault="00E67C6E">
      <w:pPr>
        <w:spacing w:after="5" w:line="271" w:lineRule="auto"/>
        <w:ind w:left="-5" w:hanging="10"/>
        <w:jc w:val="left"/>
      </w:pPr>
      <w:r>
        <w:rPr>
          <w:sz w:val="24"/>
        </w:rPr>
        <w:t>ВЕБ-ДИЗАЙН КАК ОСНОВА ИНТЕРНЕТ ПРОДВИЖЕНИЯ ТУРИСТИ</w:t>
      </w:r>
      <w:r>
        <w:rPr>
          <w:sz w:val="24"/>
        </w:rPr>
        <w:t xml:space="preserve">ЧЕСКОГО </w:t>
      </w:r>
    </w:p>
    <w:p w:rsidR="002C0F56" w:rsidRDefault="00E67C6E">
      <w:pPr>
        <w:spacing w:after="5" w:line="271" w:lineRule="auto"/>
        <w:ind w:left="-5" w:hanging="10"/>
        <w:jc w:val="left"/>
      </w:pPr>
      <w:r>
        <w:rPr>
          <w:sz w:val="24"/>
        </w:rPr>
        <w:t xml:space="preserve">ПРОДУКТА ---------------------------------------------------------------------------------------------------- 440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Ткаченко О.  </w:t>
      </w:r>
    </w:p>
    <w:p w:rsidR="002C0F56" w:rsidRDefault="00E67C6E">
      <w:pPr>
        <w:spacing w:after="5" w:line="271" w:lineRule="auto"/>
        <w:ind w:left="-5" w:hanging="10"/>
        <w:jc w:val="left"/>
      </w:pPr>
      <w:r>
        <w:rPr>
          <w:sz w:val="24"/>
        </w:rPr>
        <w:t xml:space="preserve">Научный руководитель: Перькова Е.А., к.э.н., доц.  </w:t>
      </w:r>
    </w:p>
    <w:p w:rsidR="002C0F56" w:rsidRDefault="00E67C6E">
      <w:pPr>
        <w:spacing w:after="5" w:line="271" w:lineRule="auto"/>
        <w:ind w:left="-5" w:hanging="10"/>
        <w:jc w:val="left"/>
      </w:pPr>
      <w:r>
        <w:rPr>
          <w:sz w:val="24"/>
        </w:rPr>
        <w:t>ВАЛЮТНЫЙ РЫНОК И ВАЛЮТНЫЕ РИСКИ</w:t>
      </w:r>
      <w:r>
        <w:rPr>
          <w:sz w:val="24"/>
        </w:rPr>
        <w:t xml:space="preserve"> ------------------------------------------------------ 443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Урбанайть А.В.  </w:t>
      </w:r>
    </w:p>
    <w:p w:rsidR="002C0F56" w:rsidRDefault="00E67C6E">
      <w:pPr>
        <w:spacing w:after="5" w:line="271" w:lineRule="auto"/>
        <w:ind w:left="-5" w:hanging="10"/>
        <w:jc w:val="left"/>
      </w:pPr>
      <w:r>
        <w:rPr>
          <w:sz w:val="24"/>
        </w:rPr>
        <w:t xml:space="preserve">Научный руководитель: Шаврук Е.Ю.  </w:t>
      </w:r>
    </w:p>
    <w:p w:rsidR="002C0F56" w:rsidRDefault="00E67C6E">
      <w:pPr>
        <w:spacing w:after="5" w:line="271" w:lineRule="auto"/>
        <w:ind w:left="-5" w:hanging="10"/>
        <w:jc w:val="left"/>
      </w:pPr>
      <w:r>
        <w:rPr>
          <w:sz w:val="24"/>
        </w:rPr>
        <w:t xml:space="preserve">ЭФФЕКТИВНОСТЬ БАННЕРНОЙ РЕКЛАМЫ ------------------------------------------------------ 447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Усик Д. М.  </w:t>
      </w:r>
    </w:p>
    <w:p w:rsidR="002C0F56" w:rsidRDefault="00E67C6E">
      <w:pPr>
        <w:spacing w:after="5" w:line="271" w:lineRule="auto"/>
        <w:ind w:left="-5" w:hanging="10"/>
        <w:jc w:val="left"/>
      </w:pPr>
      <w:r>
        <w:rPr>
          <w:sz w:val="24"/>
        </w:rPr>
        <w:t>Научный руководитель: Кулакова Н.</w:t>
      </w:r>
      <w:r>
        <w:rPr>
          <w:sz w:val="24"/>
        </w:rPr>
        <w:t xml:space="preserve">Л.  </w:t>
      </w:r>
    </w:p>
    <w:p w:rsidR="002C0F56" w:rsidRDefault="00E67C6E">
      <w:pPr>
        <w:spacing w:after="5" w:line="271" w:lineRule="auto"/>
        <w:ind w:left="-5" w:hanging="10"/>
        <w:jc w:val="left"/>
      </w:pPr>
      <w:r>
        <w:rPr>
          <w:sz w:val="24"/>
        </w:rPr>
        <w:t xml:space="preserve">СОСТОЯНИЕ И ПЕРСПЕКТИВЫ ВЕТРОЭНЕРГЕТИКИ В РЕСПУБЛИКЕ БЕЛАРУСЬ -- 451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Утоплова О.А.  </w:t>
      </w:r>
    </w:p>
    <w:p w:rsidR="002C0F56" w:rsidRDefault="00E67C6E">
      <w:pPr>
        <w:spacing w:after="5" w:line="271" w:lineRule="auto"/>
        <w:ind w:left="-5" w:hanging="10"/>
        <w:jc w:val="left"/>
      </w:pPr>
      <w:r>
        <w:rPr>
          <w:sz w:val="24"/>
        </w:rPr>
        <w:t xml:space="preserve">Научный руководитель: Корниенко Е.В., к.соц.н, доц.  </w:t>
      </w:r>
    </w:p>
    <w:p w:rsidR="002C0F56" w:rsidRDefault="00E67C6E">
      <w:pPr>
        <w:spacing w:after="5" w:line="271" w:lineRule="auto"/>
        <w:ind w:left="-5" w:hanging="10"/>
        <w:jc w:val="left"/>
      </w:pPr>
      <w:r>
        <w:rPr>
          <w:sz w:val="24"/>
        </w:rPr>
        <w:t xml:space="preserve">РАЗВИТИЕ КАДРОВОГО ПОТЕНЦИАЛА НА ПРЕДПРИЯТИЯХ РЕГИОНОВ (НА </w:t>
      </w:r>
    </w:p>
    <w:p w:rsidR="002C0F56" w:rsidRDefault="00E67C6E">
      <w:pPr>
        <w:spacing w:after="5" w:line="271" w:lineRule="auto"/>
        <w:ind w:left="-5" w:hanging="10"/>
        <w:jc w:val="left"/>
      </w:pPr>
      <w:r>
        <w:rPr>
          <w:sz w:val="24"/>
        </w:rPr>
        <w:t>ПРИМЕРЕ  РОСТОВСКОЙ ОБЛАСТИ) --------------------</w:t>
      </w:r>
      <w:r>
        <w:rPr>
          <w:sz w:val="24"/>
        </w:rPr>
        <w:t xml:space="preserve">-------------------------------------------- 453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Фатхелбаянов Р.М.  </w:t>
      </w:r>
    </w:p>
    <w:p w:rsidR="002C0F56" w:rsidRDefault="00E67C6E">
      <w:pPr>
        <w:spacing w:after="5" w:line="271" w:lineRule="auto"/>
        <w:ind w:left="-5" w:hanging="10"/>
        <w:jc w:val="left"/>
      </w:pPr>
      <w:r>
        <w:rPr>
          <w:sz w:val="24"/>
        </w:rPr>
        <w:t xml:space="preserve">Научный руководитель: Сатарова М.Н., к.э.н., доц.  </w:t>
      </w:r>
    </w:p>
    <w:p w:rsidR="002C0F56" w:rsidRDefault="00E67C6E">
      <w:pPr>
        <w:spacing w:after="5" w:line="271" w:lineRule="auto"/>
        <w:ind w:left="-5" w:hanging="10"/>
        <w:jc w:val="left"/>
      </w:pPr>
      <w:r>
        <w:rPr>
          <w:sz w:val="24"/>
        </w:rPr>
        <w:t xml:space="preserve">БЕЗРАБОТИЦА В РЕСПУБЛИКЕ БАШКОРТОСТАН В УСЛОВИЯХ     </w:t>
      </w:r>
    </w:p>
    <w:p w:rsidR="002C0F56" w:rsidRDefault="00E67C6E">
      <w:pPr>
        <w:spacing w:after="5" w:line="271" w:lineRule="auto"/>
        <w:ind w:left="-5" w:hanging="10"/>
        <w:jc w:val="left"/>
      </w:pPr>
      <w:r>
        <w:rPr>
          <w:sz w:val="24"/>
        </w:rPr>
        <w:t>ЭКОНОМИЧЕСКИХ САНКЦИЙ</w:t>
      </w:r>
      <w:r>
        <w:rPr>
          <w:sz w:val="24"/>
        </w:rPr>
        <w:t xml:space="preserve"> ------------------------------------------------------------------------- 456 </w:t>
      </w:r>
    </w:p>
    <w:p w:rsidR="002C0F56" w:rsidRDefault="00E67C6E">
      <w:pPr>
        <w:spacing w:after="22" w:line="259" w:lineRule="auto"/>
        <w:ind w:left="0" w:firstLine="0"/>
        <w:jc w:val="left"/>
      </w:pPr>
      <w:r>
        <w:rPr>
          <w:sz w:val="24"/>
        </w:rPr>
        <w:t xml:space="preserve"> </w:t>
      </w:r>
    </w:p>
    <w:p w:rsidR="002C0F56" w:rsidRDefault="00E67C6E">
      <w:pPr>
        <w:spacing w:after="5" w:line="271" w:lineRule="auto"/>
        <w:ind w:left="-5" w:hanging="10"/>
        <w:jc w:val="left"/>
      </w:pPr>
      <w:r>
        <w:rPr>
          <w:sz w:val="24"/>
        </w:rPr>
        <w:t xml:space="preserve">Федоренков В. С., Гарбацевич В. И.  </w:t>
      </w:r>
    </w:p>
    <w:p w:rsidR="002C0F56" w:rsidRDefault="00E67C6E">
      <w:pPr>
        <w:spacing w:after="5" w:line="271" w:lineRule="auto"/>
        <w:ind w:left="-5" w:hanging="10"/>
        <w:jc w:val="left"/>
      </w:pPr>
      <w:r>
        <w:rPr>
          <w:sz w:val="24"/>
        </w:rPr>
        <w:t xml:space="preserve">Научный руководитель: Кулакова Н.Л.  </w:t>
      </w:r>
    </w:p>
    <w:p w:rsidR="002C0F56" w:rsidRDefault="00E67C6E">
      <w:pPr>
        <w:spacing w:after="5" w:line="271" w:lineRule="auto"/>
        <w:ind w:left="-5" w:hanging="10"/>
        <w:jc w:val="left"/>
      </w:pPr>
      <w:r>
        <w:rPr>
          <w:sz w:val="24"/>
        </w:rPr>
        <w:t xml:space="preserve">ПОТРЕБЛЕНИЕ ЭНЕРГИИ В ДОМАШНИХ ХОЗЯЙСТВАХ                               </w:t>
      </w:r>
    </w:p>
    <w:p w:rsidR="002C0F56" w:rsidRDefault="00E67C6E">
      <w:pPr>
        <w:spacing w:after="5" w:line="271" w:lineRule="auto"/>
        <w:ind w:left="-5" w:hanging="10"/>
        <w:jc w:val="left"/>
      </w:pPr>
      <w:r>
        <w:rPr>
          <w:sz w:val="24"/>
        </w:rPr>
        <w:t>РЕСПУБЛИКИ БЕЛАРУСЬ</w:t>
      </w:r>
      <w:r>
        <w:rPr>
          <w:sz w:val="24"/>
        </w:rPr>
        <w:t xml:space="preserve"> -------------------------------------------------------------------------------- 459 </w:t>
      </w:r>
    </w:p>
    <w:p w:rsidR="002C0F56" w:rsidRDefault="00E67C6E">
      <w:pPr>
        <w:spacing w:after="20" w:line="259" w:lineRule="auto"/>
        <w:ind w:left="0" w:firstLine="0"/>
        <w:jc w:val="left"/>
      </w:pPr>
      <w:r>
        <w:rPr>
          <w:color w:val="0000FF"/>
          <w:sz w:val="24"/>
        </w:rPr>
        <w:lastRenderedPageBreak/>
        <w:t xml:space="preserve"> </w:t>
      </w:r>
    </w:p>
    <w:p w:rsidR="002C0F56" w:rsidRDefault="00E67C6E">
      <w:pPr>
        <w:spacing w:after="5" w:line="271" w:lineRule="auto"/>
        <w:ind w:left="-5" w:hanging="10"/>
        <w:jc w:val="left"/>
      </w:pPr>
      <w:r>
        <w:rPr>
          <w:sz w:val="24"/>
        </w:rPr>
        <w:t xml:space="preserve">Хмелевский Б.В.  </w:t>
      </w:r>
    </w:p>
    <w:p w:rsidR="002C0F56" w:rsidRDefault="00E67C6E">
      <w:pPr>
        <w:spacing w:after="5" w:line="271" w:lineRule="auto"/>
        <w:ind w:left="-5" w:hanging="10"/>
        <w:jc w:val="left"/>
      </w:pPr>
      <w:r>
        <w:rPr>
          <w:sz w:val="24"/>
        </w:rPr>
        <w:t xml:space="preserve">Научный руководитель:  Иванченко Е. Н </w:t>
      </w:r>
    </w:p>
    <w:p w:rsidR="002C0F56" w:rsidRDefault="00E67C6E">
      <w:pPr>
        <w:spacing w:after="5" w:line="271" w:lineRule="auto"/>
        <w:ind w:left="-5" w:hanging="10"/>
        <w:jc w:val="left"/>
      </w:pPr>
      <w:r>
        <w:rPr>
          <w:sz w:val="24"/>
        </w:rPr>
        <w:t xml:space="preserve">РЕШЕНИЕ ПРОБЛЕМЫ ГЕЛЬМИНТОЗОВ – ОДНА ИЗ ОСНОВНЫХ СТОРОН </w:t>
      </w:r>
    </w:p>
    <w:p w:rsidR="002C0F56" w:rsidRDefault="00E67C6E">
      <w:pPr>
        <w:spacing w:after="5" w:line="271" w:lineRule="auto"/>
        <w:ind w:left="-5" w:hanging="10"/>
        <w:jc w:val="left"/>
      </w:pPr>
      <w:r>
        <w:rPr>
          <w:sz w:val="24"/>
        </w:rPr>
        <w:t>ЭКОЛОГИЧЕСКОГО ВОСПИТАНИЯ ДЕТЕЙ ---------------------</w:t>
      </w:r>
      <w:r>
        <w:rPr>
          <w:sz w:val="24"/>
        </w:rPr>
        <w:t xml:space="preserve">---------------------------------- 462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Хохлова В.С.  </w:t>
      </w:r>
    </w:p>
    <w:p w:rsidR="002C0F56" w:rsidRDefault="00E67C6E">
      <w:pPr>
        <w:spacing w:after="5" w:line="271" w:lineRule="auto"/>
        <w:ind w:left="-5" w:hanging="10"/>
        <w:jc w:val="left"/>
      </w:pPr>
      <w:r>
        <w:rPr>
          <w:sz w:val="24"/>
        </w:rPr>
        <w:t xml:space="preserve">Научный руководитель: Иванченко Е. Н.  </w:t>
      </w:r>
    </w:p>
    <w:p w:rsidR="002C0F56" w:rsidRDefault="00E67C6E">
      <w:pPr>
        <w:spacing w:after="5" w:line="271" w:lineRule="auto"/>
        <w:ind w:left="-5" w:hanging="10"/>
        <w:jc w:val="left"/>
      </w:pPr>
      <w:r>
        <w:rPr>
          <w:sz w:val="24"/>
        </w:rPr>
        <w:t xml:space="preserve">РЕПРОДУКТИВНОЕ ЗДОРОВЬЕ МОЛОДЕЖИ И ЭПИГЕНЕТИЧЕСКАЯ </w:t>
      </w:r>
    </w:p>
    <w:p w:rsidR="002C0F56" w:rsidRDefault="00E67C6E">
      <w:pPr>
        <w:spacing w:after="5" w:line="271" w:lineRule="auto"/>
        <w:ind w:left="-5" w:hanging="10"/>
        <w:jc w:val="left"/>
      </w:pPr>
      <w:r>
        <w:rPr>
          <w:sz w:val="24"/>
        </w:rPr>
        <w:t>НАСЛЕДСТВЕННОСТЬ ------------------------------------------------------------------------------------467 Ху</w:t>
      </w:r>
      <w:r>
        <w:rPr>
          <w:sz w:val="24"/>
        </w:rPr>
        <w:t xml:space="preserve">бутдинова Э.И.  </w:t>
      </w:r>
    </w:p>
    <w:p w:rsidR="002C0F56" w:rsidRDefault="00E67C6E">
      <w:pPr>
        <w:spacing w:after="5" w:line="271" w:lineRule="auto"/>
        <w:ind w:left="-5" w:hanging="10"/>
        <w:jc w:val="left"/>
      </w:pPr>
      <w:r>
        <w:rPr>
          <w:sz w:val="24"/>
        </w:rPr>
        <w:t xml:space="preserve">Научный руководитель Разуваева Е. Б.  </w:t>
      </w:r>
    </w:p>
    <w:p w:rsidR="002C0F56" w:rsidRDefault="00E67C6E">
      <w:pPr>
        <w:spacing w:after="5" w:line="271" w:lineRule="auto"/>
        <w:ind w:left="-5" w:hanging="10"/>
        <w:jc w:val="left"/>
      </w:pPr>
      <w:r>
        <w:rPr>
          <w:sz w:val="24"/>
        </w:rPr>
        <w:t xml:space="preserve">ПЕРЕПИСЬ НАСЕЛЕНИЯ КАК ЭЛЕМЕНТ СТАТИСТИЧЕСКОГО НАБЛЮДЕНИЯ ------ 471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Худик М.А.  </w:t>
      </w:r>
    </w:p>
    <w:p w:rsidR="002C0F56" w:rsidRDefault="00E67C6E">
      <w:pPr>
        <w:spacing w:after="5" w:line="271" w:lineRule="auto"/>
        <w:ind w:left="-5" w:hanging="10"/>
        <w:jc w:val="left"/>
      </w:pPr>
      <w:r>
        <w:rPr>
          <w:sz w:val="24"/>
        </w:rPr>
        <w:t xml:space="preserve">Научный руководитель: Хитрых О.В.  </w:t>
      </w:r>
    </w:p>
    <w:p w:rsidR="002C0F56" w:rsidRDefault="00E67C6E">
      <w:pPr>
        <w:spacing w:after="5" w:line="271" w:lineRule="auto"/>
        <w:ind w:left="-5" w:hanging="10"/>
        <w:jc w:val="left"/>
      </w:pPr>
      <w:r>
        <w:rPr>
          <w:sz w:val="24"/>
        </w:rPr>
        <w:t xml:space="preserve">АНАЛИЗ СЛОЖНОСТИ ПЕРЕХОДА С ОПЕРАЦИОННОЙ СИСТЕМЫ WINDOWS НА </w:t>
      </w:r>
    </w:p>
    <w:p w:rsidR="002C0F56" w:rsidRDefault="00E67C6E">
      <w:pPr>
        <w:spacing w:after="5" w:line="271" w:lineRule="auto"/>
        <w:ind w:left="-5" w:hanging="10"/>
        <w:jc w:val="left"/>
      </w:pPr>
      <w:r>
        <w:rPr>
          <w:sz w:val="24"/>
        </w:rPr>
        <w:t>LINUX</w:t>
      </w:r>
      <w:r>
        <w:rPr>
          <w:sz w:val="24"/>
        </w:rPr>
        <w:t xml:space="preserve"> ----------------------------------------------------------------------------------------------------------- 474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Черных Е. В.  </w:t>
      </w:r>
    </w:p>
    <w:p w:rsidR="002C0F56" w:rsidRDefault="00E67C6E">
      <w:pPr>
        <w:spacing w:after="5" w:line="271" w:lineRule="auto"/>
        <w:ind w:left="-5" w:hanging="10"/>
        <w:jc w:val="left"/>
      </w:pPr>
      <w:r>
        <w:rPr>
          <w:sz w:val="24"/>
        </w:rPr>
        <w:t xml:space="preserve">Научный руководитель: Лосева О.В.  </w:t>
      </w:r>
    </w:p>
    <w:p w:rsidR="002C0F56" w:rsidRDefault="00E67C6E">
      <w:pPr>
        <w:spacing w:after="5" w:line="271" w:lineRule="auto"/>
        <w:ind w:left="-5" w:hanging="10"/>
        <w:jc w:val="left"/>
      </w:pPr>
      <w:r>
        <w:rPr>
          <w:sz w:val="24"/>
        </w:rPr>
        <w:t xml:space="preserve">РЫНОК ТРУДА КАК ФАКТОР НАЙМА ПЕРСОНАЛА ------------------------------------------- 477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Чижаева М.С.  </w:t>
      </w:r>
    </w:p>
    <w:p w:rsidR="002C0F56" w:rsidRDefault="00E67C6E">
      <w:pPr>
        <w:spacing w:after="5" w:line="271" w:lineRule="auto"/>
        <w:ind w:left="-5" w:hanging="10"/>
        <w:jc w:val="left"/>
      </w:pPr>
      <w:r>
        <w:rPr>
          <w:sz w:val="24"/>
        </w:rPr>
        <w:t xml:space="preserve">Научный руководитель: Погорелая Т. А., к.э.н., доц.  </w:t>
      </w:r>
    </w:p>
    <w:p w:rsidR="002C0F56" w:rsidRDefault="00E67C6E">
      <w:pPr>
        <w:spacing w:after="5" w:line="271" w:lineRule="auto"/>
        <w:ind w:left="-5" w:hanging="10"/>
        <w:jc w:val="left"/>
      </w:pPr>
      <w:r>
        <w:rPr>
          <w:sz w:val="24"/>
        </w:rPr>
        <w:t xml:space="preserve">ПРОБЛЕМЫ РАЗВИТИЯ ТЕОРИИ АНТИКРИЗИСНОГО </w:t>
      </w:r>
    </w:p>
    <w:p w:rsidR="002C0F56" w:rsidRDefault="00E67C6E">
      <w:pPr>
        <w:spacing w:after="5" w:line="271" w:lineRule="auto"/>
        <w:ind w:left="-5" w:hanging="10"/>
        <w:jc w:val="left"/>
      </w:pPr>
      <w:r>
        <w:rPr>
          <w:sz w:val="24"/>
        </w:rPr>
        <w:t xml:space="preserve">УПРАВЛЕНИЯ МАЛЫМ ПРЕДПРИЯТИЕМ --------------------------------------------------------- 481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Чичкан А.П.  </w:t>
      </w:r>
    </w:p>
    <w:p w:rsidR="002C0F56" w:rsidRDefault="00E67C6E">
      <w:pPr>
        <w:spacing w:after="5" w:line="271" w:lineRule="auto"/>
        <w:ind w:left="-5" w:hanging="10"/>
        <w:jc w:val="left"/>
      </w:pPr>
      <w:r>
        <w:rPr>
          <w:sz w:val="24"/>
        </w:rPr>
        <w:t xml:space="preserve">Научный руководитель: Шаврук Е.Ю.  </w:t>
      </w:r>
    </w:p>
    <w:p w:rsidR="002C0F56" w:rsidRDefault="00E67C6E">
      <w:pPr>
        <w:spacing w:after="5" w:line="271" w:lineRule="auto"/>
        <w:ind w:left="-5" w:hanging="10"/>
        <w:jc w:val="left"/>
      </w:pPr>
      <w:r>
        <w:rPr>
          <w:sz w:val="24"/>
        </w:rPr>
        <w:t xml:space="preserve">СПАМ В ЭЛЕКТРОННОЙ ПОЧТЕ ---------------------------------------------------------------------- 485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Чукова Е.О.  </w:t>
      </w:r>
    </w:p>
    <w:p w:rsidR="002C0F56" w:rsidRDefault="00E67C6E">
      <w:pPr>
        <w:spacing w:after="5" w:line="271" w:lineRule="auto"/>
        <w:ind w:left="-5" w:hanging="10"/>
        <w:jc w:val="left"/>
      </w:pPr>
      <w:r>
        <w:rPr>
          <w:sz w:val="24"/>
        </w:rPr>
        <w:t xml:space="preserve">Научный руководитель: Капацинская Е.Н., к.э.н. доц.  </w:t>
      </w:r>
    </w:p>
    <w:p w:rsidR="002C0F56" w:rsidRDefault="00E67C6E">
      <w:pPr>
        <w:spacing w:after="5" w:line="271" w:lineRule="auto"/>
        <w:ind w:left="-5" w:hanging="10"/>
        <w:jc w:val="left"/>
      </w:pPr>
      <w:r>
        <w:rPr>
          <w:sz w:val="24"/>
        </w:rPr>
        <w:t xml:space="preserve">ТРУДОВАЯ МОТИВАЦИИ И ОСОБЕННОСТИ СТИМУЛИРОВАНИЯ ТРУДА </w:t>
      </w:r>
    </w:p>
    <w:p w:rsidR="002C0F56" w:rsidRDefault="00E67C6E">
      <w:pPr>
        <w:spacing w:after="5" w:line="271" w:lineRule="auto"/>
        <w:ind w:left="-5" w:hanging="10"/>
        <w:jc w:val="left"/>
      </w:pPr>
      <w:r>
        <w:rPr>
          <w:sz w:val="24"/>
        </w:rPr>
        <w:t>ПЕРСОНАЛА --------------------</w:t>
      </w:r>
      <w:r>
        <w:rPr>
          <w:sz w:val="24"/>
        </w:rPr>
        <w:t xml:space="preserve">------------------------------------------------------------------------------ 489 </w:t>
      </w:r>
    </w:p>
    <w:p w:rsidR="002C0F56" w:rsidRDefault="00E67C6E">
      <w:pPr>
        <w:spacing w:after="17"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Чучко Р.  </w:t>
      </w:r>
    </w:p>
    <w:p w:rsidR="002C0F56" w:rsidRDefault="00E67C6E">
      <w:pPr>
        <w:spacing w:after="5" w:line="271" w:lineRule="auto"/>
        <w:ind w:left="-5" w:hanging="10"/>
        <w:jc w:val="left"/>
      </w:pPr>
      <w:r>
        <w:rPr>
          <w:sz w:val="24"/>
        </w:rPr>
        <w:lastRenderedPageBreak/>
        <w:t xml:space="preserve">Научный руководитель: Перькова Е.А., к.э.н., доц.  </w:t>
      </w:r>
    </w:p>
    <w:p w:rsidR="002C0F56" w:rsidRDefault="00E67C6E">
      <w:pPr>
        <w:spacing w:after="5" w:line="271" w:lineRule="auto"/>
        <w:ind w:left="-5" w:hanging="10"/>
        <w:jc w:val="left"/>
      </w:pPr>
      <w:r>
        <w:rPr>
          <w:sz w:val="24"/>
        </w:rPr>
        <w:t xml:space="preserve">РЕКЛАМНАЯ ДЕЯТЕЛЬНОСТЬ КАК ЭЛЕМЕНТ ПРАКТИКИ СТУДЕНТОВ --------------- 493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Шеркузиева Г.Ф., к.м.н., доц.</w:t>
      </w:r>
      <w:r>
        <w:rPr>
          <w:sz w:val="24"/>
        </w:rPr>
        <w:t xml:space="preserve">  </w:t>
      </w:r>
    </w:p>
    <w:p w:rsidR="002C0F56" w:rsidRDefault="00E67C6E">
      <w:pPr>
        <w:spacing w:after="5" w:line="271" w:lineRule="auto"/>
        <w:ind w:left="-5" w:hanging="10"/>
        <w:jc w:val="left"/>
      </w:pPr>
      <w:r>
        <w:rPr>
          <w:sz w:val="24"/>
        </w:rPr>
        <w:t xml:space="preserve">Рашидов В.А.  </w:t>
      </w:r>
    </w:p>
    <w:p w:rsidR="002C0F56" w:rsidRDefault="00E67C6E">
      <w:pPr>
        <w:spacing w:after="5" w:line="271" w:lineRule="auto"/>
        <w:ind w:left="-5" w:hanging="10"/>
        <w:jc w:val="left"/>
      </w:pPr>
      <w:r>
        <w:rPr>
          <w:sz w:val="24"/>
        </w:rPr>
        <w:t xml:space="preserve">Курбанова Ш.И., к.м.н.  </w:t>
      </w:r>
    </w:p>
    <w:p w:rsidR="002C0F56" w:rsidRDefault="00E67C6E">
      <w:pPr>
        <w:spacing w:after="5" w:line="271" w:lineRule="auto"/>
        <w:ind w:left="-5" w:hanging="10"/>
        <w:jc w:val="left"/>
      </w:pPr>
      <w:r>
        <w:rPr>
          <w:sz w:val="24"/>
        </w:rPr>
        <w:t xml:space="preserve">Йулдошев Ё.Р.  </w:t>
      </w:r>
    </w:p>
    <w:p w:rsidR="002C0F56" w:rsidRDefault="00E67C6E">
      <w:pPr>
        <w:spacing w:after="5" w:line="271" w:lineRule="auto"/>
        <w:ind w:left="-5" w:hanging="10"/>
        <w:jc w:val="left"/>
      </w:pPr>
      <w:r>
        <w:rPr>
          <w:sz w:val="24"/>
        </w:rPr>
        <w:t xml:space="preserve">ГИГИЕНИЧЕСКАЯ ОЦЕНКА «LAKTONORM-H (ZN, RUX)» ------------------------------------ 496 </w:t>
      </w:r>
    </w:p>
    <w:p w:rsidR="002C0F56" w:rsidRDefault="00E67C6E">
      <w:pPr>
        <w:spacing w:after="21"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Шеркузиева Г.Ф., к.м.н., доц.  </w:t>
      </w:r>
    </w:p>
    <w:p w:rsidR="002C0F56" w:rsidRDefault="00E67C6E">
      <w:pPr>
        <w:spacing w:after="5" w:line="271" w:lineRule="auto"/>
        <w:ind w:left="-5" w:hanging="10"/>
        <w:jc w:val="left"/>
      </w:pPr>
      <w:r>
        <w:rPr>
          <w:sz w:val="24"/>
        </w:rPr>
        <w:t xml:space="preserve">Акрамов Д.А., к.м.н.  </w:t>
      </w:r>
    </w:p>
    <w:p w:rsidR="002C0F56" w:rsidRDefault="00E67C6E">
      <w:pPr>
        <w:spacing w:after="5" w:line="271" w:lineRule="auto"/>
        <w:ind w:left="-5" w:hanging="10"/>
        <w:jc w:val="left"/>
      </w:pPr>
      <w:r>
        <w:rPr>
          <w:sz w:val="24"/>
        </w:rPr>
        <w:t xml:space="preserve">Самигова Н.Р., к.м.н., доц.  </w:t>
      </w:r>
    </w:p>
    <w:p w:rsidR="002C0F56" w:rsidRDefault="00E67C6E">
      <w:pPr>
        <w:spacing w:after="5" w:line="271" w:lineRule="auto"/>
        <w:ind w:left="-5" w:hanging="10"/>
        <w:jc w:val="left"/>
      </w:pPr>
      <w:r>
        <w:rPr>
          <w:sz w:val="24"/>
        </w:rPr>
        <w:t xml:space="preserve">Йулдошев Ё.Р.  </w:t>
      </w:r>
    </w:p>
    <w:p w:rsidR="002C0F56" w:rsidRDefault="00E67C6E">
      <w:pPr>
        <w:spacing w:after="5" w:line="271" w:lineRule="auto"/>
        <w:ind w:left="-5" w:hanging="10"/>
        <w:jc w:val="left"/>
      </w:pPr>
      <w:r>
        <w:rPr>
          <w:sz w:val="24"/>
        </w:rPr>
        <w:t>ТОКСИКО</w:t>
      </w:r>
      <w:r>
        <w:rPr>
          <w:sz w:val="24"/>
        </w:rPr>
        <w:t xml:space="preserve">ЛОГО-ГИГИЕНИЧЕСКАЯ ОЦЕНКА ИНСЕКТИЦИДА «ПРЕСТИЖ» ----------- 499 </w:t>
      </w:r>
    </w:p>
    <w:p w:rsidR="002C0F56" w:rsidRDefault="00E67C6E">
      <w:pPr>
        <w:spacing w:after="20"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Шестак Ю.В.  </w:t>
      </w:r>
    </w:p>
    <w:p w:rsidR="002C0F56" w:rsidRDefault="00E67C6E">
      <w:pPr>
        <w:spacing w:after="5" w:line="271" w:lineRule="auto"/>
        <w:ind w:left="-5" w:hanging="10"/>
        <w:jc w:val="left"/>
      </w:pPr>
      <w:r>
        <w:rPr>
          <w:sz w:val="24"/>
        </w:rPr>
        <w:t xml:space="preserve">Научный руководитель: Ванкович Г.Р.  </w:t>
      </w:r>
    </w:p>
    <w:p w:rsidR="002C0F56" w:rsidRDefault="00E67C6E">
      <w:pPr>
        <w:spacing w:after="5" w:line="271" w:lineRule="auto"/>
        <w:ind w:left="-5" w:hanging="10"/>
        <w:jc w:val="left"/>
      </w:pPr>
      <w:r>
        <w:rPr>
          <w:sz w:val="24"/>
        </w:rPr>
        <w:t xml:space="preserve">3D-ТЕХНОЛОГИИ В МЕДИЦИНЕ ---------------------------------------------------------------------- 502 </w:t>
      </w:r>
    </w:p>
    <w:p w:rsidR="002C0F56" w:rsidRDefault="00E67C6E">
      <w:pPr>
        <w:spacing w:after="19" w:line="259" w:lineRule="auto"/>
        <w:ind w:left="0" w:firstLine="0"/>
        <w:jc w:val="left"/>
      </w:pPr>
      <w:r>
        <w:rPr>
          <w:color w:val="0000FF"/>
          <w:sz w:val="24"/>
        </w:rPr>
        <w:t xml:space="preserve"> </w:t>
      </w:r>
    </w:p>
    <w:p w:rsidR="002C0F56" w:rsidRDefault="00E67C6E">
      <w:pPr>
        <w:spacing w:after="5" w:line="271" w:lineRule="auto"/>
        <w:ind w:left="-5" w:hanging="10"/>
        <w:jc w:val="left"/>
      </w:pPr>
      <w:r>
        <w:rPr>
          <w:sz w:val="24"/>
        </w:rPr>
        <w:t xml:space="preserve">Шкурко И.В.  </w:t>
      </w:r>
    </w:p>
    <w:p w:rsidR="002C0F56" w:rsidRDefault="00E67C6E">
      <w:pPr>
        <w:spacing w:after="5" w:line="271" w:lineRule="auto"/>
        <w:ind w:left="-5" w:hanging="10"/>
        <w:jc w:val="left"/>
      </w:pPr>
      <w:r>
        <w:rPr>
          <w:sz w:val="24"/>
        </w:rPr>
        <w:t>Научный руководитель</w:t>
      </w:r>
      <w:r>
        <w:rPr>
          <w:sz w:val="24"/>
        </w:rPr>
        <w:t xml:space="preserve">: Корниенко Е.В., к.соц.н., доц.  </w:t>
      </w:r>
    </w:p>
    <w:p w:rsidR="002C0F56" w:rsidRDefault="00E67C6E">
      <w:pPr>
        <w:spacing w:after="5" w:line="271" w:lineRule="auto"/>
        <w:ind w:left="-5" w:hanging="10"/>
        <w:jc w:val="left"/>
      </w:pPr>
      <w:r>
        <w:rPr>
          <w:sz w:val="24"/>
        </w:rPr>
        <w:t xml:space="preserve">СОЦИОЛОГИЧЕСКИЙ АНАЛИЗ АДАПТАЦИИ МОЛОДЫХ СПЕЦИАЛИСТОВ НА </w:t>
      </w:r>
    </w:p>
    <w:p w:rsidR="002C0F56" w:rsidRDefault="00E67C6E">
      <w:pPr>
        <w:spacing w:after="5" w:line="271" w:lineRule="auto"/>
        <w:ind w:left="-5" w:hanging="10"/>
        <w:jc w:val="left"/>
      </w:pPr>
      <w:r>
        <w:rPr>
          <w:sz w:val="24"/>
        </w:rPr>
        <w:t xml:space="preserve">ПРЕДПРИЯТИИ ----------------------------------------------------------------------------------------------504 Яценко С.Д.  </w:t>
      </w:r>
    </w:p>
    <w:p w:rsidR="002C0F56" w:rsidRDefault="00E67C6E">
      <w:pPr>
        <w:spacing w:after="5" w:line="271" w:lineRule="auto"/>
        <w:ind w:left="-5" w:hanging="10"/>
        <w:jc w:val="left"/>
      </w:pPr>
      <w:r>
        <w:rPr>
          <w:sz w:val="24"/>
        </w:rPr>
        <w:t xml:space="preserve">Научный руководитель: Шильченько Т.Н.  </w:t>
      </w:r>
    </w:p>
    <w:p w:rsidR="002C0F56" w:rsidRDefault="00E67C6E">
      <w:pPr>
        <w:spacing w:after="5" w:line="271" w:lineRule="auto"/>
        <w:ind w:left="-5" w:hanging="10"/>
        <w:jc w:val="left"/>
      </w:pPr>
      <w:r>
        <w:rPr>
          <w:sz w:val="24"/>
        </w:rPr>
        <w:t xml:space="preserve">ГОСУДАРСТВЕННАЯ ПОЛИТИКА В ОТНОШЕНИИ НЕСОСТОЯТЕЛЬНЫХ РЫНКОВ 509 </w:t>
      </w:r>
    </w:p>
    <w:p w:rsidR="002C0F56" w:rsidRDefault="00E67C6E">
      <w:pPr>
        <w:spacing w:after="0" w:line="259" w:lineRule="auto"/>
        <w:ind w:left="0" w:firstLine="0"/>
        <w:jc w:val="left"/>
      </w:pPr>
      <w:r>
        <w:t xml:space="preserve"> </w:t>
      </w:r>
    </w:p>
    <w:p w:rsidR="002C0F56" w:rsidRDefault="00E67C6E">
      <w:pPr>
        <w:spacing w:after="0" w:line="259" w:lineRule="auto"/>
        <w:ind w:left="0" w:firstLine="0"/>
        <w:jc w:val="center"/>
      </w:pPr>
      <w:r>
        <w:t xml:space="preserve"> </w:t>
      </w:r>
    </w:p>
    <w:p w:rsidR="002C0F56" w:rsidRDefault="00E67C6E">
      <w:pPr>
        <w:spacing w:after="0" w:line="259" w:lineRule="auto"/>
        <w:ind w:left="0" w:firstLine="0"/>
        <w:jc w:val="left"/>
      </w:pPr>
      <w:r>
        <w:t xml:space="preserve"> </w:t>
      </w:r>
    </w:p>
    <w:p w:rsidR="002C0F56" w:rsidRDefault="00E67C6E">
      <w:pPr>
        <w:spacing w:after="0" w:line="259" w:lineRule="auto"/>
        <w:ind w:left="0" w:firstLine="0"/>
        <w:jc w:val="center"/>
      </w:pPr>
      <w:r>
        <w:t xml:space="preserve"> </w:t>
      </w:r>
    </w:p>
    <w:p w:rsidR="002C0F56" w:rsidRDefault="00E67C6E">
      <w:pPr>
        <w:spacing w:after="0" w:line="259" w:lineRule="auto"/>
        <w:ind w:left="0" w:firstLine="0"/>
        <w:jc w:val="center"/>
      </w:pPr>
      <w:r>
        <w:t xml:space="preserve"> </w:t>
      </w:r>
    </w:p>
    <w:p w:rsidR="002C0F56" w:rsidRDefault="002C0F56">
      <w:pPr>
        <w:sectPr w:rsidR="002C0F56">
          <w:headerReference w:type="even" r:id="rId37"/>
          <w:headerReference w:type="default" r:id="rId38"/>
          <w:footerReference w:type="even" r:id="rId39"/>
          <w:footerReference w:type="default" r:id="rId40"/>
          <w:headerReference w:type="first" r:id="rId41"/>
          <w:footerReference w:type="first" r:id="rId42"/>
          <w:pgSz w:w="11906" w:h="16838"/>
          <w:pgMar w:top="1313" w:right="1063" w:bottom="1225" w:left="1133" w:header="717" w:footer="709" w:gutter="0"/>
          <w:pgNumType w:start="5"/>
          <w:cols w:space="720"/>
          <w:titlePg/>
        </w:sectPr>
      </w:pPr>
    </w:p>
    <w:p w:rsidR="002C0F56" w:rsidRDefault="00E67C6E">
      <w:pPr>
        <w:pStyle w:val="2"/>
        <w:ind w:left="1150" w:right="0" w:hanging="646"/>
      </w:pPr>
      <w:r>
        <w:rPr>
          <w:b w:val="0"/>
        </w:rPr>
        <w:lastRenderedPageBreak/>
        <w:t>Секция 4</w:t>
      </w:r>
      <w:r>
        <w:t xml:space="preserve">: Экономическая теория, менеджмент, экология, безопасность </w:t>
      </w:r>
    </w:p>
    <w:p w:rsidR="002C0F56" w:rsidRDefault="00E67C6E">
      <w:pPr>
        <w:spacing w:after="15" w:line="271" w:lineRule="auto"/>
        <w:ind w:left="1150" w:hanging="646"/>
        <w:jc w:val="left"/>
      </w:pPr>
      <w:r>
        <w:rPr>
          <w:b/>
        </w:rPr>
        <w:t xml:space="preserve">жизнедеятельности, математика, информационные системы </w:t>
      </w:r>
    </w:p>
    <w:p w:rsidR="002C0F56" w:rsidRDefault="00E67C6E">
      <w:pPr>
        <w:tabs>
          <w:tab w:val="center" w:pos="5066"/>
          <w:tab w:val="center" w:pos="9820"/>
        </w:tabs>
        <w:spacing w:after="0" w:line="259" w:lineRule="auto"/>
        <w:ind w:left="0" w:firstLine="0"/>
        <w:jc w:val="left"/>
      </w:pPr>
      <w:r>
        <w:rPr>
          <w:rFonts w:ascii="Calibri" w:eastAsia="Calibri" w:hAnsi="Calibri" w:cs="Calibri"/>
          <w:sz w:val="22"/>
        </w:rPr>
        <w:tab/>
      </w:r>
      <w:r>
        <w:rPr>
          <w:noProof/>
        </w:rPr>
        <w:drawing>
          <wp:inline distT="0" distB="0" distL="0" distR="0">
            <wp:extent cx="5715000" cy="94615"/>
            <wp:effectExtent l="0" t="0" r="0" b="0"/>
            <wp:docPr id="3675" name="Picture 3675"/>
            <wp:cNvGraphicFramePr/>
            <a:graphic xmlns:a="http://schemas.openxmlformats.org/drawingml/2006/main">
              <a:graphicData uri="http://schemas.openxmlformats.org/drawingml/2006/picture">
                <pic:pic xmlns:pic="http://schemas.openxmlformats.org/drawingml/2006/picture">
                  <pic:nvPicPr>
                    <pic:cNvPr id="3675" name="Picture 3675"/>
                    <pic:cNvPicPr/>
                  </pic:nvPicPr>
                  <pic:blipFill>
                    <a:blip r:embed="rId36"/>
                    <a:stretch>
                      <a:fillRect/>
                    </a:stretch>
                  </pic:blipFill>
                  <pic:spPr>
                    <a:xfrm>
                      <a:off x="0" y="0"/>
                      <a:ext cx="5715000" cy="94615"/>
                    </a:xfrm>
                    <a:prstGeom prst="rect">
                      <a:avLst/>
                    </a:prstGeom>
                  </pic:spPr>
                </pic:pic>
              </a:graphicData>
            </a:graphic>
          </wp:inline>
        </w:drawing>
      </w:r>
      <w:r>
        <w:rPr>
          <w:b/>
        </w:rPr>
        <w:tab/>
        <w:t xml:space="preserve"> </w:t>
      </w:r>
    </w:p>
    <w:p w:rsidR="002C0F56" w:rsidRDefault="00E67C6E">
      <w:pPr>
        <w:spacing w:after="25" w:line="259" w:lineRule="auto"/>
        <w:ind w:left="10" w:right="856" w:hanging="10"/>
        <w:jc w:val="right"/>
      </w:pPr>
      <w:r>
        <w:rPr>
          <w:b/>
        </w:rPr>
        <w:t xml:space="preserve">Абдурахманова К.К. </w:t>
      </w:r>
    </w:p>
    <w:p w:rsidR="002C0F56" w:rsidRDefault="00E67C6E">
      <w:pPr>
        <w:spacing w:after="11" w:line="270" w:lineRule="auto"/>
        <w:ind w:left="10" w:right="862" w:hanging="10"/>
        <w:jc w:val="right"/>
      </w:pPr>
      <w:r>
        <w:t xml:space="preserve">Научный руководитель: Бычкова Н.А. </w:t>
      </w:r>
    </w:p>
    <w:p w:rsidR="002C0F56" w:rsidRDefault="00E67C6E">
      <w:pPr>
        <w:spacing w:after="0" w:line="267" w:lineRule="auto"/>
        <w:ind w:left="905" w:right="860" w:hanging="10"/>
        <w:jc w:val="right"/>
      </w:pPr>
      <w:r>
        <w:rPr>
          <w:i/>
        </w:rPr>
        <w:t xml:space="preserve">Рязанский государственный радиотехнический университет </w:t>
      </w:r>
    </w:p>
    <w:p w:rsidR="002C0F56" w:rsidRDefault="00E67C6E">
      <w:pPr>
        <w:spacing w:after="0" w:line="259" w:lineRule="auto"/>
        <w:ind w:left="744" w:firstLine="0"/>
        <w:jc w:val="left"/>
      </w:pPr>
      <w:r>
        <w:t xml:space="preserve"> </w:t>
      </w:r>
    </w:p>
    <w:p w:rsidR="002C0F56" w:rsidRDefault="00E67C6E">
      <w:pPr>
        <w:pStyle w:val="1"/>
        <w:ind w:left="700" w:right="1376"/>
      </w:pPr>
      <w:r>
        <w:t xml:space="preserve">СИСТЕМА УПРАВЛЕНИЯ КАРЬЕРОЙ МУНИЦИПАЛЬНЫХ СЛУЖАЩИХ </w:t>
      </w:r>
    </w:p>
    <w:p w:rsidR="002C0F56" w:rsidRDefault="00E67C6E">
      <w:pPr>
        <w:spacing w:after="0" w:line="259" w:lineRule="auto"/>
        <w:ind w:left="0" w:right="55" w:firstLine="0"/>
        <w:jc w:val="center"/>
      </w:pPr>
      <w:r>
        <w:t xml:space="preserve"> </w:t>
      </w:r>
    </w:p>
    <w:p w:rsidR="002C0F56" w:rsidRDefault="00E67C6E">
      <w:pPr>
        <w:spacing w:after="2"/>
        <w:ind w:left="165" w:right="868"/>
      </w:pPr>
      <w:r>
        <w:t xml:space="preserve">На эффективную работу организации влияет качественный состав персонала, его реальные и потенциальные профессиональные возможности и  опыт. И сотрудник, и организация, в которой он работает, имеют целый </w:t>
      </w:r>
      <w:r>
        <w:t xml:space="preserve">ряд преимуществ благодаря планированию и управлению карьерой. </w:t>
      </w:r>
    </w:p>
    <w:p w:rsidR="002C0F56" w:rsidRDefault="00E67C6E">
      <w:pPr>
        <w:ind w:left="165" w:right="871"/>
      </w:pPr>
      <w:r>
        <w:t xml:space="preserve">Вследствие оптимально спланированного и выстроенного карьерного роста служащему может найти свое место в иерархии  муниципальной службы, максимально раскрыть свой профессиональный потенциал. </w:t>
      </w:r>
    </w:p>
    <w:p w:rsidR="002C0F56" w:rsidRDefault="00E67C6E">
      <w:pPr>
        <w:spacing w:after="0"/>
        <w:ind w:left="165" w:right="865"/>
      </w:pPr>
      <w:r>
        <w:t>У</w:t>
      </w:r>
      <w:r>
        <w:t>правление карьерой персоналом в области муниципальной службы – это воздействие руководителей муниципальных органов власти на персонал, направленный на развитие способностей человека, накопление им профессионального опыта и рациональное использование его по</w:t>
      </w:r>
      <w:r>
        <w:t xml:space="preserve">тенциала, как в интересах сотрудника, так и в интересах организации. </w:t>
      </w:r>
    </w:p>
    <w:p w:rsidR="002C0F56" w:rsidRDefault="00E67C6E">
      <w:pPr>
        <w:ind w:left="165" w:right="302"/>
      </w:pPr>
      <w:r>
        <w:t xml:space="preserve">В процессе управления персоналом необходимо соблюдать следующие условия: </w:t>
      </w:r>
    </w:p>
    <w:p w:rsidR="002C0F56" w:rsidRDefault="00E67C6E">
      <w:pPr>
        <w:numPr>
          <w:ilvl w:val="0"/>
          <w:numId w:val="1"/>
        </w:numPr>
        <w:ind w:right="302"/>
      </w:pPr>
      <w:r>
        <w:t xml:space="preserve">выявление потребностей муниципального органа в персонале и возможностей самого персонала; </w:t>
      </w:r>
    </w:p>
    <w:p w:rsidR="002C0F56" w:rsidRDefault="00E67C6E">
      <w:pPr>
        <w:numPr>
          <w:ilvl w:val="0"/>
          <w:numId w:val="1"/>
        </w:numPr>
        <w:ind w:right="302"/>
      </w:pPr>
      <w:r>
        <w:t>принятие решения о ст</w:t>
      </w:r>
      <w:r>
        <w:t xml:space="preserve">ратегии, благодаря которой осуществляется управление карьерой в муниципальном органе власти; </w:t>
      </w:r>
    </w:p>
    <w:p w:rsidR="002C0F56" w:rsidRDefault="00E67C6E">
      <w:pPr>
        <w:numPr>
          <w:ilvl w:val="0"/>
          <w:numId w:val="1"/>
        </w:numPr>
        <w:spacing w:after="12"/>
        <w:ind w:right="302"/>
      </w:pPr>
      <w:r>
        <w:t xml:space="preserve">выполнение принятых в данном органе решений. </w:t>
      </w:r>
    </w:p>
    <w:p w:rsidR="002C0F56" w:rsidRDefault="00E67C6E">
      <w:pPr>
        <w:ind w:left="165" w:right="302"/>
      </w:pPr>
      <w:r>
        <w:t xml:space="preserve">И орган местного самоуправления, и персонал этого органа преследуют определенные цели и ожидания.  </w:t>
      </w:r>
    </w:p>
    <w:p w:rsidR="002C0F56" w:rsidRDefault="00E67C6E">
      <w:pPr>
        <w:spacing w:after="0"/>
        <w:ind w:left="165" w:right="872"/>
      </w:pPr>
      <w:r>
        <w:t>Со стороны кадровой службы муниципального органа можно выделить такие цели управления карьерой, как рациональное и оптимальное использование профессиональных способностей сотрудника для достижения целей муниципальной службы, создание эффективных стимулов д</w:t>
      </w:r>
      <w:r>
        <w:t xml:space="preserve">ля трудовой деятельности персонала, обеспечение муниципального органа персоналом с требуемым уровнем квалификации и профессиональным опытом. </w:t>
      </w:r>
    </w:p>
    <w:p w:rsidR="002C0F56" w:rsidRDefault="00E67C6E">
      <w:pPr>
        <w:ind w:left="165" w:right="866"/>
      </w:pPr>
      <w:r>
        <w:t>Персонал, в свою очередь, ставит перед собой следующие цели: возможность самореализации в сфере муниципального упр</w:t>
      </w:r>
      <w:r>
        <w:t xml:space="preserve">авления и развития </w:t>
      </w:r>
      <w:r>
        <w:lastRenderedPageBreak/>
        <w:t xml:space="preserve">профессиональных способностей за счет организации; достижение более высокого должностного статуса и, соответственно, возможность получения более высокой оплаты труда.  </w:t>
      </w:r>
    </w:p>
    <w:p w:rsidR="002C0F56" w:rsidRDefault="00E67C6E">
      <w:pPr>
        <w:spacing w:after="11"/>
        <w:ind w:left="165" w:right="874"/>
      </w:pPr>
      <w:r>
        <w:t>В процессе управления карьерой муниципальных служащих используются с</w:t>
      </w:r>
      <w:r>
        <w:t xml:space="preserve">ледующие методы управления карьерным ростом: административные, экономические, социальные, управленческие и психологические. [2] </w:t>
      </w:r>
    </w:p>
    <w:p w:rsidR="002C0F56" w:rsidRDefault="00E67C6E">
      <w:pPr>
        <w:spacing w:after="0"/>
        <w:ind w:left="165" w:right="867"/>
      </w:pPr>
      <w:r>
        <w:t>К административным методам относятся законы, указы, постановления, инструкции. Экономические методы предусматривают мотивацию т</w:t>
      </w:r>
      <w:r>
        <w:t>рудовой деятельности посредством материального стимулирования, поощрений и т.д. Когда речь идет о социальных методах управления карьерой, имеет место использование неформальных факторов, интересов личности или коллектива. Управленческие методы подразумеваю</w:t>
      </w:r>
      <w:r>
        <w:t xml:space="preserve">т оценку коммуникативной культуры муниципальных служащих, оценку их компетентности. С помощью психологических методов осуществляется ориентация на конкретную личность, а также раскрытие внутреннего потенциала муниципальных служащих. </w:t>
      </w:r>
    </w:p>
    <w:p w:rsidR="002C0F56" w:rsidRDefault="00E67C6E">
      <w:pPr>
        <w:spacing w:after="0"/>
        <w:ind w:left="165" w:right="870"/>
      </w:pPr>
      <w:r>
        <w:t>В настоящее время на п</w:t>
      </w:r>
      <w:r>
        <w:t xml:space="preserve">рактике прослеживается значительное расхождение теоретических основ планирования карьеры с реальностью. Мероприятия, которые направлены на повышение качества муниципальной службы, в основном носят формальный характер. Кадровые службы муниципальных органов </w:t>
      </w:r>
      <w:r>
        <w:t xml:space="preserve">в полной мере не уделяют должного внимания отбору и оценке персонала, повышению квалификации сотрудников, не проводят планирование карьерой, то есть важность проведения целенаправленного управления карьерой муниципальных служащих пока еще не осознана. [1] </w:t>
      </w:r>
    </w:p>
    <w:p w:rsidR="002C0F56" w:rsidRDefault="00E67C6E">
      <w:pPr>
        <w:ind w:left="165" w:right="872"/>
      </w:pPr>
      <w:r>
        <w:t>Для того чтобы проанализировать сложившуюся ситуацию и выявить недостатки, существующие в сфере управления карьерой муниципальных служащих было проведено социологическое исследование методом анкетирования муниципальных служащих администрации города Рязани</w:t>
      </w:r>
      <w:r>
        <w:t xml:space="preserve">. Также ставилась задача в выявлении карьерного потенциала служащих. </w:t>
      </w:r>
    </w:p>
    <w:p w:rsidR="002C0F56" w:rsidRDefault="00E67C6E">
      <w:pPr>
        <w:ind w:left="165" w:right="863"/>
      </w:pPr>
      <w:r>
        <w:t>За все время прохождения службы около 34 % служащих освоили одну-две должности , порядка 33 %  – три должности и примерно 33 % освоили более трех должностей. На основе этих ответов, можн</w:t>
      </w:r>
      <w:r>
        <w:t xml:space="preserve">о сделать вывод, что общеорганизационный вид карьерного роста муниципальных служащих г. Рязани можно описать как нормальный и устойчивый. </w:t>
      </w:r>
    </w:p>
    <w:p w:rsidR="002C0F56" w:rsidRDefault="00E67C6E">
      <w:pPr>
        <w:ind w:left="165" w:right="302"/>
      </w:pPr>
      <w:r>
        <w:t xml:space="preserve">По итогам опроса так же было выявлено, что 83 % опрошенных служащих карьера помогает реализовать их профессиональные </w:t>
      </w:r>
      <w:r>
        <w:t xml:space="preserve">способности.  </w:t>
      </w:r>
    </w:p>
    <w:p w:rsidR="002C0F56" w:rsidRDefault="00E67C6E">
      <w:pPr>
        <w:spacing w:after="2"/>
        <w:ind w:left="165" w:right="868"/>
      </w:pPr>
      <w:r>
        <w:t xml:space="preserve">100 % респондентов на вопрос «Придает ли карьера смысл трудовой деятельности» дали положительный ответ. Это позволяет говорить о том, что карьера для служащих действительно является сильным фактором мотивации в их трудовой деятельности. </w:t>
      </w:r>
    </w:p>
    <w:p w:rsidR="002C0F56" w:rsidRDefault="00E67C6E">
      <w:pPr>
        <w:spacing w:after="9"/>
        <w:ind w:left="165" w:right="875"/>
      </w:pPr>
      <w:r>
        <w:lastRenderedPageBreak/>
        <w:t>Сре</w:t>
      </w:r>
      <w:r>
        <w:t xml:space="preserve">ди муниципальных служащих применяются как внутренние, так и внешние источники набора персонала: так ответили 50% опрошенных нами сотрудников. </w:t>
      </w:r>
    </w:p>
    <w:p w:rsidR="002C0F56" w:rsidRDefault="00E67C6E">
      <w:pPr>
        <w:ind w:left="165" w:right="865"/>
      </w:pPr>
      <w:r>
        <w:t>66% служащих подтвердили, что среди форм профессионального развития персонала (стажировки, учеба на курсах повыше</w:t>
      </w:r>
      <w:r>
        <w:t xml:space="preserve">ния квалификации и т.д.) преобладающей в организации являются стажировки. </w:t>
      </w:r>
    </w:p>
    <w:p w:rsidR="002C0F56" w:rsidRDefault="00E67C6E">
      <w:pPr>
        <w:spacing w:after="3"/>
        <w:ind w:left="165" w:right="871"/>
      </w:pPr>
      <w:r>
        <w:t xml:space="preserve">На сегодняшний день накоплен достаточно большой объем информации по актуальным вопросам управления карьерой, но почти всегда он не реализовывается на практике, что, конечно же, снижает эффективность менеджмента муниципального образования. </w:t>
      </w:r>
    </w:p>
    <w:p w:rsidR="002C0F56" w:rsidRDefault="00E67C6E">
      <w:pPr>
        <w:spacing w:after="10"/>
        <w:ind w:left="165" w:right="871"/>
      </w:pPr>
      <w:r>
        <w:t xml:space="preserve">Таким образом, можно сделать следующие выводы, а также определить возможные пути решения проблем, которые могут возникнуть в процессе управления карьерой муниципальных служащих: </w:t>
      </w:r>
    </w:p>
    <w:p w:rsidR="002C0F56" w:rsidRDefault="00E67C6E">
      <w:pPr>
        <w:numPr>
          <w:ilvl w:val="0"/>
          <w:numId w:val="2"/>
        </w:numPr>
        <w:spacing w:after="0"/>
        <w:ind w:right="868"/>
      </w:pPr>
      <w:r>
        <w:t>Для того чтобы максимально эффективно осуществлять управление карьерой необхо</w:t>
      </w:r>
      <w:r>
        <w:t xml:space="preserve">димо и важно создать систему, которая позволила бы муниципальным органам и самому муниципальному служащему составить план развития карьеры, учесть всевозможные перспективы, наметить пути для достижения поставленных целей. </w:t>
      </w:r>
    </w:p>
    <w:p w:rsidR="002C0F56" w:rsidRDefault="00E67C6E">
      <w:pPr>
        <w:numPr>
          <w:ilvl w:val="0"/>
          <w:numId w:val="2"/>
        </w:numPr>
        <w:spacing w:after="0"/>
        <w:ind w:right="868"/>
      </w:pPr>
      <w:r>
        <w:t>Главный недостаток управления кар</w:t>
      </w:r>
      <w:r>
        <w:t>ьерой муниципальных служащих заключается в расхождении теоретических основ планирования карьеры с реальностью. Также важно отметить то, что система стимулирования труда муниципальных служащих развита на низком уровне. Государство и органы местного самоупра</w:t>
      </w:r>
      <w:r>
        <w:t xml:space="preserve">вления не обеспечивают престиж муниципальной службы, не в полной мере отражают ее перспективы. Исходя из этого, отток профессиональных кадров из органов местного самоуправления превышает приток новых. И все это является причиной снижения профессионального </w:t>
      </w:r>
      <w:r>
        <w:t xml:space="preserve">уровня работников муниципального аппарата.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3"/>
        </w:numPr>
        <w:ind w:right="584"/>
      </w:pPr>
      <w:r>
        <w:t xml:space="preserve">Юткин М.В. Современные проблемы в области управления карьерой муниципальных служащих // Фундаментальные исследования. – 2008. – № 5 – С. 27-29 </w:t>
      </w:r>
    </w:p>
    <w:p w:rsidR="002C0F56" w:rsidRDefault="00E67C6E">
      <w:pPr>
        <w:numPr>
          <w:ilvl w:val="0"/>
          <w:numId w:val="3"/>
        </w:numPr>
        <w:ind w:right="584"/>
      </w:pPr>
      <w:r>
        <w:t>Экономическая библиотека. Методы управления ка</w:t>
      </w:r>
      <w:r>
        <w:t xml:space="preserve">рьерой // </w:t>
      </w:r>
    </w:p>
    <w:p w:rsidR="002C0F56" w:rsidRDefault="00E67C6E">
      <w:pPr>
        <w:spacing w:after="12"/>
        <w:ind w:left="165" w:right="302" w:firstLine="0"/>
      </w:pPr>
      <w:r>
        <w:t xml:space="preserve">[Электронный ресурс] / Режим доступа: http://econom-lib.ru/4-12.php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pStyle w:val="1"/>
        <w:spacing w:after="25" w:line="259" w:lineRule="auto"/>
        <w:ind w:right="856"/>
        <w:jc w:val="right"/>
      </w:pPr>
      <w:r>
        <w:t>Адамчук В.А, Гончарик Н. А</w:t>
      </w:r>
      <w:r>
        <w:rPr>
          <w:rFonts w:ascii="Calibri" w:eastAsia="Calibri" w:hAnsi="Calibri" w:cs="Calibri"/>
          <w:b w:val="0"/>
          <w:color w:val="345A8A"/>
        </w:rPr>
        <w:t xml:space="preserve"> </w:t>
      </w:r>
      <w:r>
        <w:rPr>
          <w:b w:val="0"/>
        </w:rPr>
        <w:t xml:space="preserve">Научный руководитель: Рыбальченко Н.Л </w:t>
      </w:r>
    </w:p>
    <w:p w:rsidR="002C0F56" w:rsidRDefault="00E67C6E">
      <w:pPr>
        <w:spacing w:after="0" w:line="267" w:lineRule="auto"/>
        <w:ind w:left="905" w:right="860" w:hanging="10"/>
        <w:jc w:val="right"/>
      </w:pPr>
      <w:r>
        <w:rPr>
          <w:i/>
        </w:rPr>
        <w:t xml:space="preserve">Барановичский Государственный университет </w:t>
      </w:r>
    </w:p>
    <w:p w:rsidR="002C0F56" w:rsidRDefault="00E67C6E">
      <w:pPr>
        <w:spacing w:after="30" w:line="259" w:lineRule="auto"/>
        <w:ind w:left="744" w:firstLine="0"/>
        <w:jc w:val="left"/>
      </w:pPr>
      <w:r>
        <w:t xml:space="preserve"> </w:t>
      </w:r>
    </w:p>
    <w:p w:rsidR="002C0F56" w:rsidRDefault="00E67C6E">
      <w:pPr>
        <w:pStyle w:val="1"/>
        <w:ind w:right="686"/>
      </w:pPr>
      <w:r>
        <w:lastRenderedPageBreak/>
        <w:t xml:space="preserve">ДЕМОГРАФИЧЕСКИЙ ПОТЕНЦИАЛ РЕСПУБЛИКИ БЕЛАРУСЬ </w:t>
      </w:r>
    </w:p>
    <w:p w:rsidR="002C0F56" w:rsidRDefault="00E67C6E">
      <w:pPr>
        <w:spacing w:after="0" w:line="259" w:lineRule="auto"/>
        <w:ind w:left="744" w:firstLine="0"/>
        <w:jc w:val="left"/>
      </w:pPr>
      <w:r>
        <w:rPr>
          <w:b/>
        </w:rPr>
        <w:t xml:space="preserve"> </w:t>
      </w:r>
    </w:p>
    <w:p w:rsidR="002C0F56" w:rsidRDefault="00E67C6E">
      <w:pPr>
        <w:spacing w:after="0"/>
        <w:ind w:left="165" w:right="869"/>
      </w:pPr>
      <w:r>
        <w:t>По мере продвижения процесса глобализации человеческий потенциал становится важнейшим ресурсом, который не имеет аналогов. Поэтому любые барьеры на пути развития человеческого потенциала страны, независимо от характера и конкретных причин, вызывают отрицат</w:t>
      </w:r>
      <w:r>
        <w:t xml:space="preserve">ельные демографические, социальные, экономические, политические, геополитические и иные последствия. Можно констатировать, что вложения в развитие человека становятся не необходимыми издержками, а самыми эффективными инвестициями. В странах с ограниченным </w:t>
      </w:r>
      <w:r>
        <w:t xml:space="preserve">количеством природных ресурсов инвестиции в человеческий потенциал являются особенно важными с точки зрения политического и экономического развития этих государств и, как следствие, их общего развития [1]. </w:t>
      </w:r>
    </w:p>
    <w:p w:rsidR="002C0F56" w:rsidRDefault="00E67C6E">
      <w:pPr>
        <w:spacing w:after="0"/>
        <w:ind w:left="165" w:right="866"/>
      </w:pPr>
      <w:r>
        <w:t>Ни для кого не секрет, что в современном мире сущ</w:t>
      </w:r>
      <w:r>
        <w:t xml:space="preserve">ествует огромное количество проблем, таких как предотвращение ядерной войны, преодоление отсталости развивающихся стран, продовольственная и энергетическая проблемы, ликвидация опасных болезней, загрязнение окружающей среды и ряда других, но, особое место </w:t>
      </w:r>
      <w:r>
        <w:t xml:space="preserve">среди них занимает демографическая. Она обусловливает развитие практически всех глобальных проблем человечества. Следовательно, каждого из нас должна волновать демографическая ситуация в республике. </w:t>
      </w:r>
    </w:p>
    <w:p w:rsidR="002C0F56" w:rsidRDefault="00E67C6E">
      <w:pPr>
        <w:ind w:left="165" w:right="863"/>
      </w:pPr>
      <w:r>
        <w:t>В Большом Энциклопедическом словаре понятие «демография»</w:t>
      </w:r>
      <w:r>
        <w:t xml:space="preserve"> трактуется следующим образом: демография (от греч. demos - народ и...графия), наука о закономерностях воспроизводства населения в общественно-исторической обусловленности этого процесса. По материалам статистики демография изучает воспроизводство населени</w:t>
      </w:r>
      <w:r>
        <w:t xml:space="preserve">я в целом и его компоненты как массовые социальные процессы, их количественные взаимосвязи с возрастно-половой структурой населения, зависимости от социальных и экономических явлений, характер взаимодействия роста населения с общественным развитием [2]. </w:t>
      </w:r>
    </w:p>
    <w:p w:rsidR="002C0F56" w:rsidRDefault="00E67C6E">
      <w:pPr>
        <w:ind w:left="744" w:right="302" w:firstLine="0"/>
      </w:pPr>
      <w:r>
        <w:t>Т</w:t>
      </w:r>
      <w:r>
        <w:t xml:space="preserve">ак, предметом демографических исследования являются: </w:t>
      </w:r>
    </w:p>
    <w:p w:rsidR="002C0F56" w:rsidRDefault="00E67C6E">
      <w:pPr>
        <w:numPr>
          <w:ilvl w:val="0"/>
          <w:numId w:val="4"/>
        </w:numPr>
        <w:ind w:right="302"/>
      </w:pPr>
      <w:r>
        <w:t xml:space="preserve">общая численность населения; </w:t>
      </w:r>
    </w:p>
    <w:p w:rsidR="002C0F56" w:rsidRDefault="00E67C6E">
      <w:pPr>
        <w:numPr>
          <w:ilvl w:val="0"/>
          <w:numId w:val="4"/>
        </w:numPr>
        <w:ind w:right="302"/>
      </w:pPr>
      <w:r>
        <w:t xml:space="preserve">возрастная и половая структура общества; </w:t>
      </w:r>
    </w:p>
    <w:p w:rsidR="002C0F56" w:rsidRDefault="00E67C6E">
      <w:pPr>
        <w:numPr>
          <w:ilvl w:val="0"/>
          <w:numId w:val="4"/>
        </w:numPr>
        <w:ind w:right="302"/>
      </w:pPr>
      <w:r>
        <w:t xml:space="preserve">национальный, религиозный и языковой состав; </w:t>
      </w:r>
    </w:p>
    <w:p w:rsidR="002C0F56" w:rsidRDefault="00E67C6E">
      <w:pPr>
        <w:numPr>
          <w:ilvl w:val="0"/>
          <w:numId w:val="4"/>
        </w:numPr>
        <w:ind w:right="302"/>
      </w:pPr>
      <w:r>
        <w:t xml:space="preserve">продолжительность жизни, реальная и предполагаемая; </w:t>
      </w:r>
    </w:p>
    <w:p w:rsidR="002C0F56" w:rsidRDefault="00E67C6E">
      <w:pPr>
        <w:numPr>
          <w:ilvl w:val="0"/>
          <w:numId w:val="4"/>
        </w:numPr>
        <w:ind w:right="302"/>
      </w:pPr>
      <w:r>
        <w:t>общий и естественный прирост на</w:t>
      </w:r>
      <w:r>
        <w:t xml:space="preserve">селения; </w:t>
      </w:r>
    </w:p>
    <w:p w:rsidR="002C0F56" w:rsidRDefault="00E67C6E">
      <w:pPr>
        <w:numPr>
          <w:ilvl w:val="0"/>
          <w:numId w:val="4"/>
        </w:numPr>
        <w:ind w:right="302"/>
      </w:pPr>
      <w:r>
        <w:t xml:space="preserve">миграция; </w:t>
      </w:r>
    </w:p>
    <w:p w:rsidR="002C0F56" w:rsidRDefault="00E67C6E">
      <w:pPr>
        <w:numPr>
          <w:ilvl w:val="0"/>
          <w:numId w:val="4"/>
        </w:numPr>
        <w:ind w:right="302"/>
      </w:pPr>
      <w:r>
        <w:t xml:space="preserve">количество, время, возраст заключения браков и разводов; </w:t>
      </w:r>
    </w:p>
    <w:p w:rsidR="002C0F56" w:rsidRDefault="00E67C6E">
      <w:pPr>
        <w:numPr>
          <w:ilvl w:val="0"/>
          <w:numId w:val="4"/>
        </w:numPr>
        <w:spacing w:after="5" w:line="268" w:lineRule="auto"/>
        <w:ind w:right="302"/>
      </w:pPr>
      <w:r>
        <w:lastRenderedPageBreak/>
        <w:t xml:space="preserve">профессиональный и образовательный состав общества; - уровень доходов групп населения и отдельных лиц; - состояние здоровья населения. </w:t>
      </w:r>
    </w:p>
    <w:p w:rsidR="002C0F56" w:rsidRDefault="00E67C6E">
      <w:pPr>
        <w:ind w:left="165" w:right="302"/>
      </w:pPr>
      <w:r>
        <w:t xml:space="preserve">В современном мире прослеживаются две глобальные демографические тенденции: </w:t>
      </w:r>
    </w:p>
    <w:p w:rsidR="002C0F56" w:rsidRDefault="00E67C6E">
      <w:pPr>
        <w:numPr>
          <w:ilvl w:val="0"/>
          <w:numId w:val="4"/>
        </w:numPr>
        <w:ind w:right="302"/>
      </w:pPr>
      <w:r>
        <w:t xml:space="preserve">традиционно высокая не обеспеченная соответствующим ростом производства рождаемость в бедных государствах. Как следствие – рост безработицы и социальная нестабильность; </w:t>
      </w:r>
    </w:p>
    <w:p w:rsidR="002C0F56" w:rsidRDefault="00E67C6E">
      <w:pPr>
        <w:numPr>
          <w:ilvl w:val="0"/>
          <w:numId w:val="4"/>
        </w:numPr>
        <w:ind w:right="302"/>
      </w:pPr>
      <w:r>
        <w:t>низкая ро</w:t>
      </w:r>
      <w:r>
        <w:t xml:space="preserve">ждаемость в экономически благополучных обществах, несущая в себе угрозу старения и вымирания. </w:t>
      </w:r>
    </w:p>
    <w:p w:rsidR="002C0F56" w:rsidRDefault="00E67C6E">
      <w:pPr>
        <w:ind w:left="165" w:right="866"/>
      </w:pPr>
      <w:r>
        <w:t xml:space="preserve">Самой масштабной и результативной системой мероприятий по сокращению роста населения можно назвать программу «одна семья – один ребенок» в Китае. Нечто подобное </w:t>
      </w:r>
      <w:r>
        <w:t xml:space="preserve">проводится в Индии и некоторых других государствах, но со значительно меньшим успехом. </w:t>
      </w:r>
    </w:p>
    <w:p w:rsidR="002C0F56" w:rsidRDefault="00E67C6E">
      <w:pPr>
        <w:spacing w:after="0"/>
        <w:ind w:left="165" w:right="867"/>
      </w:pPr>
      <w:r>
        <w:t>С другой стороны, в странах с высоким уровнем жизни и образования социальная политика состоит в стимулировании рождаемости, в связи со старением населения, нехваткой «р</w:t>
      </w:r>
      <w:r>
        <w:t xml:space="preserve">абочих рук» для продолжения экономического роста. Однако усилия в этом направлении редко бывают достаточно успешными [3]. </w:t>
      </w:r>
    </w:p>
    <w:p w:rsidR="002C0F56" w:rsidRDefault="00E67C6E">
      <w:pPr>
        <w:ind w:left="165" w:right="870"/>
      </w:pPr>
      <w:r>
        <w:t>До сих пор в научной литературе отсутствует единый подход к трактовке и пониманию сущности демографического потенциала. Как показал а</w:t>
      </w:r>
      <w:r>
        <w:t xml:space="preserve">нализ, в настоящее время существуют четыре основных подхода к определению демографического потенциала: </w:t>
      </w:r>
    </w:p>
    <w:p w:rsidR="002C0F56" w:rsidRDefault="00E67C6E">
      <w:pPr>
        <w:numPr>
          <w:ilvl w:val="0"/>
          <w:numId w:val="5"/>
        </w:numPr>
        <w:ind w:right="872"/>
      </w:pPr>
      <w:r>
        <w:t>В демографических и статистических работах, а также в исследованиях социо-географов под демографическим потенциалом страны понимается общее число ее жит</w:t>
      </w:r>
      <w:r>
        <w:t xml:space="preserve">елей. В таком же контексте ведется и количественный расчет его объемов.  </w:t>
      </w:r>
    </w:p>
    <w:p w:rsidR="002C0F56" w:rsidRDefault="00E67C6E">
      <w:pPr>
        <w:numPr>
          <w:ilvl w:val="0"/>
          <w:numId w:val="5"/>
        </w:numPr>
        <w:ind w:right="872"/>
      </w:pPr>
      <w:r>
        <w:t>В ряде работ под демографическим потенциалом понимаются исключительно репродуктивные возможности общества, которые определяются численностью репродуктивного контингента активных пред</w:t>
      </w:r>
      <w:r>
        <w:t xml:space="preserve">ставителей в составе общности и их детородной активностью.  </w:t>
      </w:r>
    </w:p>
    <w:p w:rsidR="002C0F56" w:rsidRDefault="00E67C6E">
      <w:pPr>
        <w:numPr>
          <w:ilvl w:val="0"/>
          <w:numId w:val="5"/>
        </w:numPr>
        <w:ind w:right="872"/>
      </w:pPr>
      <w:r>
        <w:t>Широкое распространение получает представление о демографическом потенциале общества через понятие жизненного вероятностного потенциала, который измеряется числом людей с учетом прожитого ими сов</w:t>
      </w:r>
      <w:r>
        <w:t xml:space="preserve">окупного времени. </w:t>
      </w:r>
    </w:p>
    <w:p w:rsidR="002C0F56" w:rsidRDefault="00E67C6E">
      <w:pPr>
        <w:numPr>
          <w:ilvl w:val="0"/>
          <w:numId w:val="5"/>
        </w:numPr>
        <w:ind w:right="872"/>
      </w:pPr>
      <w:r>
        <w:t>Все чаще начинает применяться трактовка демографического потенциала в контексте человеческого потенциала территории. В этом разрезе демографический потенциал трактуется как количественный и качественный потенциал воспроизводства народона</w:t>
      </w:r>
      <w:r>
        <w:t xml:space="preserve">селения определенной территории </w:t>
      </w:r>
      <w:r>
        <w:lastRenderedPageBreak/>
        <w:t xml:space="preserve">(государства, региона) и определяется такими показателями, как общая численность населения, его половозрастной состав, динамика роста (убыли) населения, миграционные процессы и т. д. [4]. </w:t>
      </w:r>
    </w:p>
    <w:p w:rsidR="002C0F56" w:rsidRDefault="00E67C6E">
      <w:pPr>
        <w:spacing w:after="0"/>
        <w:ind w:left="165" w:right="865"/>
      </w:pPr>
      <w:r>
        <w:t>Однако ни один из перечисленных под</w:t>
      </w:r>
      <w:r>
        <w:t>ходов, не дает надежной теоретикометодологической базы для разработки и применения комплекса мер по улучшению демографической ситуации в стране и ее регионах, обеспечению демографического роста и высокого качества жизни населения, что закономерно требует д</w:t>
      </w:r>
      <w:r>
        <w:t xml:space="preserve">ополнительной теоретической проработки этого понятия.  </w:t>
      </w:r>
    </w:p>
    <w:p w:rsidR="002C0F56" w:rsidRDefault="00E67C6E">
      <w:pPr>
        <w:spacing w:after="5"/>
        <w:ind w:left="165" w:right="871"/>
      </w:pPr>
      <w:r>
        <w:t>По нашему мнению, под демографическим потенциалом региона следует понимать совокупность деятельностных способностей населения, выражающихся в специфике половозрастной квалификации населения, образоват</w:t>
      </w:r>
      <w:r>
        <w:t xml:space="preserve">ельной и профессионально-квалификационной структуре населения, уровне социальной мобильности, специфике менталитета в конкретной исторической обусловленности. </w:t>
      </w:r>
    </w:p>
    <w:p w:rsidR="002C0F56" w:rsidRDefault="00E67C6E">
      <w:pPr>
        <w:ind w:left="165" w:right="302"/>
      </w:pPr>
      <w:r>
        <w:t>Для иллюстрации демографического положения в Республике Беларусь можно рассмотреть таблицы, сост</w:t>
      </w:r>
      <w:r>
        <w:t xml:space="preserve">авленные по информации Белстата: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0" w:right="965" w:firstLine="0"/>
        <w:jc w:val="right"/>
      </w:pPr>
      <w:r>
        <w:rPr>
          <w:i/>
          <w:sz w:val="24"/>
        </w:rPr>
        <w:t>Таблица 1</w:t>
      </w:r>
      <w:r>
        <w:rPr>
          <w:sz w:val="24"/>
        </w:rPr>
        <w:t xml:space="preserve"> - </w:t>
      </w:r>
      <w:r>
        <w:rPr>
          <w:b/>
          <w:sz w:val="24"/>
        </w:rPr>
        <w:t>Численность населения Республики Беларусь на 1 января 2016 года [3]</w:t>
      </w:r>
      <w:r>
        <w:rPr>
          <w:sz w:val="24"/>
        </w:rPr>
        <w:t xml:space="preserve"> </w:t>
      </w:r>
    </w:p>
    <w:tbl>
      <w:tblPr>
        <w:tblStyle w:val="TableGrid"/>
        <w:tblW w:w="9748" w:type="dxa"/>
        <w:tblInd w:w="180" w:type="dxa"/>
        <w:tblCellMar>
          <w:top w:w="41" w:type="dxa"/>
          <w:left w:w="118" w:type="dxa"/>
          <w:bottom w:w="0" w:type="dxa"/>
          <w:right w:w="61" w:type="dxa"/>
        </w:tblCellMar>
        <w:tblLook w:val="04A0" w:firstRow="1" w:lastRow="0" w:firstColumn="1" w:lastColumn="0" w:noHBand="0" w:noVBand="1"/>
      </w:tblPr>
      <w:tblGrid>
        <w:gridCol w:w="851"/>
        <w:gridCol w:w="991"/>
        <w:gridCol w:w="991"/>
        <w:gridCol w:w="995"/>
        <w:gridCol w:w="991"/>
        <w:gridCol w:w="994"/>
        <w:gridCol w:w="991"/>
        <w:gridCol w:w="994"/>
        <w:gridCol w:w="992"/>
        <w:gridCol w:w="958"/>
      </w:tblGrid>
      <w:tr w:rsidR="002C0F56">
        <w:trPr>
          <w:trHeight w:val="564"/>
        </w:trPr>
        <w:tc>
          <w:tcPr>
            <w:tcW w:w="852"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rPr>
                <w:sz w:val="24"/>
              </w:rPr>
              <w:t xml:space="preserve">Годы </w:t>
            </w:r>
          </w:p>
        </w:tc>
        <w:tc>
          <w:tcPr>
            <w:tcW w:w="2977" w:type="dxa"/>
            <w:gridSpan w:val="3"/>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4" w:firstLine="0"/>
              <w:jc w:val="left"/>
            </w:pPr>
            <w:r>
              <w:rPr>
                <w:sz w:val="24"/>
              </w:rPr>
              <w:t xml:space="preserve">Все население (тыс. чел.) </w:t>
            </w:r>
          </w:p>
        </w:tc>
        <w:tc>
          <w:tcPr>
            <w:tcW w:w="2976" w:type="dxa"/>
            <w:gridSpan w:val="3"/>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Городское население (тыс. чел.) </w:t>
            </w:r>
          </w:p>
        </w:tc>
        <w:tc>
          <w:tcPr>
            <w:tcW w:w="2943" w:type="dxa"/>
            <w:gridSpan w:val="3"/>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Сельское население (тыс.чел.) </w:t>
            </w:r>
          </w:p>
        </w:tc>
      </w:tr>
      <w:tr w:rsidR="002C0F56">
        <w:trPr>
          <w:trHeight w:val="1440"/>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60" w:firstLine="0"/>
              <w:jc w:val="left"/>
            </w:pPr>
            <w:r>
              <w:rPr>
                <w:rFonts w:ascii="Calibri" w:eastAsia="Calibri" w:hAnsi="Calibri" w:cs="Calibri"/>
                <w:noProof/>
                <w:sz w:val="22"/>
              </w:rPr>
              <mc:AlternateContent>
                <mc:Choice Requires="wpg">
                  <w:drawing>
                    <wp:inline distT="0" distB="0" distL="0" distR="0">
                      <wp:extent cx="348586" cy="779525"/>
                      <wp:effectExtent l="0" t="0" r="0" b="0"/>
                      <wp:docPr id="542704" name="Group 542704"/>
                      <wp:cNvGraphicFramePr/>
                      <a:graphic xmlns:a="http://schemas.openxmlformats.org/drawingml/2006/main">
                        <a:graphicData uri="http://schemas.microsoft.com/office/word/2010/wordprocessingGroup">
                          <wpg:wgp>
                            <wpg:cNvGrpSpPr/>
                            <wpg:grpSpPr>
                              <a:xfrm>
                                <a:off x="0" y="0"/>
                                <a:ext cx="348586" cy="779525"/>
                                <a:chOff x="0" y="0"/>
                                <a:chExt cx="348586" cy="779525"/>
                              </a:xfrm>
                            </wpg:grpSpPr>
                            <wps:wsp>
                              <wps:cNvPr id="4321" name="Rectangle 4321"/>
                              <wps:cNvSpPr/>
                              <wps:spPr>
                                <a:xfrm rot="-5399999">
                                  <a:off x="-290166" y="274856"/>
                                  <a:ext cx="824957" cy="184382"/>
                                </a:xfrm>
                                <a:prstGeom prst="rect">
                                  <a:avLst/>
                                </a:prstGeom>
                                <a:ln>
                                  <a:noFill/>
                                </a:ln>
                              </wps:spPr>
                              <wps:txbx>
                                <w:txbxContent>
                                  <w:p w:rsidR="002C0F56" w:rsidRDefault="00E67C6E">
                                    <w:pPr>
                                      <w:spacing w:after="160" w:line="259" w:lineRule="auto"/>
                                      <w:ind w:left="0" w:firstLine="0"/>
                                      <w:jc w:val="left"/>
                                    </w:pPr>
                                    <w:r>
                                      <w:rPr>
                                        <w:sz w:val="24"/>
                                      </w:rPr>
                                      <w:t>мужчины</w:t>
                                    </w:r>
                                  </w:p>
                                </w:txbxContent>
                              </wps:txbx>
                              <wps:bodyPr horzOverflow="overflow" vert="horz" lIns="0" tIns="0" rIns="0" bIns="0" rtlCol="0">
                                <a:noAutofit/>
                              </wps:bodyPr>
                            </wps:wsp>
                            <wps:wsp>
                              <wps:cNvPr id="4322" name="Rectangle 4322"/>
                              <wps:cNvSpPr/>
                              <wps:spPr>
                                <a:xfrm rot="-5399999">
                                  <a:off x="86854" y="21731"/>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323" name="Rectangle 4323"/>
                              <wps:cNvSpPr/>
                              <wps:spPr>
                                <a:xfrm rot="-5399999">
                                  <a:off x="41742" y="-51602"/>
                                  <a:ext cx="161140" cy="184382"/>
                                </a:xfrm>
                                <a:prstGeom prst="rect">
                                  <a:avLst/>
                                </a:prstGeom>
                                <a:ln>
                                  <a:noFill/>
                                </a:ln>
                              </wps:spPr>
                              <wps:txbx>
                                <w:txbxContent>
                                  <w:p w:rsidR="002C0F56" w:rsidRDefault="00E67C6E">
                                    <w:pPr>
                                      <w:spacing w:after="160" w:line="259" w:lineRule="auto"/>
                                      <w:ind w:left="0" w:firstLine="0"/>
                                      <w:jc w:val="left"/>
                                    </w:pPr>
                                    <w:r>
                                      <w:rPr>
                                        <w:sz w:val="24"/>
                                      </w:rPr>
                                      <w:t xml:space="preserve">и </w:t>
                                    </w:r>
                                  </w:p>
                                </w:txbxContent>
                              </wps:txbx>
                              <wps:bodyPr horzOverflow="overflow" vert="horz" lIns="0" tIns="0" rIns="0" bIns="0" rtlCol="0">
                                <a:noAutofit/>
                              </wps:bodyPr>
                            </wps:wsp>
                            <wps:wsp>
                              <wps:cNvPr id="4324" name="Rectangle 4324"/>
                              <wps:cNvSpPr/>
                              <wps:spPr>
                                <a:xfrm rot="-5399999">
                                  <a:off x="-122394" y="210979"/>
                                  <a:ext cx="849077" cy="184383"/>
                                </a:xfrm>
                                <a:prstGeom prst="rect">
                                  <a:avLst/>
                                </a:prstGeom>
                                <a:ln>
                                  <a:noFill/>
                                </a:ln>
                              </wps:spPr>
                              <wps:txbx>
                                <w:txbxContent>
                                  <w:p w:rsidR="002C0F56" w:rsidRDefault="00E67C6E">
                                    <w:pPr>
                                      <w:spacing w:after="160" w:line="259" w:lineRule="auto"/>
                                      <w:ind w:left="0" w:firstLine="0"/>
                                      <w:jc w:val="left"/>
                                    </w:pPr>
                                    <w:r>
                                      <w:rPr>
                                        <w:sz w:val="24"/>
                                      </w:rPr>
                                      <w:t>женщины</w:t>
                                    </w:r>
                                  </w:p>
                                </w:txbxContent>
                              </wps:txbx>
                              <wps:bodyPr horzOverflow="overflow" vert="horz" lIns="0" tIns="0" rIns="0" bIns="0" rtlCol="0">
                                <a:noAutofit/>
                              </wps:bodyPr>
                            </wps:wsp>
                            <wps:wsp>
                              <wps:cNvPr id="4325" name="Rectangle 4325"/>
                              <wps:cNvSpPr/>
                              <wps:spPr>
                                <a:xfrm rot="-5399999">
                                  <a:off x="266685" y="-4684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04" style="width:27.4477pt;height:61.3799pt;mso-position-horizontal-relative:char;mso-position-vertical-relative:line" coordsize="3485,7795">
                      <v:rect id="Rectangle 4321" style="position:absolute;width:8249;height:1843;left:-2901;top:2748;rotation:270;" filled="f" stroked="f">
                        <v:textbox inset="0,0,0,0" style="layout-flow:vertical;mso-layout-flow-alt:bottom-to-top">
                          <w:txbxContent>
                            <w:p>
                              <w:pPr>
                                <w:spacing w:before="0" w:after="160" w:line="259" w:lineRule="auto"/>
                                <w:ind w:left="0" w:firstLine="0"/>
                                <w:jc w:val="left"/>
                              </w:pPr>
                              <w:r>
                                <w:rPr>
                                  <w:sz w:val="24"/>
                                </w:rPr>
                                <w:t xml:space="preserve">мужчины</w:t>
                              </w:r>
                            </w:p>
                          </w:txbxContent>
                        </v:textbox>
                      </v:rect>
                      <v:rect id="Rectangle 4322" style="position:absolute;width:506;height:2243;left:868;top:217;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rect id="Rectangle 4323" style="position:absolute;width:1611;height:1843;left:417;top:-516;rotation:270;" filled="f" stroked="f">
                        <v:textbox inset="0,0,0,0" style="layout-flow:vertical;mso-layout-flow-alt:bottom-to-top">
                          <w:txbxContent>
                            <w:p>
                              <w:pPr>
                                <w:spacing w:before="0" w:after="160" w:line="259" w:lineRule="auto"/>
                                <w:ind w:left="0" w:firstLine="0"/>
                                <w:jc w:val="left"/>
                              </w:pPr>
                              <w:r>
                                <w:rPr>
                                  <w:sz w:val="24"/>
                                </w:rPr>
                                <w:t xml:space="preserve">и </w:t>
                              </w:r>
                            </w:p>
                          </w:txbxContent>
                        </v:textbox>
                      </v:rect>
                      <v:rect id="Rectangle 4324" style="position:absolute;width:8490;height:1843;left:-1223;top:2109;rotation:270;" filled="f" stroked="f">
                        <v:textbox inset="0,0,0,0" style="layout-flow:vertical;mso-layout-flow-alt:bottom-to-top">
                          <w:txbxContent>
                            <w:p>
                              <w:pPr>
                                <w:spacing w:before="0" w:after="160" w:line="259" w:lineRule="auto"/>
                                <w:ind w:left="0" w:firstLine="0"/>
                                <w:jc w:val="left"/>
                              </w:pPr>
                              <w:r>
                                <w:rPr>
                                  <w:sz w:val="24"/>
                                </w:rPr>
                                <w:t xml:space="preserve">женщины</w:t>
                              </w:r>
                            </w:p>
                          </w:txbxContent>
                        </v:textbox>
                      </v:rect>
                      <v:rect id="Rectangle 4325" style="position:absolute;width:506;height:2243;left:2666;top:-468;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2" w:firstLine="0"/>
              <w:jc w:val="left"/>
            </w:pPr>
            <w:r>
              <w:rPr>
                <w:rFonts w:ascii="Calibri" w:eastAsia="Calibri" w:hAnsi="Calibri" w:cs="Calibri"/>
                <w:noProof/>
                <w:sz w:val="22"/>
              </w:rPr>
              <mc:AlternateContent>
                <mc:Choice Requires="wpg">
                  <w:drawing>
                    <wp:inline distT="0" distB="0" distL="0" distR="0">
                      <wp:extent cx="168754" cy="658368"/>
                      <wp:effectExtent l="0" t="0" r="0" b="0"/>
                      <wp:docPr id="542708" name="Group 542708"/>
                      <wp:cNvGraphicFramePr/>
                      <a:graphic xmlns:a="http://schemas.openxmlformats.org/drawingml/2006/main">
                        <a:graphicData uri="http://schemas.microsoft.com/office/word/2010/wordprocessingGroup">
                          <wpg:wgp>
                            <wpg:cNvGrpSpPr/>
                            <wpg:grpSpPr>
                              <a:xfrm>
                                <a:off x="0" y="0"/>
                                <a:ext cx="168754" cy="658368"/>
                                <a:chOff x="0" y="0"/>
                                <a:chExt cx="168754" cy="658368"/>
                              </a:xfrm>
                            </wpg:grpSpPr>
                            <wps:wsp>
                              <wps:cNvPr id="4326" name="Rectangle 4326"/>
                              <wps:cNvSpPr/>
                              <wps:spPr>
                                <a:xfrm rot="-5399999">
                                  <a:off x="-290165" y="153699"/>
                                  <a:ext cx="824957" cy="184383"/>
                                </a:xfrm>
                                <a:prstGeom prst="rect">
                                  <a:avLst/>
                                </a:prstGeom>
                                <a:ln>
                                  <a:noFill/>
                                </a:ln>
                              </wps:spPr>
                              <wps:txbx>
                                <w:txbxContent>
                                  <w:p w:rsidR="002C0F56" w:rsidRDefault="00E67C6E">
                                    <w:pPr>
                                      <w:spacing w:after="160" w:line="259" w:lineRule="auto"/>
                                      <w:ind w:left="0" w:firstLine="0"/>
                                      <w:jc w:val="left"/>
                                    </w:pPr>
                                    <w:r>
                                      <w:rPr>
                                        <w:sz w:val="24"/>
                                      </w:rPr>
                                      <w:t>мужчины</w:t>
                                    </w:r>
                                  </w:p>
                                </w:txbxContent>
                              </wps:txbx>
                              <wps:bodyPr horzOverflow="overflow" vert="horz" lIns="0" tIns="0" rIns="0" bIns="0" rtlCol="0">
                                <a:noAutofit/>
                              </wps:bodyPr>
                            </wps:wsp>
                            <wps:wsp>
                              <wps:cNvPr id="4327" name="Rectangle 4327"/>
                              <wps:cNvSpPr/>
                              <wps:spPr>
                                <a:xfrm rot="-5399999">
                                  <a:off x="86854" y="-9942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08" style="width:13.2877pt;height:51.84pt;mso-position-horizontal-relative:char;mso-position-vertical-relative:line" coordsize="1687,6583">
                      <v:rect id="Rectangle 4326" style="position:absolute;width:8249;height:1843;left:-2901;top:1536;rotation:270;" filled="f" stroked="f">
                        <v:textbox inset="0,0,0,0" style="layout-flow:vertical;mso-layout-flow-alt:bottom-to-top">
                          <w:txbxContent>
                            <w:p>
                              <w:pPr>
                                <w:spacing w:before="0" w:after="160" w:line="259" w:lineRule="auto"/>
                                <w:ind w:left="0" w:firstLine="0"/>
                                <w:jc w:val="left"/>
                              </w:pPr>
                              <w:r>
                                <w:rPr>
                                  <w:sz w:val="24"/>
                                </w:rPr>
                                <w:t xml:space="preserve">мужчины</w:t>
                              </w:r>
                            </w:p>
                          </w:txbxContent>
                        </v:textbox>
                      </v:rect>
                      <v:rect id="Rectangle 4327" style="position:absolute;width:506;height:2243;left:868;top:-994;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5" w:firstLine="0"/>
              <w:jc w:val="left"/>
            </w:pPr>
            <w:r>
              <w:rPr>
                <w:rFonts w:ascii="Calibri" w:eastAsia="Calibri" w:hAnsi="Calibri" w:cs="Calibri"/>
                <w:noProof/>
                <w:sz w:val="22"/>
              </w:rPr>
              <mc:AlternateContent>
                <mc:Choice Requires="wpg">
                  <w:drawing>
                    <wp:inline distT="0" distB="0" distL="0" distR="0">
                      <wp:extent cx="168754" cy="675132"/>
                      <wp:effectExtent l="0" t="0" r="0" b="0"/>
                      <wp:docPr id="542712" name="Group 542712"/>
                      <wp:cNvGraphicFramePr/>
                      <a:graphic xmlns:a="http://schemas.openxmlformats.org/drawingml/2006/main">
                        <a:graphicData uri="http://schemas.microsoft.com/office/word/2010/wordprocessingGroup">
                          <wpg:wgp>
                            <wpg:cNvGrpSpPr/>
                            <wpg:grpSpPr>
                              <a:xfrm>
                                <a:off x="0" y="0"/>
                                <a:ext cx="168754" cy="675132"/>
                                <a:chOff x="0" y="0"/>
                                <a:chExt cx="168754" cy="675132"/>
                              </a:xfrm>
                            </wpg:grpSpPr>
                            <wps:wsp>
                              <wps:cNvPr id="4328" name="Rectangle 4328"/>
                              <wps:cNvSpPr/>
                              <wps:spPr>
                                <a:xfrm rot="-5399999">
                                  <a:off x="-302226" y="158402"/>
                                  <a:ext cx="849077" cy="184383"/>
                                </a:xfrm>
                                <a:prstGeom prst="rect">
                                  <a:avLst/>
                                </a:prstGeom>
                                <a:ln>
                                  <a:noFill/>
                                </a:ln>
                              </wps:spPr>
                              <wps:txbx>
                                <w:txbxContent>
                                  <w:p w:rsidR="002C0F56" w:rsidRDefault="00E67C6E">
                                    <w:pPr>
                                      <w:spacing w:after="160" w:line="259" w:lineRule="auto"/>
                                      <w:ind w:left="0" w:firstLine="0"/>
                                      <w:jc w:val="left"/>
                                    </w:pPr>
                                    <w:r>
                                      <w:rPr>
                                        <w:sz w:val="24"/>
                                      </w:rPr>
                                      <w:t>женщины</w:t>
                                    </w:r>
                                  </w:p>
                                </w:txbxContent>
                              </wps:txbx>
                              <wps:bodyPr horzOverflow="overflow" vert="horz" lIns="0" tIns="0" rIns="0" bIns="0" rtlCol="0">
                                <a:noAutofit/>
                              </wps:bodyPr>
                            </wps:wsp>
                            <wps:wsp>
                              <wps:cNvPr id="4329" name="Rectangle 4329"/>
                              <wps:cNvSpPr/>
                              <wps:spPr>
                                <a:xfrm rot="-5399999">
                                  <a:off x="86854" y="-9942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12" style="width:13.2877pt;height:53.16pt;mso-position-horizontal-relative:char;mso-position-vertical-relative:line" coordsize="1687,6751">
                      <v:rect id="Rectangle 4328" style="position:absolute;width:8490;height:1843;left:-3022;top:1584;rotation:270;" filled="f" stroked="f">
                        <v:textbox inset="0,0,0,0" style="layout-flow:vertical;mso-layout-flow-alt:bottom-to-top">
                          <w:txbxContent>
                            <w:p>
                              <w:pPr>
                                <w:spacing w:before="0" w:after="160" w:line="259" w:lineRule="auto"/>
                                <w:ind w:left="0" w:firstLine="0"/>
                                <w:jc w:val="left"/>
                              </w:pPr>
                              <w:r>
                                <w:rPr>
                                  <w:sz w:val="24"/>
                                </w:rPr>
                                <w:t xml:space="preserve">женщины</w:t>
                              </w:r>
                            </w:p>
                          </w:txbxContent>
                        </v:textbox>
                      </v:rect>
                      <v:rect id="Rectangle 4329" style="position:absolute;width:506;height:2243;left:868;top:-994;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10" w:firstLine="0"/>
              <w:jc w:val="left"/>
            </w:pPr>
            <w:r>
              <w:rPr>
                <w:rFonts w:ascii="Calibri" w:eastAsia="Calibri" w:hAnsi="Calibri" w:cs="Calibri"/>
                <w:noProof/>
                <w:sz w:val="22"/>
              </w:rPr>
              <mc:AlternateContent>
                <mc:Choice Requires="wpg">
                  <w:drawing>
                    <wp:inline distT="0" distB="0" distL="0" distR="0">
                      <wp:extent cx="318465" cy="778307"/>
                      <wp:effectExtent l="0" t="0" r="0" b="0"/>
                      <wp:docPr id="542716" name="Group 542716"/>
                      <wp:cNvGraphicFramePr/>
                      <a:graphic xmlns:a="http://schemas.openxmlformats.org/drawingml/2006/main">
                        <a:graphicData uri="http://schemas.microsoft.com/office/word/2010/wordprocessingGroup">
                          <wpg:wgp>
                            <wpg:cNvGrpSpPr/>
                            <wpg:grpSpPr>
                              <a:xfrm>
                                <a:off x="0" y="0"/>
                                <a:ext cx="318465" cy="778307"/>
                                <a:chOff x="0" y="0"/>
                                <a:chExt cx="318465" cy="778307"/>
                              </a:xfrm>
                            </wpg:grpSpPr>
                            <wps:wsp>
                              <wps:cNvPr id="4330" name="Rectangle 4330"/>
                              <wps:cNvSpPr/>
                              <wps:spPr>
                                <a:xfrm rot="-5399999">
                                  <a:off x="-425382" y="168541"/>
                                  <a:ext cx="1035148" cy="184382"/>
                                </a:xfrm>
                                <a:prstGeom prst="rect">
                                  <a:avLst/>
                                </a:prstGeom>
                                <a:ln>
                                  <a:noFill/>
                                </a:ln>
                              </wps:spPr>
                              <wps:txbx>
                                <w:txbxContent>
                                  <w:p w:rsidR="002C0F56" w:rsidRDefault="00E67C6E">
                                    <w:pPr>
                                      <w:spacing w:after="160" w:line="259" w:lineRule="auto"/>
                                      <w:ind w:left="0" w:firstLine="0"/>
                                      <w:jc w:val="left"/>
                                    </w:pPr>
                                    <w:r>
                                      <w:rPr>
                                        <w:sz w:val="24"/>
                                      </w:rPr>
                                      <w:t xml:space="preserve">мужчины и </w:t>
                                    </w:r>
                                  </w:p>
                                </w:txbxContent>
                              </wps:txbx>
                              <wps:bodyPr horzOverflow="overflow" vert="horz" lIns="0" tIns="0" rIns="0" bIns="0" rtlCol="0">
                                <a:noAutofit/>
                              </wps:bodyPr>
                            </wps:wsp>
                            <wps:wsp>
                              <wps:cNvPr id="4331" name="Rectangle 4331"/>
                              <wps:cNvSpPr/>
                              <wps:spPr>
                                <a:xfrm rot="-5399999">
                                  <a:off x="-152514" y="209761"/>
                                  <a:ext cx="849077" cy="184382"/>
                                </a:xfrm>
                                <a:prstGeom prst="rect">
                                  <a:avLst/>
                                </a:prstGeom>
                                <a:ln>
                                  <a:noFill/>
                                </a:ln>
                              </wps:spPr>
                              <wps:txbx>
                                <w:txbxContent>
                                  <w:p w:rsidR="002C0F56" w:rsidRDefault="00E67C6E">
                                    <w:pPr>
                                      <w:spacing w:after="160" w:line="259" w:lineRule="auto"/>
                                      <w:ind w:left="0" w:firstLine="0"/>
                                      <w:jc w:val="left"/>
                                    </w:pPr>
                                    <w:r>
                                      <w:rPr>
                                        <w:sz w:val="24"/>
                                      </w:rPr>
                                      <w:t>женщины</w:t>
                                    </w:r>
                                  </w:p>
                                </w:txbxContent>
                              </wps:txbx>
                              <wps:bodyPr horzOverflow="overflow" vert="horz" lIns="0" tIns="0" rIns="0" bIns="0" rtlCol="0">
                                <a:noAutofit/>
                              </wps:bodyPr>
                            </wps:wsp>
                            <wps:wsp>
                              <wps:cNvPr id="4332" name="Rectangle 4332"/>
                              <wps:cNvSpPr/>
                              <wps:spPr>
                                <a:xfrm rot="-5399999">
                                  <a:off x="236566" y="-48067"/>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16" style="width:25.076pt;height:61.284pt;mso-position-horizontal-relative:char;mso-position-vertical-relative:line" coordsize="3184,7783">
                      <v:rect id="Rectangle 4330" style="position:absolute;width:10351;height:1843;left:-4253;top:1685;rotation:270;" filled="f" stroked="f">
                        <v:textbox inset="0,0,0,0" style="layout-flow:vertical;mso-layout-flow-alt:bottom-to-top">
                          <w:txbxContent>
                            <w:p>
                              <w:pPr>
                                <w:spacing w:before="0" w:after="160" w:line="259" w:lineRule="auto"/>
                                <w:ind w:left="0" w:firstLine="0"/>
                                <w:jc w:val="left"/>
                              </w:pPr>
                              <w:r>
                                <w:rPr>
                                  <w:sz w:val="24"/>
                                </w:rPr>
                                <w:t xml:space="preserve">мужчины и </w:t>
                              </w:r>
                            </w:p>
                          </w:txbxContent>
                        </v:textbox>
                      </v:rect>
                      <v:rect id="Rectangle 4331" style="position:absolute;width:8490;height:1843;left:-1525;top:2097;rotation:270;" filled="f" stroked="f">
                        <v:textbox inset="0,0,0,0" style="layout-flow:vertical;mso-layout-flow-alt:bottom-to-top">
                          <w:txbxContent>
                            <w:p>
                              <w:pPr>
                                <w:spacing w:before="0" w:after="160" w:line="259" w:lineRule="auto"/>
                                <w:ind w:left="0" w:firstLine="0"/>
                                <w:jc w:val="left"/>
                              </w:pPr>
                              <w:r>
                                <w:rPr>
                                  <w:sz w:val="24"/>
                                </w:rPr>
                                <w:t xml:space="preserve">женщины</w:t>
                              </w:r>
                            </w:p>
                          </w:txbxContent>
                        </v:textbox>
                      </v:rect>
                      <v:rect id="Rectangle 4332" style="position:absolute;width:506;height:2243;left:2365;top:-480;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5" w:firstLine="0"/>
              <w:jc w:val="left"/>
            </w:pPr>
            <w:r>
              <w:rPr>
                <w:rFonts w:ascii="Calibri" w:eastAsia="Calibri" w:hAnsi="Calibri" w:cs="Calibri"/>
                <w:noProof/>
                <w:sz w:val="22"/>
              </w:rPr>
              <mc:AlternateContent>
                <mc:Choice Requires="wpg">
                  <w:drawing>
                    <wp:inline distT="0" distB="0" distL="0" distR="0">
                      <wp:extent cx="168754" cy="658368"/>
                      <wp:effectExtent l="0" t="0" r="0" b="0"/>
                      <wp:docPr id="542720" name="Group 542720"/>
                      <wp:cNvGraphicFramePr/>
                      <a:graphic xmlns:a="http://schemas.openxmlformats.org/drawingml/2006/main">
                        <a:graphicData uri="http://schemas.microsoft.com/office/word/2010/wordprocessingGroup">
                          <wpg:wgp>
                            <wpg:cNvGrpSpPr/>
                            <wpg:grpSpPr>
                              <a:xfrm>
                                <a:off x="0" y="0"/>
                                <a:ext cx="168754" cy="658368"/>
                                <a:chOff x="0" y="0"/>
                                <a:chExt cx="168754" cy="658368"/>
                              </a:xfrm>
                            </wpg:grpSpPr>
                            <wps:wsp>
                              <wps:cNvPr id="4333" name="Rectangle 4333"/>
                              <wps:cNvSpPr/>
                              <wps:spPr>
                                <a:xfrm rot="-5399999">
                                  <a:off x="-290166" y="153699"/>
                                  <a:ext cx="824957" cy="184382"/>
                                </a:xfrm>
                                <a:prstGeom prst="rect">
                                  <a:avLst/>
                                </a:prstGeom>
                                <a:ln>
                                  <a:noFill/>
                                </a:ln>
                              </wps:spPr>
                              <wps:txbx>
                                <w:txbxContent>
                                  <w:p w:rsidR="002C0F56" w:rsidRDefault="00E67C6E">
                                    <w:pPr>
                                      <w:spacing w:after="160" w:line="259" w:lineRule="auto"/>
                                      <w:ind w:left="0" w:firstLine="0"/>
                                      <w:jc w:val="left"/>
                                    </w:pPr>
                                    <w:r>
                                      <w:rPr>
                                        <w:sz w:val="24"/>
                                      </w:rPr>
                                      <w:t>мужчины</w:t>
                                    </w:r>
                                  </w:p>
                                </w:txbxContent>
                              </wps:txbx>
                              <wps:bodyPr horzOverflow="overflow" vert="horz" lIns="0" tIns="0" rIns="0" bIns="0" rtlCol="0">
                                <a:noAutofit/>
                              </wps:bodyPr>
                            </wps:wsp>
                            <wps:wsp>
                              <wps:cNvPr id="4334" name="Rectangle 4334"/>
                              <wps:cNvSpPr/>
                              <wps:spPr>
                                <a:xfrm rot="-5399999">
                                  <a:off x="86854" y="-9942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20" style="width:13.2877pt;height:51.84pt;mso-position-horizontal-relative:char;mso-position-vertical-relative:line" coordsize="1687,6583">
                      <v:rect id="Rectangle 4333" style="position:absolute;width:8249;height:1843;left:-2901;top:1536;rotation:270;" filled="f" stroked="f">
                        <v:textbox inset="0,0,0,0" style="layout-flow:vertical;mso-layout-flow-alt:bottom-to-top">
                          <w:txbxContent>
                            <w:p>
                              <w:pPr>
                                <w:spacing w:before="0" w:after="160" w:line="259" w:lineRule="auto"/>
                                <w:ind w:left="0" w:firstLine="0"/>
                                <w:jc w:val="left"/>
                              </w:pPr>
                              <w:r>
                                <w:rPr>
                                  <w:sz w:val="24"/>
                                </w:rPr>
                                <w:t xml:space="preserve">мужчины</w:t>
                              </w:r>
                            </w:p>
                          </w:txbxContent>
                        </v:textbox>
                      </v:rect>
                      <v:rect id="Rectangle 4334" style="position:absolute;width:506;height:2243;left:868;top:-994;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2" w:firstLine="0"/>
              <w:jc w:val="left"/>
            </w:pPr>
            <w:r>
              <w:rPr>
                <w:rFonts w:ascii="Calibri" w:eastAsia="Calibri" w:hAnsi="Calibri" w:cs="Calibri"/>
                <w:noProof/>
                <w:sz w:val="22"/>
              </w:rPr>
              <mc:AlternateContent>
                <mc:Choice Requires="wpg">
                  <w:drawing>
                    <wp:inline distT="0" distB="0" distL="0" distR="0">
                      <wp:extent cx="168754" cy="675132"/>
                      <wp:effectExtent l="0" t="0" r="0" b="0"/>
                      <wp:docPr id="542727" name="Group 542727"/>
                      <wp:cNvGraphicFramePr/>
                      <a:graphic xmlns:a="http://schemas.openxmlformats.org/drawingml/2006/main">
                        <a:graphicData uri="http://schemas.microsoft.com/office/word/2010/wordprocessingGroup">
                          <wpg:wgp>
                            <wpg:cNvGrpSpPr/>
                            <wpg:grpSpPr>
                              <a:xfrm>
                                <a:off x="0" y="0"/>
                                <a:ext cx="168754" cy="675132"/>
                                <a:chOff x="0" y="0"/>
                                <a:chExt cx="168754" cy="675132"/>
                              </a:xfrm>
                            </wpg:grpSpPr>
                            <wps:wsp>
                              <wps:cNvPr id="4335" name="Rectangle 4335"/>
                              <wps:cNvSpPr/>
                              <wps:spPr>
                                <a:xfrm rot="-5399999">
                                  <a:off x="-302226" y="158402"/>
                                  <a:ext cx="849077" cy="184382"/>
                                </a:xfrm>
                                <a:prstGeom prst="rect">
                                  <a:avLst/>
                                </a:prstGeom>
                                <a:ln>
                                  <a:noFill/>
                                </a:ln>
                              </wps:spPr>
                              <wps:txbx>
                                <w:txbxContent>
                                  <w:p w:rsidR="002C0F56" w:rsidRDefault="00E67C6E">
                                    <w:pPr>
                                      <w:spacing w:after="160" w:line="259" w:lineRule="auto"/>
                                      <w:ind w:left="0" w:firstLine="0"/>
                                      <w:jc w:val="left"/>
                                    </w:pPr>
                                    <w:r>
                                      <w:rPr>
                                        <w:sz w:val="24"/>
                                      </w:rPr>
                                      <w:t>женщины</w:t>
                                    </w:r>
                                  </w:p>
                                </w:txbxContent>
                              </wps:txbx>
                              <wps:bodyPr horzOverflow="overflow" vert="horz" lIns="0" tIns="0" rIns="0" bIns="0" rtlCol="0">
                                <a:noAutofit/>
                              </wps:bodyPr>
                            </wps:wsp>
                            <wps:wsp>
                              <wps:cNvPr id="4336" name="Rectangle 4336"/>
                              <wps:cNvSpPr/>
                              <wps:spPr>
                                <a:xfrm rot="-5399999">
                                  <a:off x="86854" y="-9942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27" style="width:13.2877pt;height:53.16pt;mso-position-horizontal-relative:char;mso-position-vertical-relative:line" coordsize="1687,6751">
                      <v:rect id="Rectangle 4335" style="position:absolute;width:8490;height:1843;left:-3022;top:1584;rotation:270;" filled="f" stroked="f">
                        <v:textbox inset="0,0,0,0" style="layout-flow:vertical;mso-layout-flow-alt:bottom-to-top">
                          <w:txbxContent>
                            <w:p>
                              <w:pPr>
                                <w:spacing w:before="0" w:after="160" w:line="259" w:lineRule="auto"/>
                                <w:ind w:left="0" w:firstLine="0"/>
                                <w:jc w:val="left"/>
                              </w:pPr>
                              <w:r>
                                <w:rPr>
                                  <w:sz w:val="24"/>
                                </w:rPr>
                                <w:t xml:space="preserve">женщины</w:t>
                              </w:r>
                            </w:p>
                          </w:txbxContent>
                        </v:textbox>
                      </v:rect>
                      <v:rect id="Rectangle 4336" style="position:absolute;width:506;height:2243;left:868;top:-994;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10" w:firstLine="0"/>
              <w:jc w:val="left"/>
            </w:pPr>
            <w:r>
              <w:rPr>
                <w:rFonts w:ascii="Calibri" w:eastAsia="Calibri" w:hAnsi="Calibri" w:cs="Calibri"/>
                <w:noProof/>
                <w:sz w:val="22"/>
              </w:rPr>
              <mc:AlternateContent>
                <mc:Choice Requires="wpg">
                  <w:drawing>
                    <wp:inline distT="0" distB="0" distL="0" distR="0">
                      <wp:extent cx="318465" cy="778307"/>
                      <wp:effectExtent l="0" t="0" r="0" b="0"/>
                      <wp:docPr id="542736" name="Group 542736"/>
                      <wp:cNvGraphicFramePr/>
                      <a:graphic xmlns:a="http://schemas.openxmlformats.org/drawingml/2006/main">
                        <a:graphicData uri="http://schemas.microsoft.com/office/word/2010/wordprocessingGroup">
                          <wpg:wgp>
                            <wpg:cNvGrpSpPr/>
                            <wpg:grpSpPr>
                              <a:xfrm>
                                <a:off x="0" y="0"/>
                                <a:ext cx="318465" cy="778307"/>
                                <a:chOff x="0" y="0"/>
                                <a:chExt cx="318465" cy="778307"/>
                              </a:xfrm>
                            </wpg:grpSpPr>
                            <wps:wsp>
                              <wps:cNvPr id="4337" name="Rectangle 4337"/>
                              <wps:cNvSpPr/>
                              <wps:spPr>
                                <a:xfrm rot="-5399999">
                                  <a:off x="-425382" y="168541"/>
                                  <a:ext cx="1035148" cy="184382"/>
                                </a:xfrm>
                                <a:prstGeom prst="rect">
                                  <a:avLst/>
                                </a:prstGeom>
                                <a:ln>
                                  <a:noFill/>
                                </a:ln>
                              </wps:spPr>
                              <wps:txbx>
                                <w:txbxContent>
                                  <w:p w:rsidR="002C0F56" w:rsidRDefault="00E67C6E">
                                    <w:pPr>
                                      <w:spacing w:after="160" w:line="259" w:lineRule="auto"/>
                                      <w:ind w:left="0" w:firstLine="0"/>
                                      <w:jc w:val="left"/>
                                    </w:pPr>
                                    <w:r>
                                      <w:rPr>
                                        <w:sz w:val="24"/>
                                      </w:rPr>
                                      <w:t xml:space="preserve">мужчины и </w:t>
                                    </w:r>
                                  </w:p>
                                </w:txbxContent>
                              </wps:txbx>
                              <wps:bodyPr horzOverflow="overflow" vert="horz" lIns="0" tIns="0" rIns="0" bIns="0" rtlCol="0">
                                <a:noAutofit/>
                              </wps:bodyPr>
                            </wps:wsp>
                            <wps:wsp>
                              <wps:cNvPr id="4338" name="Rectangle 4338"/>
                              <wps:cNvSpPr/>
                              <wps:spPr>
                                <a:xfrm rot="-5399999">
                                  <a:off x="-152514" y="209761"/>
                                  <a:ext cx="849077" cy="184382"/>
                                </a:xfrm>
                                <a:prstGeom prst="rect">
                                  <a:avLst/>
                                </a:prstGeom>
                                <a:ln>
                                  <a:noFill/>
                                </a:ln>
                              </wps:spPr>
                              <wps:txbx>
                                <w:txbxContent>
                                  <w:p w:rsidR="002C0F56" w:rsidRDefault="00E67C6E">
                                    <w:pPr>
                                      <w:spacing w:after="160" w:line="259" w:lineRule="auto"/>
                                      <w:ind w:left="0" w:firstLine="0"/>
                                      <w:jc w:val="left"/>
                                    </w:pPr>
                                    <w:r>
                                      <w:rPr>
                                        <w:sz w:val="24"/>
                                      </w:rPr>
                                      <w:t>женщины</w:t>
                                    </w:r>
                                  </w:p>
                                </w:txbxContent>
                              </wps:txbx>
                              <wps:bodyPr horzOverflow="overflow" vert="horz" lIns="0" tIns="0" rIns="0" bIns="0" rtlCol="0">
                                <a:noAutofit/>
                              </wps:bodyPr>
                            </wps:wsp>
                            <wps:wsp>
                              <wps:cNvPr id="4339" name="Rectangle 4339"/>
                              <wps:cNvSpPr/>
                              <wps:spPr>
                                <a:xfrm rot="-5399999">
                                  <a:off x="236566" y="-48067"/>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36" style="width:25.076pt;height:61.284pt;mso-position-horizontal-relative:char;mso-position-vertical-relative:line" coordsize="3184,7783">
                      <v:rect id="Rectangle 4337" style="position:absolute;width:10351;height:1843;left:-4253;top:1685;rotation:270;" filled="f" stroked="f">
                        <v:textbox inset="0,0,0,0" style="layout-flow:vertical;mso-layout-flow-alt:bottom-to-top">
                          <w:txbxContent>
                            <w:p>
                              <w:pPr>
                                <w:spacing w:before="0" w:after="160" w:line="259" w:lineRule="auto"/>
                                <w:ind w:left="0" w:firstLine="0"/>
                                <w:jc w:val="left"/>
                              </w:pPr>
                              <w:r>
                                <w:rPr>
                                  <w:sz w:val="24"/>
                                </w:rPr>
                                <w:t xml:space="preserve">мужчины и </w:t>
                              </w:r>
                            </w:p>
                          </w:txbxContent>
                        </v:textbox>
                      </v:rect>
                      <v:rect id="Rectangle 4338" style="position:absolute;width:8490;height:1843;left:-1525;top:2097;rotation:270;" filled="f" stroked="f">
                        <v:textbox inset="0,0,0,0" style="layout-flow:vertical;mso-layout-flow-alt:bottom-to-top">
                          <w:txbxContent>
                            <w:p>
                              <w:pPr>
                                <w:spacing w:before="0" w:after="160" w:line="259" w:lineRule="auto"/>
                                <w:ind w:left="0" w:firstLine="0"/>
                                <w:jc w:val="left"/>
                              </w:pPr>
                              <w:r>
                                <w:rPr>
                                  <w:sz w:val="24"/>
                                </w:rPr>
                                <w:t xml:space="preserve">женщины</w:t>
                              </w:r>
                            </w:p>
                          </w:txbxContent>
                        </v:textbox>
                      </v:rect>
                      <v:rect id="Rectangle 4339" style="position:absolute;width:506;height:2243;left:2365;top:-480;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9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3" w:firstLine="0"/>
              <w:jc w:val="left"/>
            </w:pPr>
            <w:r>
              <w:rPr>
                <w:rFonts w:ascii="Calibri" w:eastAsia="Calibri" w:hAnsi="Calibri" w:cs="Calibri"/>
                <w:noProof/>
                <w:sz w:val="22"/>
              </w:rPr>
              <mc:AlternateContent>
                <mc:Choice Requires="wpg">
                  <w:drawing>
                    <wp:inline distT="0" distB="0" distL="0" distR="0">
                      <wp:extent cx="168754" cy="658368"/>
                      <wp:effectExtent l="0" t="0" r="0" b="0"/>
                      <wp:docPr id="542752" name="Group 542752"/>
                      <wp:cNvGraphicFramePr/>
                      <a:graphic xmlns:a="http://schemas.openxmlformats.org/drawingml/2006/main">
                        <a:graphicData uri="http://schemas.microsoft.com/office/word/2010/wordprocessingGroup">
                          <wpg:wgp>
                            <wpg:cNvGrpSpPr/>
                            <wpg:grpSpPr>
                              <a:xfrm>
                                <a:off x="0" y="0"/>
                                <a:ext cx="168754" cy="658368"/>
                                <a:chOff x="0" y="0"/>
                                <a:chExt cx="168754" cy="658368"/>
                              </a:xfrm>
                            </wpg:grpSpPr>
                            <wps:wsp>
                              <wps:cNvPr id="4340" name="Rectangle 4340"/>
                              <wps:cNvSpPr/>
                              <wps:spPr>
                                <a:xfrm rot="-5399999">
                                  <a:off x="-290166" y="153699"/>
                                  <a:ext cx="824957" cy="184382"/>
                                </a:xfrm>
                                <a:prstGeom prst="rect">
                                  <a:avLst/>
                                </a:prstGeom>
                                <a:ln>
                                  <a:noFill/>
                                </a:ln>
                              </wps:spPr>
                              <wps:txbx>
                                <w:txbxContent>
                                  <w:p w:rsidR="002C0F56" w:rsidRDefault="00E67C6E">
                                    <w:pPr>
                                      <w:spacing w:after="160" w:line="259" w:lineRule="auto"/>
                                      <w:ind w:left="0" w:firstLine="0"/>
                                      <w:jc w:val="left"/>
                                    </w:pPr>
                                    <w:r>
                                      <w:rPr>
                                        <w:sz w:val="24"/>
                                      </w:rPr>
                                      <w:t>мужчины</w:t>
                                    </w:r>
                                  </w:p>
                                </w:txbxContent>
                              </wps:txbx>
                              <wps:bodyPr horzOverflow="overflow" vert="horz" lIns="0" tIns="0" rIns="0" bIns="0" rtlCol="0">
                                <a:noAutofit/>
                              </wps:bodyPr>
                            </wps:wsp>
                            <wps:wsp>
                              <wps:cNvPr id="4341" name="Rectangle 4341"/>
                              <wps:cNvSpPr/>
                              <wps:spPr>
                                <a:xfrm rot="-5399999">
                                  <a:off x="86854" y="-9942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52" style="width:13.2877pt;height:51.84pt;mso-position-horizontal-relative:char;mso-position-vertical-relative:line" coordsize="1687,6583">
                      <v:rect id="Rectangle 4340" style="position:absolute;width:8249;height:1843;left:-2901;top:1536;rotation:270;" filled="f" stroked="f">
                        <v:textbox inset="0,0,0,0" style="layout-flow:vertical;mso-layout-flow-alt:bottom-to-top">
                          <w:txbxContent>
                            <w:p>
                              <w:pPr>
                                <w:spacing w:before="0" w:after="160" w:line="259" w:lineRule="auto"/>
                                <w:ind w:left="0" w:firstLine="0"/>
                                <w:jc w:val="left"/>
                              </w:pPr>
                              <w:r>
                                <w:rPr>
                                  <w:sz w:val="24"/>
                                </w:rPr>
                                <w:t xml:space="preserve">мужчины</w:t>
                              </w:r>
                            </w:p>
                          </w:txbxContent>
                        </v:textbox>
                      </v:rect>
                      <v:rect id="Rectangle 4341" style="position:absolute;width:506;height:2243;left:868;top:-994;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9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5" w:firstLine="0"/>
              <w:jc w:val="left"/>
            </w:pPr>
            <w:r>
              <w:rPr>
                <w:rFonts w:ascii="Calibri" w:eastAsia="Calibri" w:hAnsi="Calibri" w:cs="Calibri"/>
                <w:noProof/>
                <w:sz w:val="22"/>
              </w:rPr>
              <mc:AlternateContent>
                <mc:Choice Requires="wpg">
                  <w:drawing>
                    <wp:inline distT="0" distB="0" distL="0" distR="0">
                      <wp:extent cx="168754" cy="675132"/>
                      <wp:effectExtent l="0" t="0" r="0" b="0"/>
                      <wp:docPr id="542757" name="Group 542757"/>
                      <wp:cNvGraphicFramePr/>
                      <a:graphic xmlns:a="http://schemas.openxmlformats.org/drawingml/2006/main">
                        <a:graphicData uri="http://schemas.microsoft.com/office/word/2010/wordprocessingGroup">
                          <wpg:wgp>
                            <wpg:cNvGrpSpPr/>
                            <wpg:grpSpPr>
                              <a:xfrm>
                                <a:off x="0" y="0"/>
                                <a:ext cx="168754" cy="675132"/>
                                <a:chOff x="0" y="0"/>
                                <a:chExt cx="168754" cy="675132"/>
                              </a:xfrm>
                            </wpg:grpSpPr>
                            <wps:wsp>
                              <wps:cNvPr id="4342" name="Rectangle 4342"/>
                              <wps:cNvSpPr/>
                              <wps:spPr>
                                <a:xfrm rot="-5399999">
                                  <a:off x="-302225" y="158402"/>
                                  <a:ext cx="849076" cy="184382"/>
                                </a:xfrm>
                                <a:prstGeom prst="rect">
                                  <a:avLst/>
                                </a:prstGeom>
                                <a:ln>
                                  <a:noFill/>
                                </a:ln>
                              </wps:spPr>
                              <wps:txbx>
                                <w:txbxContent>
                                  <w:p w:rsidR="002C0F56" w:rsidRDefault="00E67C6E">
                                    <w:pPr>
                                      <w:spacing w:after="160" w:line="259" w:lineRule="auto"/>
                                      <w:ind w:left="0" w:firstLine="0"/>
                                      <w:jc w:val="left"/>
                                    </w:pPr>
                                    <w:r>
                                      <w:rPr>
                                        <w:sz w:val="24"/>
                                      </w:rPr>
                                      <w:t>женщины</w:t>
                                    </w:r>
                                  </w:p>
                                </w:txbxContent>
                              </wps:txbx>
                              <wps:bodyPr horzOverflow="overflow" vert="horz" lIns="0" tIns="0" rIns="0" bIns="0" rtlCol="0">
                                <a:noAutofit/>
                              </wps:bodyPr>
                            </wps:wsp>
                            <wps:wsp>
                              <wps:cNvPr id="4343" name="Rectangle 4343"/>
                              <wps:cNvSpPr/>
                              <wps:spPr>
                                <a:xfrm rot="-5399999">
                                  <a:off x="86853" y="-9942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42757" style="width:13.2877pt;height:53.16pt;mso-position-horizontal-relative:char;mso-position-vertical-relative:line" coordsize="1687,6751">
                      <v:rect id="Rectangle 4342" style="position:absolute;width:8490;height:1843;left:-3022;top:1584;rotation:270;" filled="f" stroked="f">
                        <v:textbox inset="0,0,0,0" style="layout-flow:vertical;mso-layout-flow-alt:bottom-to-top">
                          <w:txbxContent>
                            <w:p>
                              <w:pPr>
                                <w:spacing w:before="0" w:after="160" w:line="259" w:lineRule="auto"/>
                                <w:ind w:left="0" w:firstLine="0"/>
                                <w:jc w:val="left"/>
                              </w:pPr>
                              <w:r>
                                <w:rPr>
                                  <w:sz w:val="24"/>
                                </w:rPr>
                                <w:t xml:space="preserve">женщины</w:t>
                              </w:r>
                            </w:p>
                          </w:txbxContent>
                        </v:textbox>
                      </v:rect>
                      <v:rect id="Rectangle 4343" style="position:absolute;width:506;height:2243;left:868;top:-994;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r>
      <w:tr w:rsidR="002C0F56">
        <w:trPr>
          <w:trHeight w:val="338"/>
        </w:trPr>
        <w:tc>
          <w:tcPr>
            <w:tcW w:w="8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7" w:firstLine="0"/>
              <w:jc w:val="left"/>
            </w:pPr>
            <w:r>
              <w:rPr>
                <w:sz w:val="24"/>
              </w:rPr>
              <w:t xml:space="preserve">2013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9463,8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4397,5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1" w:firstLine="0"/>
              <w:jc w:val="left"/>
            </w:pPr>
            <w:r>
              <w:rPr>
                <w:sz w:val="24"/>
              </w:rPr>
              <w:t xml:space="preserve">5066,3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7220,9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0" w:firstLine="0"/>
              <w:jc w:val="left"/>
            </w:pPr>
            <w:r>
              <w:rPr>
                <w:sz w:val="24"/>
              </w:rPr>
              <w:t xml:space="preserve">3333,7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3887,2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2242,9 </w:t>
            </w:r>
          </w:p>
        </w:tc>
        <w:tc>
          <w:tcPr>
            <w:tcW w:w="99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1063,8 </w:t>
            </w:r>
          </w:p>
        </w:tc>
        <w:tc>
          <w:tcPr>
            <w:tcW w:w="9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4" w:firstLine="0"/>
              <w:jc w:val="left"/>
            </w:pPr>
            <w:r>
              <w:rPr>
                <w:sz w:val="24"/>
              </w:rPr>
              <w:t xml:space="preserve">1179,1 </w:t>
            </w:r>
          </w:p>
        </w:tc>
      </w:tr>
      <w:tr w:rsidR="002C0F56">
        <w:trPr>
          <w:trHeight w:val="338"/>
        </w:trPr>
        <w:tc>
          <w:tcPr>
            <w:tcW w:w="8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7" w:firstLine="0"/>
              <w:jc w:val="left"/>
            </w:pPr>
            <w:r>
              <w:rPr>
                <w:sz w:val="24"/>
              </w:rPr>
              <w:t xml:space="preserve">2014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9468,2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4401,3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1" w:firstLine="0"/>
              <w:jc w:val="left"/>
            </w:pPr>
            <w:r>
              <w:rPr>
                <w:sz w:val="24"/>
              </w:rPr>
              <w:t xml:space="preserve">5066,9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7274,8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0" w:firstLine="0"/>
              <w:jc w:val="left"/>
            </w:pPr>
            <w:r>
              <w:rPr>
                <w:sz w:val="24"/>
              </w:rPr>
              <w:t xml:space="preserve">3358,0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3916,8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2193,4 </w:t>
            </w:r>
          </w:p>
        </w:tc>
        <w:tc>
          <w:tcPr>
            <w:tcW w:w="99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1043,3 </w:t>
            </w:r>
          </w:p>
        </w:tc>
        <w:tc>
          <w:tcPr>
            <w:tcW w:w="9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4" w:firstLine="0"/>
              <w:jc w:val="left"/>
            </w:pPr>
            <w:r>
              <w:rPr>
                <w:sz w:val="24"/>
              </w:rPr>
              <w:t xml:space="preserve">1150,1 </w:t>
            </w:r>
          </w:p>
        </w:tc>
      </w:tr>
      <w:tr w:rsidR="002C0F56">
        <w:trPr>
          <w:trHeight w:val="461"/>
        </w:trPr>
        <w:tc>
          <w:tcPr>
            <w:tcW w:w="8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7" w:firstLine="0"/>
              <w:jc w:val="left"/>
            </w:pPr>
            <w:r>
              <w:rPr>
                <w:sz w:val="24"/>
              </w:rPr>
              <w:t xml:space="preserve">2015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9480,9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4409,3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1" w:firstLine="0"/>
              <w:jc w:val="left"/>
            </w:pPr>
            <w:r>
              <w:rPr>
                <w:sz w:val="24"/>
              </w:rPr>
              <w:t xml:space="preserve">5071,6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7325,0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0" w:firstLine="0"/>
              <w:jc w:val="left"/>
            </w:pPr>
            <w:r>
              <w:rPr>
                <w:sz w:val="24"/>
              </w:rPr>
              <w:t xml:space="preserve">3380,2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3944,8 </w:t>
            </w:r>
          </w:p>
        </w:tc>
        <w:tc>
          <w:tcPr>
            <w:tcW w:w="99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2155,9 </w:t>
            </w:r>
          </w:p>
        </w:tc>
        <w:tc>
          <w:tcPr>
            <w:tcW w:w="99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8" w:firstLine="0"/>
              <w:jc w:val="left"/>
            </w:pPr>
            <w:r>
              <w:rPr>
                <w:sz w:val="24"/>
              </w:rPr>
              <w:t xml:space="preserve">1029,1 </w:t>
            </w:r>
          </w:p>
        </w:tc>
        <w:tc>
          <w:tcPr>
            <w:tcW w:w="9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4" w:firstLine="0"/>
              <w:jc w:val="left"/>
            </w:pPr>
            <w:r>
              <w:rPr>
                <w:sz w:val="24"/>
              </w:rPr>
              <w:t xml:space="preserve">1126,8 </w:t>
            </w:r>
          </w:p>
        </w:tc>
      </w:tr>
    </w:tbl>
    <w:p w:rsidR="002C0F56" w:rsidRDefault="00E67C6E">
      <w:pPr>
        <w:spacing w:after="0" w:line="259" w:lineRule="auto"/>
        <w:ind w:left="744" w:firstLine="0"/>
        <w:jc w:val="left"/>
      </w:pPr>
      <w:r>
        <w:rPr>
          <w:i/>
        </w:rPr>
        <w:t xml:space="preserve"> </w:t>
      </w:r>
    </w:p>
    <w:p w:rsidR="002C0F56" w:rsidRDefault="00E67C6E">
      <w:pPr>
        <w:spacing w:after="0"/>
        <w:ind w:left="165" w:right="868"/>
      </w:pPr>
      <w:r>
        <w:t>Проанализировав данные можно сделать вывод о том, что с каждым годом демографическое положение в Республике Беларусь постепенно возрастает. Если смотреть по численности, то женщин в Республике Беларусь больше, чем мужчин. Это связанно с тем, что мужская см</w:t>
      </w:r>
      <w:r>
        <w:t xml:space="preserve">ертность более высока. В Беларуси в среднем женщины живут около 78 лет, а мужчины 66 лет. </w:t>
      </w:r>
    </w:p>
    <w:p w:rsidR="002C0F56" w:rsidRDefault="00E67C6E">
      <w:pPr>
        <w:spacing w:after="0"/>
        <w:ind w:left="165" w:right="866"/>
      </w:pPr>
      <w:r>
        <w:t>Также, демографическое положение в республике можно оценить по данным переписи населения и данным оперативных исследований. Так, по демографическим процессам Беларус</w:t>
      </w:r>
      <w:r>
        <w:t xml:space="preserve">ь в настоящий момент имеет все проблемы развитого, урбанизированного, стареющего, сокращающегося общества. К </w:t>
      </w:r>
      <w:r>
        <w:lastRenderedPageBreak/>
        <w:t>сожалению, материальные ресурсы для компенсации таких процессов в нашей стране не сравнимы с тем, что имеют богатые европейские государства. Естест</w:t>
      </w:r>
      <w:r>
        <w:t>венная убыль населения не полностью уравновешивается рождаемостью, миграционный прирост также не особенно велик. В последние годы государство принимает некоторые меры по стимулированию рождаемости, растут суммы выплат по беременности и родам, с рождением к</w:t>
      </w:r>
      <w:r>
        <w:t xml:space="preserve">аждого ребенка облегчается погашение жилищных кредитов [3]. </w:t>
      </w:r>
    </w:p>
    <w:p w:rsidR="002C0F56" w:rsidRDefault="00E67C6E">
      <w:pPr>
        <w:ind w:left="165" w:right="870"/>
      </w:pPr>
      <w:r>
        <w:t>На сегодняшний день Беларусь всячески пытается улучшить демографическую ситуацию в стране, об этом говорит, в первую очередь, закон о демографической безопасности Республики Беларусь [5]. В данно</w:t>
      </w:r>
      <w:r>
        <w:t xml:space="preserve">м законе представлены основные положения по изменению демографической ситуации.  </w:t>
      </w:r>
    </w:p>
    <w:p w:rsidR="002C0F56" w:rsidRDefault="00E67C6E">
      <w:pPr>
        <w:ind w:left="165" w:right="302"/>
      </w:pPr>
      <w:r>
        <w:t xml:space="preserve">Целью демографической безопасности является создание условий, достаточных для предупреждения и нейтрализации демографических угроз. </w:t>
      </w:r>
    </w:p>
    <w:p w:rsidR="002C0F56" w:rsidRDefault="00E67C6E">
      <w:pPr>
        <w:ind w:left="165" w:right="302"/>
      </w:pPr>
      <w:r>
        <w:t>Основными мероприятиями обеспечения демог</w:t>
      </w:r>
      <w:r>
        <w:t xml:space="preserve">рафической безопасности являются: </w:t>
      </w:r>
    </w:p>
    <w:p w:rsidR="002C0F56" w:rsidRDefault="00E67C6E">
      <w:pPr>
        <w:numPr>
          <w:ilvl w:val="0"/>
          <w:numId w:val="6"/>
        </w:numPr>
        <w:ind w:right="302"/>
      </w:pPr>
      <w:r>
        <w:t xml:space="preserve">улучшение социально-экономических условий жизнедеятельности населения; </w:t>
      </w:r>
    </w:p>
    <w:p w:rsidR="002C0F56" w:rsidRDefault="00E67C6E">
      <w:pPr>
        <w:numPr>
          <w:ilvl w:val="0"/>
          <w:numId w:val="6"/>
        </w:numPr>
        <w:ind w:right="302"/>
      </w:pPr>
      <w:r>
        <w:t>поэтапное обеспечение и совершенствование государственных минимальных социальных стандартов в области оплаты труда, пенсионного обеспечения, образования, здравоохранения, культуры, жилищнокоммунального обслуживания, социальной поддержки и социального обслу</w:t>
      </w:r>
      <w:r>
        <w:t xml:space="preserve">живания; </w:t>
      </w:r>
    </w:p>
    <w:p w:rsidR="002C0F56" w:rsidRDefault="00E67C6E">
      <w:pPr>
        <w:numPr>
          <w:ilvl w:val="0"/>
          <w:numId w:val="6"/>
        </w:numPr>
        <w:spacing w:after="15" w:line="268" w:lineRule="auto"/>
        <w:ind w:right="302"/>
      </w:pPr>
      <w:r>
        <w:t xml:space="preserve">оптимизация внешних и внутренних миграционных потоков населения; </w:t>
      </w:r>
    </w:p>
    <w:p w:rsidR="002C0F56" w:rsidRDefault="00E67C6E">
      <w:pPr>
        <w:numPr>
          <w:ilvl w:val="0"/>
          <w:numId w:val="6"/>
        </w:numPr>
        <w:ind w:right="302"/>
      </w:pPr>
      <w:r>
        <w:t xml:space="preserve">противодействие нелегальной миграции;  </w:t>
      </w:r>
    </w:p>
    <w:p w:rsidR="002C0F56" w:rsidRDefault="00E67C6E">
      <w:pPr>
        <w:numPr>
          <w:ilvl w:val="0"/>
          <w:numId w:val="6"/>
        </w:numPr>
        <w:ind w:right="302"/>
      </w:pPr>
      <w:r>
        <w:t xml:space="preserve">содействие добровольному возвращению белорусов на этническую родину (по месту проживания); </w:t>
      </w:r>
    </w:p>
    <w:p w:rsidR="002C0F56" w:rsidRDefault="00E67C6E">
      <w:pPr>
        <w:numPr>
          <w:ilvl w:val="0"/>
          <w:numId w:val="6"/>
        </w:numPr>
        <w:ind w:right="302"/>
      </w:pPr>
      <w:r>
        <w:t>стимулирование привлечения и закрепления специал</w:t>
      </w:r>
      <w:r>
        <w:t xml:space="preserve">истов в сельской местности; </w:t>
      </w:r>
    </w:p>
    <w:p w:rsidR="002C0F56" w:rsidRDefault="00E67C6E">
      <w:pPr>
        <w:numPr>
          <w:ilvl w:val="0"/>
          <w:numId w:val="6"/>
        </w:numPr>
        <w:ind w:right="302"/>
      </w:pPr>
      <w:r>
        <w:t xml:space="preserve">формирование высоких духовно-нравственных стандартов граждан в области семейных отношений, повышения престижа семьи в обществе; </w:t>
      </w:r>
    </w:p>
    <w:p w:rsidR="002C0F56" w:rsidRDefault="00E67C6E">
      <w:pPr>
        <w:numPr>
          <w:ilvl w:val="0"/>
          <w:numId w:val="6"/>
        </w:numPr>
        <w:ind w:right="302"/>
      </w:pPr>
      <w:r>
        <w:t>обеспечение репродуктивных прав граждан и содействие формированию высоких репродуктивных потребнос</w:t>
      </w:r>
      <w:r>
        <w:t xml:space="preserve">тей населения. </w:t>
      </w:r>
    </w:p>
    <w:p w:rsidR="002C0F56" w:rsidRDefault="00E67C6E">
      <w:pPr>
        <w:spacing w:after="5" w:line="268" w:lineRule="auto"/>
        <w:ind w:left="165" w:right="864" w:firstLine="554"/>
        <w:jc w:val="left"/>
      </w:pPr>
      <w:r>
        <w:t>Подводя итог, следует обратить снимание на эффективные направления демографической политики, изложенные выше,  являющейся составным элементом социально-экономической политики общества в целом. Необходимо четко формулировать цели демографиче</w:t>
      </w:r>
      <w:r>
        <w:t xml:space="preserve">ской политики и оценивать уже существующие демографические процессы. Так, демографическая безопасность и в долгосрочной перспективе будет выступать одним из наиболее проблемных аспектов социальной безопасности, требующего к себе повышенного внимания. </w:t>
      </w:r>
      <w:r>
        <w:lastRenderedPageBreak/>
        <w:t>Однак</w:t>
      </w:r>
      <w:r>
        <w:t xml:space="preserve">о </w:t>
      </w:r>
      <w:r>
        <w:tab/>
        <w:t xml:space="preserve">в </w:t>
      </w:r>
      <w:r>
        <w:tab/>
        <w:t xml:space="preserve">Республике </w:t>
      </w:r>
      <w:r>
        <w:tab/>
        <w:t xml:space="preserve">Беларусь </w:t>
      </w:r>
      <w:r>
        <w:tab/>
        <w:t xml:space="preserve">принимаются </w:t>
      </w:r>
      <w:r>
        <w:tab/>
        <w:t xml:space="preserve">все </w:t>
      </w:r>
      <w:r>
        <w:tab/>
        <w:t xml:space="preserve">необходимые </w:t>
      </w:r>
      <w:r>
        <w:tab/>
        <w:t xml:space="preserve">и своевременные меры, что  в дальнейшем поможет значительно сгладить негативные явления и предотвратить нежелательные последствия. Список литературы: </w:t>
      </w:r>
    </w:p>
    <w:p w:rsidR="002C0F56" w:rsidRDefault="00E67C6E">
      <w:pPr>
        <w:numPr>
          <w:ilvl w:val="0"/>
          <w:numId w:val="7"/>
        </w:numPr>
        <w:ind w:right="302"/>
      </w:pPr>
      <w:r>
        <w:t>Демографический потенциал Республики Беларусь:</w:t>
      </w:r>
      <w:r>
        <w:t xml:space="preserve"> основные тенденции развития [Электронный ресурс]. – Режим доступа: </w:t>
      </w:r>
    </w:p>
    <w:p w:rsidR="002C0F56" w:rsidRDefault="00E67C6E">
      <w:pPr>
        <w:ind w:left="165" w:right="302" w:firstLine="0"/>
      </w:pPr>
      <w:hyperlink r:id="rId43">
        <w:r>
          <w:t>https://psibook.com/religion/demograficheskiy</w:t>
        </w:r>
      </w:hyperlink>
      <w:hyperlink r:id="rId44">
        <w:r>
          <w:t>-</w:t>
        </w:r>
      </w:hyperlink>
      <w:hyperlink r:id="rId45">
        <w:r>
          <w:t>potents</w:t>
        </w:r>
        <w:r>
          <w:t>ial</w:t>
        </w:r>
      </w:hyperlink>
      <w:hyperlink r:id="rId46">
        <w:r>
          <w:t>-</w:t>
        </w:r>
      </w:hyperlink>
      <w:hyperlink r:id="rId47">
        <w:r>
          <w:t>respubliki</w:t>
        </w:r>
      </w:hyperlink>
      <w:hyperlink r:id="rId48">
        <w:r>
          <w:t>-</w:t>
        </w:r>
      </w:hyperlink>
      <w:hyperlink r:id="rId49">
        <w:r>
          <w:t>belarus</w:t>
        </w:r>
      </w:hyperlink>
      <w:hyperlink r:id="rId50"/>
      <w:hyperlink r:id="rId51">
        <w:r>
          <w:t>osnovnye</w:t>
        </w:r>
      </w:hyperlink>
      <w:hyperlink r:id="rId52">
        <w:r>
          <w:t>-</w:t>
        </w:r>
      </w:hyperlink>
      <w:hyperlink r:id="rId53">
        <w:r>
          <w:t>tendentsii</w:t>
        </w:r>
      </w:hyperlink>
      <w:hyperlink r:id="rId54">
        <w:r>
          <w:t>-</w:t>
        </w:r>
      </w:hyperlink>
      <w:hyperlink r:id="rId55">
        <w:r>
          <w:t>razvitiya.html.</w:t>
        </w:r>
      </w:hyperlink>
      <w:r>
        <w:t xml:space="preserve"> Дата доступа: 06.04.2017. </w:t>
      </w:r>
    </w:p>
    <w:p w:rsidR="002C0F56" w:rsidRDefault="00E67C6E">
      <w:pPr>
        <w:numPr>
          <w:ilvl w:val="0"/>
          <w:numId w:val="7"/>
        </w:numPr>
        <w:ind w:right="302"/>
      </w:pPr>
      <w:r>
        <w:t xml:space="preserve">Демография, Большой энциклопедический словарь [Электронный ресурс]. – Режим доступа: </w:t>
      </w:r>
      <w:hyperlink r:id="rId56">
        <w:r>
          <w:t>http://www.</w:t>
        </w:r>
        <w:r>
          <w:t>vedu.ru/bigencdic/18087/.</w:t>
        </w:r>
      </w:hyperlink>
      <w:r>
        <w:t xml:space="preserve"> Дата доступа: 06.04.2017. </w:t>
      </w:r>
    </w:p>
    <w:p w:rsidR="002C0F56" w:rsidRDefault="00E67C6E">
      <w:pPr>
        <w:numPr>
          <w:ilvl w:val="0"/>
          <w:numId w:val="7"/>
        </w:numPr>
        <w:ind w:right="302"/>
      </w:pPr>
      <w:r>
        <w:t xml:space="preserve">Демография [Электронный ресурс]. – Режим доступа: </w:t>
      </w:r>
      <w:hyperlink r:id="rId57">
        <w:r>
          <w:t>https://myfin.by/wiki/term/demografiya.</w:t>
        </w:r>
      </w:hyperlink>
      <w:r>
        <w:t xml:space="preserve"> Дата доступа: 06.04.2017. </w:t>
      </w:r>
    </w:p>
    <w:p w:rsidR="002C0F56" w:rsidRDefault="00E67C6E">
      <w:pPr>
        <w:numPr>
          <w:ilvl w:val="0"/>
          <w:numId w:val="7"/>
        </w:numPr>
        <w:ind w:right="302"/>
      </w:pPr>
      <w:r>
        <w:t>Kириенко Е.Г. Социально-экон</w:t>
      </w:r>
      <w:r>
        <w:t xml:space="preserve">омическая география Республики Беларусь. – Минск. 2003. </w:t>
      </w:r>
    </w:p>
    <w:p w:rsidR="002C0F56" w:rsidRDefault="00E67C6E">
      <w:pPr>
        <w:numPr>
          <w:ilvl w:val="0"/>
          <w:numId w:val="7"/>
        </w:numPr>
        <w:ind w:right="302"/>
      </w:pPr>
      <w:r>
        <w:t xml:space="preserve">О демографической безопасности Республики Беларусь [Электронный ресурс] : Закон Республики Беларусь от 4 января 2002 г. № 80-З : с изм. и доп. : </w:t>
      </w:r>
    </w:p>
    <w:p w:rsidR="002C0F56" w:rsidRDefault="00E67C6E">
      <w:pPr>
        <w:spacing w:after="12"/>
        <w:ind w:left="165" w:right="302" w:firstLine="0"/>
      </w:pPr>
      <w:r>
        <w:t>текст по состоянию на ноябрь 2013 г. – Минск : [б.и.]</w:t>
      </w:r>
      <w:r>
        <w:t xml:space="preserve">. – Загл. С экрана.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Алексеева М.С. </w:t>
      </w:r>
      <w:r>
        <w:rPr>
          <w:b w:val="0"/>
        </w:rPr>
        <w:t xml:space="preserve">Научный руководитель: Бойкив Н.Ю.  </w:t>
      </w:r>
    </w:p>
    <w:p w:rsidR="002C0F56" w:rsidRDefault="00E67C6E">
      <w:pPr>
        <w:spacing w:after="0" w:line="267" w:lineRule="auto"/>
        <w:ind w:left="905" w:right="860" w:hanging="10"/>
        <w:jc w:val="right"/>
      </w:pPr>
      <w:r>
        <w:rPr>
          <w:i/>
        </w:rPr>
        <w:t xml:space="preserve">Донецкий техникум химических технологий и фармации </w:t>
      </w:r>
    </w:p>
    <w:p w:rsidR="002C0F56" w:rsidRDefault="00E67C6E">
      <w:pPr>
        <w:spacing w:after="0" w:line="259" w:lineRule="auto"/>
        <w:ind w:left="744" w:firstLine="0"/>
        <w:jc w:val="left"/>
      </w:pPr>
      <w:r>
        <w:rPr>
          <w:b/>
        </w:rPr>
        <w:t xml:space="preserve"> </w:t>
      </w:r>
    </w:p>
    <w:p w:rsidR="002C0F56" w:rsidRDefault="00E67C6E">
      <w:pPr>
        <w:pStyle w:val="1"/>
        <w:ind w:left="700" w:right="1377"/>
      </w:pPr>
      <w:r>
        <w:t xml:space="preserve">АНАЛИЗ СОДЕРЖАНИЯ ПЫЛИ В РАБОЧЕЙ ЗОНЕ ХИМИЧЕСКОЙ ЛАБОРАТОРИИ </w:t>
      </w:r>
    </w:p>
    <w:p w:rsidR="002C0F56" w:rsidRDefault="00E67C6E">
      <w:pPr>
        <w:spacing w:after="0"/>
        <w:ind w:left="165" w:right="302"/>
      </w:pPr>
      <w:r>
        <w:t xml:space="preserve">Пыль - понятие, определяющее физическое состояние вещества - </w:t>
      </w:r>
      <w:r>
        <w:t xml:space="preserve">раздробленность его на мельчайшие частицы. Их взвесь в воздухе представляет собой аэрозоль, т.е. дисперсную систему, в которой дисперсной фазой являются твердые частицы, а дисперсионной средой - воздух. В атмосфере и воздухе помещений всегда содержится то </w:t>
      </w:r>
      <w:r>
        <w:t xml:space="preserve">или иное количество пыли. </w:t>
      </w:r>
    </w:p>
    <w:p w:rsidR="002C0F56" w:rsidRDefault="00E67C6E">
      <w:pPr>
        <w:spacing w:after="0"/>
        <w:ind w:left="165" w:right="866"/>
      </w:pPr>
      <w:r>
        <w:t>В санитарно-гигиенической практике принято разделять вредные вещества на химические вещества и промышленную пыль. Производственная пыль достаточно распространенный опасный и вредный производственный фактор. Пыль может оказывать н</w:t>
      </w:r>
      <w:r>
        <w:t xml:space="preserve">а человека фиброгенное воздействие, при котором в легких происходит разрастание соединительных тканей, которое нарушает нормальное строение и функцию органа. Вредность производственной пыли обусловлена ее способностью вызывать профессиональные заболевания </w:t>
      </w:r>
      <w:r>
        <w:t xml:space="preserve">легких, в первую очередь пневмокониозы. </w:t>
      </w:r>
    </w:p>
    <w:p w:rsidR="002C0F56" w:rsidRDefault="00E67C6E">
      <w:pPr>
        <w:spacing w:after="10"/>
        <w:ind w:left="165" w:right="866"/>
      </w:pPr>
      <w:r>
        <w:lastRenderedPageBreak/>
        <w:t xml:space="preserve">Пыль способствует быстрому износу производственного оборудования, может служить причиной брака (точное приборостроение и др.). При определенных условиях возможны взрывы пыли.  </w:t>
      </w:r>
    </w:p>
    <w:p w:rsidR="002C0F56" w:rsidRDefault="00E67C6E">
      <w:pPr>
        <w:ind w:left="165" w:right="302"/>
      </w:pPr>
      <w:r>
        <w:t>Целью исследования является анализ сод</w:t>
      </w:r>
      <w:r>
        <w:t xml:space="preserve">ержания пыли в воздухе рабочей зоны химической лаборатории ОАО «Завод Коксохимоборудование».  </w:t>
      </w:r>
    </w:p>
    <w:p w:rsidR="002C0F56" w:rsidRDefault="00E67C6E">
      <w:pPr>
        <w:ind w:left="744" w:right="302" w:firstLine="0"/>
      </w:pPr>
      <w:r>
        <w:t xml:space="preserve">Для достижения поставленной цели были определены следующие задачи: </w:t>
      </w:r>
    </w:p>
    <w:p w:rsidR="002C0F56" w:rsidRDefault="00E67C6E">
      <w:pPr>
        <w:numPr>
          <w:ilvl w:val="0"/>
          <w:numId w:val="8"/>
        </w:numPr>
        <w:ind w:right="302"/>
      </w:pPr>
      <w:r>
        <w:t xml:space="preserve">освоение методик анализа содержания пыли в воздухе; </w:t>
      </w:r>
    </w:p>
    <w:p w:rsidR="002C0F56" w:rsidRDefault="00E67C6E">
      <w:pPr>
        <w:numPr>
          <w:ilvl w:val="0"/>
          <w:numId w:val="8"/>
        </w:numPr>
        <w:ind w:right="302"/>
      </w:pPr>
      <w:r>
        <w:t>определение содержания пыли в воздухе ра</w:t>
      </w:r>
      <w:r>
        <w:t xml:space="preserve">бочей зоны  ОАО «Завод Коксохимоборудование». </w:t>
      </w:r>
    </w:p>
    <w:p w:rsidR="002C0F56" w:rsidRDefault="00E67C6E">
      <w:pPr>
        <w:ind w:left="165" w:right="867"/>
      </w:pPr>
      <w:r>
        <w:t xml:space="preserve">Предметом исследования является аналитический анализ воздуха рабочей зоны, объектом анализа выступает – анализ содержания пыли в воздухе рабочей зоны ОАО «Завод Коксохимоборудование». </w:t>
      </w:r>
    </w:p>
    <w:p w:rsidR="002C0F56" w:rsidRDefault="00E67C6E">
      <w:pPr>
        <w:spacing w:after="1"/>
        <w:ind w:left="165" w:right="866"/>
      </w:pPr>
      <w:r>
        <w:t>Гигиеническими нормативами ГН 2.2.5.686–98 «Предельно допустимые концентрации (ПДК) вредных веществ в воздухе рабочей зоны» и ГОСТ 12.1.005–88 «ССБТ. Общие санитарно-гигиенические требования к воздуху рабочей зоны» установлены предельно допустимые концентр</w:t>
      </w:r>
      <w:r>
        <w:t>ации для более чем 800 различных веществ (в мг/м</w:t>
      </w:r>
      <w:r>
        <w:rPr>
          <w:vertAlign w:val="superscript"/>
        </w:rPr>
        <w:t>3</w:t>
      </w:r>
      <w:r>
        <w:t>). ПДК вредных веществ в воздухе рабочей зоны считается такая концентрация, которая при ежедневной работе в течение 8 часов или другой продолжительности, но не более 41 часа в неделю, в течение всего рабочег</w:t>
      </w:r>
      <w:r>
        <w:t xml:space="preserve">о стажа не может вызвать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последующего поколений.  </w:t>
      </w:r>
    </w:p>
    <w:p w:rsidR="002C0F56" w:rsidRDefault="00E67C6E">
      <w:pPr>
        <w:ind w:left="165" w:right="871"/>
      </w:pPr>
      <w:r>
        <w:t>Пыль классифицируют по следующим признакам: по</w:t>
      </w:r>
      <w:r>
        <w:t xml:space="preserve"> роду вещества, из которого состоят частицы, степени дисперсности (измельчения), степени вредного влияния на организм человека, взрыво- и пожароопасности. </w:t>
      </w:r>
    </w:p>
    <w:p w:rsidR="002C0F56" w:rsidRDefault="00E67C6E">
      <w:pPr>
        <w:ind w:left="744" w:right="302" w:firstLine="0"/>
      </w:pPr>
      <w:r>
        <w:t xml:space="preserve"> По происхождению пыль подразделяют на три основных подгруппы: </w:t>
      </w:r>
    </w:p>
    <w:p w:rsidR="002C0F56" w:rsidRDefault="00E67C6E">
      <w:pPr>
        <w:numPr>
          <w:ilvl w:val="0"/>
          <w:numId w:val="9"/>
        </w:numPr>
        <w:ind w:right="302" w:hanging="281"/>
      </w:pPr>
      <w:r>
        <w:t xml:space="preserve">Органическая: </w:t>
      </w:r>
    </w:p>
    <w:p w:rsidR="002C0F56" w:rsidRDefault="00E67C6E">
      <w:pPr>
        <w:ind w:left="744" w:right="302" w:firstLine="0"/>
      </w:pPr>
      <w:r>
        <w:t>естественная (растите</w:t>
      </w:r>
      <w:r>
        <w:t xml:space="preserve">льного происхождения – древесная, хлопковая, и </w:t>
      </w:r>
    </w:p>
    <w:p w:rsidR="002C0F56" w:rsidRDefault="00E67C6E">
      <w:pPr>
        <w:spacing w:after="11" w:line="270" w:lineRule="auto"/>
        <w:ind w:left="10" w:right="862" w:hanging="10"/>
        <w:jc w:val="right"/>
      </w:pPr>
      <w:r>
        <w:t xml:space="preserve">животного – костяная, шерстяная);  искусственная (пыль пластмасс, резины, смол, красителей и других </w:t>
      </w:r>
    </w:p>
    <w:p w:rsidR="002C0F56" w:rsidRDefault="00E67C6E">
      <w:pPr>
        <w:ind w:left="165" w:right="302" w:firstLine="0"/>
      </w:pPr>
      <w:r>
        <w:t xml:space="preserve">синтетических веществ). </w:t>
      </w:r>
    </w:p>
    <w:p w:rsidR="002C0F56" w:rsidRDefault="00E67C6E">
      <w:pPr>
        <w:numPr>
          <w:ilvl w:val="0"/>
          <w:numId w:val="9"/>
        </w:numPr>
        <w:ind w:right="302" w:hanging="281"/>
      </w:pPr>
      <w:r>
        <w:t xml:space="preserve">Неорганическая: </w:t>
      </w:r>
    </w:p>
    <w:p w:rsidR="002C0F56" w:rsidRDefault="00E67C6E">
      <w:pPr>
        <w:ind w:left="744" w:right="2774" w:firstLine="0"/>
      </w:pPr>
      <w:r>
        <w:t xml:space="preserve"> металлическая (стальная, медная, свинцовая);  минеральная (песча</w:t>
      </w:r>
      <w:r>
        <w:t xml:space="preserve">ная, известковая, цементная). </w:t>
      </w:r>
    </w:p>
    <w:p w:rsidR="002C0F56" w:rsidRDefault="00E67C6E">
      <w:pPr>
        <w:numPr>
          <w:ilvl w:val="0"/>
          <w:numId w:val="9"/>
        </w:numPr>
        <w:ind w:right="302" w:hanging="281"/>
      </w:pPr>
      <w:r>
        <w:t xml:space="preserve">Смешанная. </w:t>
      </w:r>
    </w:p>
    <w:p w:rsidR="002C0F56" w:rsidRDefault="00E67C6E">
      <w:pPr>
        <w:ind w:left="744" w:right="302" w:firstLine="0"/>
      </w:pPr>
      <w:r>
        <w:t xml:space="preserve">По дисперсности пыль подразделяют на три группы: </w:t>
      </w:r>
    </w:p>
    <w:p w:rsidR="002C0F56" w:rsidRDefault="00E67C6E">
      <w:pPr>
        <w:numPr>
          <w:ilvl w:val="0"/>
          <w:numId w:val="10"/>
        </w:numPr>
        <w:ind w:right="302" w:hanging="430"/>
      </w:pPr>
      <w:r>
        <w:t xml:space="preserve">видимая (размеры частиц более 10 мкм); </w:t>
      </w:r>
    </w:p>
    <w:p w:rsidR="002C0F56" w:rsidRDefault="00E67C6E">
      <w:pPr>
        <w:numPr>
          <w:ilvl w:val="0"/>
          <w:numId w:val="10"/>
        </w:numPr>
        <w:ind w:right="302" w:hanging="430"/>
      </w:pPr>
      <w:r>
        <w:t xml:space="preserve">микроскопическая (0,25-10 мкм); </w:t>
      </w:r>
    </w:p>
    <w:p w:rsidR="002C0F56" w:rsidRDefault="00E67C6E">
      <w:pPr>
        <w:numPr>
          <w:ilvl w:val="0"/>
          <w:numId w:val="10"/>
        </w:numPr>
        <w:spacing w:after="12"/>
        <w:ind w:right="302" w:hanging="430"/>
      </w:pPr>
      <w:r>
        <w:lastRenderedPageBreak/>
        <w:t xml:space="preserve">ультрамикроскопическая (менее 0,25 мкм). </w:t>
      </w:r>
    </w:p>
    <w:p w:rsidR="002C0F56" w:rsidRDefault="00E67C6E">
      <w:pPr>
        <w:ind w:left="165" w:right="873"/>
      </w:pPr>
      <w:r>
        <w:t xml:space="preserve">Опасность пыли увеличивается с уменьшением размера пылинок, так как такая пыль дольше остается в виде аэрозоля в воздухе и глубже проникает в легочные каналы. </w:t>
      </w:r>
    </w:p>
    <w:p w:rsidR="002C0F56" w:rsidRDefault="00E67C6E">
      <w:pPr>
        <w:ind w:left="744" w:right="302" w:firstLine="0"/>
      </w:pPr>
      <w:r>
        <w:t xml:space="preserve">В зависимости от состава пыль может оказывать на организм: </w:t>
      </w:r>
    </w:p>
    <w:p w:rsidR="002C0F56" w:rsidRDefault="00E67C6E">
      <w:pPr>
        <w:numPr>
          <w:ilvl w:val="0"/>
          <w:numId w:val="11"/>
        </w:numPr>
        <w:spacing w:after="10"/>
        <w:ind w:right="302"/>
      </w:pPr>
      <w:r>
        <w:t>Фиброгенное действие – в легких прои</w:t>
      </w:r>
      <w:r>
        <w:t xml:space="preserve">сходит разрастание соединительной ткани, нарушающее нормальное строение и функции органа (кварцевая, породная). </w:t>
      </w:r>
    </w:p>
    <w:p w:rsidR="002C0F56" w:rsidRDefault="00E67C6E">
      <w:pPr>
        <w:numPr>
          <w:ilvl w:val="0"/>
          <w:numId w:val="11"/>
        </w:numPr>
        <w:ind w:right="302"/>
      </w:pPr>
      <w:r>
        <w:t xml:space="preserve">Раздражающее действие на верхние дыхательные пути, слизистую оболочку глаз, кожу (известковая, стекловолокна). </w:t>
      </w:r>
    </w:p>
    <w:p w:rsidR="002C0F56" w:rsidRDefault="00E67C6E">
      <w:pPr>
        <w:numPr>
          <w:ilvl w:val="0"/>
          <w:numId w:val="11"/>
        </w:numPr>
        <w:ind w:right="302"/>
      </w:pPr>
      <w:r>
        <w:t>Токсическое действие – ядовитые</w:t>
      </w:r>
      <w:r>
        <w:t xml:space="preserve"> пыли, растворяясь в биологических средах организма, вызывают отравления (свинцовая, мышьяковистая). </w:t>
      </w:r>
    </w:p>
    <w:p w:rsidR="002C0F56" w:rsidRDefault="00E67C6E">
      <w:pPr>
        <w:numPr>
          <w:ilvl w:val="0"/>
          <w:numId w:val="11"/>
        </w:numPr>
        <w:ind w:right="302"/>
      </w:pPr>
      <w:r>
        <w:t xml:space="preserve">Аллергическое действие (шерстяная, синтетическая). </w:t>
      </w:r>
    </w:p>
    <w:p w:rsidR="002C0F56" w:rsidRDefault="00E67C6E">
      <w:pPr>
        <w:numPr>
          <w:ilvl w:val="0"/>
          <w:numId w:val="11"/>
        </w:numPr>
        <w:ind w:right="302"/>
      </w:pPr>
      <w:r>
        <w:t xml:space="preserve">Биологическое действие (микроорганизмы, споры). </w:t>
      </w:r>
    </w:p>
    <w:p w:rsidR="002C0F56" w:rsidRDefault="00E67C6E">
      <w:pPr>
        <w:numPr>
          <w:ilvl w:val="0"/>
          <w:numId w:val="11"/>
        </w:numPr>
        <w:ind w:right="302"/>
      </w:pPr>
      <w:r>
        <w:t xml:space="preserve">Канцерогенное действие (сажа, асбест). </w:t>
      </w:r>
    </w:p>
    <w:p w:rsidR="002C0F56" w:rsidRDefault="00E67C6E">
      <w:pPr>
        <w:numPr>
          <w:ilvl w:val="0"/>
          <w:numId w:val="11"/>
        </w:numPr>
        <w:spacing w:after="12"/>
        <w:ind w:right="302"/>
      </w:pPr>
      <w:r>
        <w:t xml:space="preserve">Ионизирующее </w:t>
      </w:r>
      <w:r>
        <w:t xml:space="preserve">действие (пыль урана, радия). </w:t>
      </w:r>
    </w:p>
    <w:p w:rsidR="002C0F56" w:rsidRDefault="00E67C6E">
      <w:pPr>
        <w:spacing w:after="15"/>
        <w:ind w:left="165" w:right="867"/>
      </w:pPr>
      <w:r>
        <w:t>Для определения качества воздуха на рабочем месте существуют методы контроля, которые подразделяются на две группы: первая – с выделением дисперсной фазы из аэрозоля (весовой и счетный методы), вторая – без выделения дисперсн</w:t>
      </w:r>
      <w:r>
        <w:t xml:space="preserve">ой фазы из аэрозоля (фотоэлектрические, электрометрические, радиационные и оптические методы). Наиболее часто применяются весовой и счетный методы.  </w:t>
      </w:r>
    </w:p>
    <w:p w:rsidR="002C0F56" w:rsidRDefault="00E67C6E">
      <w:pPr>
        <w:spacing w:after="2"/>
        <w:ind w:left="165" w:right="871"/>
      </w:pPr>
      <w:r>
        <w:t>Определение содержания пыли в воздухе рабочей зоны проводилось наиболее простым и доступным весовым (грави</w:t>
      </w:r>
      <w:r>
        <w:t>метрическим) методом. Для этого анализируемый воздух засасывают с помощью различных аспираторов через специальные фильтры (АФА), изготовленные из ткани ФПН. Эти фильтры обладают высокой эффективностью пылеулавливания, малым сопротивлением току аспирируемог</w:t>
      </w:r>
      <w:r>
        <w:t xml:space="preserve">о воздуха, низкой гигроскопичностью, устойчивостью к действию химических веществ. </w:t>
      </w:r>
    </w:p>
    <w:p w:rsidR="002C0F56" w:rsidRDefault="00E67C6E">
      <w:pPr>
        <w:spacing w:after="2"/>
        <w:ind w:left="165" w:right="874"/>
      </w:pPr>
      <w:r>
        <w:t>Для анализа аспиратором засасывают определенный объем воздуха (около 100л) через предварительно взвешенный и установленный в кассете фильтр. Затем его повторно взвешивают на</w:t>
      </w:r>
      <w:r>
        <w:t xml:space="preserve"> аналитических весах. Но разности массы фильтра до и после отбора пробы судят о количестве пыли. </w:t>
      </w:r>
    </w:p>
    <w:p w:rsidR="002C0F56" w:rsidRDefault="00E67C6E">
      <w:pPr>
        <w:ind w:left="165" w:right="874"/>
      </w:pPr>
      <w:r>
        <w:t xml:space="preserve">Пробу берут на уровне дыхания работающего, фиксируя объем пропускаемого воздуха. Определение концентрации пыли в воздухе проводилось пылемером ИКП-1.  </w:t>
      </w:r>
    </w:p>
    <w:p w:rsidR="002C0F56" w:rsidRDefault="00E67C6E">
      <w:pPr>
        <w:ind w:left="165" w:right="302"/>
      </w:pPr>
      <w:r>
        <w:lastRenderedPageBreak/>
        <w:t>Предел</w:t>
      </w:r>
      <w:r>
        <w:t xml:space="preserve">ьно допустимые концентрации содержания нетоксичной пыли приведены в таблице 1.  </w:t>
      </w:r>
    </w:p>
    <w:p w:rsidR="002C0F56" w:rsidRDefault="00E67C6E">
      <w:pPr>
        <w:spacing w:after="0" w:line="259" w:lineRule="auto"/>
        <w:ind w:left="744" w:firstLine="0"/>
        <w:jc w:val="left"/>
      </w:pPr>
      <w:r>
        <w:t xml:space="preserve"> </w:t>
      </w:r>
    </w:p>
    <w:p w:rsidR="002C0F56" w:rsidRDefault="00E67C6E">
      <w:pPr>
        <w:pStyle w:val="4"/>
        <w:ind w:left="74" w:right="698"/>
      </w:pPr>
      <w:r>
        <w:rPr>
          <w:b w:val="0"/>
          <w:i/>
        </w:rPr>
        <w:t>Таблица 1</w:t>
      </w:r>
      <w:r>
        <w:rPr>
          <w:b w:val="0"/>
        </w:rPr>
        <w:t xml:space="preserve"> - </w:t>
      </w:r>
      <w:r>
        <w:t xml:space="preserve">Предельно допустимые концентрации содержания нетоксичной пыли в воздухе рабочей зоны производственных помещений </w:t>
      </w:r>
    </w:p>
    <w:tbl>
      <w:tblPr>
        <w:tblStyle w:val="TableGrid"/>
        <w:tblW w:w="9856" w:type="dxa"/>
        <w:tblInd w:w="72" w:type="dxa"/>
        <w:tblCellMar>
          <w:top w:w="14" w:type="dxa"/>
          <w:left w:w="108" w:type="dxa"/>
          <w:bottom w:w="0" w:type="dxa"/>
          <w:right w:w="53" w:type="dxa"/>
        </w:tblCellMar>
        <w:tblLook w:val="04A0" w:firstRow="1" w:lastRow="0" w:firstColumn="1" w:lastColumn="0" w:noHBand="0" w:noVBand="1"/>
      </w:tblPr>
      <w:tblGrid>
        <w:gridCol w:w="723"/>
        <w:gridCol w:w="7049"/>
        <w:gridCol w:w="2084"/>
      </w:tblGrid>
      <w:tr w:rsidR="002C0F56">
        <w:trPr>
          <w:trHeight w:val="562"/>
        </w:trPr>
        <w:tc>
          <w:tcPr>
            <w:tcW w:w="723" w:type="dxa"/>
            <w:tcBorders>
              <w:top w:val="single" w:sz="4" w:space="0" w:color="000000"/>
              <w:left w:val="single" w:sz="4" w:space="0" w:color="000000"/>
              <w:bottom w:val="single" w:sz="4" w:space="0" w:color="000000"/>
              <w:right w:val="single" w:sz="4" w:space="0" w:color="000000"/>
            </w:tcBorders>
          </w:tcPr>
          <w:p w:rsidR="002C0F56" w:rsidRDefault="00E67C6E">
            <w:pPr>
              <w:spacing w:after="16" w:line="259" w:lineRule="auto"/>
              <w:ind w:left="139" w:firstLine="0"/>
              <w:jc w:val="left"/>
            </w:pPr>
            <w:r>
              <w:rPr>
                <w:sz w:val="24"/>
              </w:rPr>
              <w:t xml:space="preserve">№ </w:t>
            </w:r>
          </w:p>
          <w:p w:rsidR="002C0F56" w:rsidRDefault="00E67C6E">
            <w:pPr>
              <w:spacing w:after="0" w:line="259" w:lineRule="auto"/>
              <w:ind w:left="0" w:right="55" w:firstLine="0"/>
              <w:jc w:val="center"/>
            </w:pPr>
            <w:r>
              <w:rPr>
                <w:sz w:val="24"/>
              </w:rPr>
              <w:t xml:space="preserve">п/п </w:t>
            </w:r>
          </w:p>
        </w:tc>
        <w:tc>
          <w:tcPr>
            <w:tcW w:w="70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6" w:firstLine="0"/>
              <w:jc w:val="center"/>
            </w:pPr>
            <w:r>
              <w:rPr>
                <w:sz w:val="24"/>
              </w:rPr>
              <w:t xml:space="preserve">Род пыли </w:t>
            </w:r>
          </w:p>
        </w:tc>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Величина ПДК в мг/м3 </w:t>
            </w:r>
          </w:p>
        </w:tc>
      </w:tr>
      <w:tr w:rsidR="002C0F56">
        <w:trPr>
          <w:trHeight w:val="562"/>
        </w:trPr>
        <w:tc>
          <w:tcPr>
            <w:tcW w:w="72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 </w:t>
            </w:r>
          </w:p>
        </w:tc>
        <w:tc>
          <w:tcPr>
            <w:tcW w:w="70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Пыли, содержащие кварц в количестве более 10% пыль кварца, кварцита и др.), и асбестовая пыль </w:t>
            </w:r>
          </w:p>
        </w:tc>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 </w:t>
            </w:r>
          </w:p>
        </w:tc>
      </w:tr>
      <w:tr w:rsidR="002C0F56">
        <w:trPr>
          <w:trHeight w:val="286"/>
        </w:trPr>
        <w:tc>
          <w:tcPr>
            <w:tcW w:w="72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 </w:t>
            </w:r>
          </w:p>
        </w:tc>
        <w:tc>
          <w:tcPr>
            <w:tcW w:w="70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Все остальные виды пыли </w:t>
            </w:r>
          </w:p>
        </w:tc>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До 10 </w:t>
            </w:r>
          </w:p>
        </w:tc>
      </w:tr>
    </w:tbl>
    <w:p w:rsidR="002C0F56" w:rsidRDefault="00E67C6E">
      <w:pPr>
        <w:spacing w:after="12"/>
        <w:ind w:left="744" w:right="302" w:firstLine="0"/>
      </w:pPr>
      <w:r>
        <w:t xml:space="preserve">Результаты анализа приведены в таблице 2. </w:t>
      </w:r>
    </w:p>
    <w:p w:rsidR="002C0F56" w:rsidRDefault="00E67C6E">
      <w:pPr>
        <w:spacing w:after="0" w:line="259" w:lineRule="auto"/>
        <w:ind w:left="744" w:firstLine="0"/>
        <w:jc w:val="left"/>
      </w:pPr>
      <w:r>
        <w:t xml:space="preserve"> </w:t>
      </w:r>
    </w:p>
    <w:p w:rsidR="002C0F56" w:rsidRDefault="00E67C6E">
      <w:pPr>
        <w:pStyle w:val="4"/>
        <w:ind w:left="1181" w:right="1861"/>
      </w:pPr>
      <w:r>
        <w:rPr>
          <w:b w:val="0"/>
          <w:i/>
        </w:rPr>
        <w:t>Таблица 2</w:t>
      </w:r>
      <w:r>
        <w:rPr>
          <w:b w:val="0"/>
        </w:rPr>
        <w:t xml:space="preserve">- </w:t>
      </w:r>
      <w:r>
        <w:t xml:space="preserve">Содержание пыли в рабочей зоне ПАО «Концерн Стирол» </w:t>
      </w:r>
    </w:p>
    <w:tbl>
      <w:tblPr>
        <w:tblStyle w:val="TableGrid"/>
        <w:tblW w:w="9856" w:type="dxa"/>
        <w:tblInd w:w="72" w:type="dxa"/>
        <w:tblCellMar>
          <w:top w:w="14" w:type="dxa"/>
          <w:left w:w="108" w:type="dxa"/>
          <w:bottom w:w="0" w:type="dxa"/>
          <w:right w:w="47" w:type="dxa"/>
        </w:tblCellMar>
        <w:tblLook w:val="04A0" w:firstRow="1" w:lastRow="0" w:firstColumn="1" w:lastColumn="0" w:noHBand="0" w:noVBand="1"/>
      </w:tblPr>
      <w:tblGrid>
        <w:gridCol w:w="1654"/>
        <w:gridCol w:w="755"/>
        <w:gridCol w:w="1526"/>
        <w:gridCol w:w="2175"/>
        <w:gridCol w:w="1649"/>
        <w:gridCol w:w="713"/>
        <w:gridCol w:w="1480"/>
      </w:tblGrid>
      <w:tr w:rsidR="002C0F56">
        <w:trPr>
          <w:trHeight w:val="1390"/>
        </w:trPr>
        <w:tc>
          <w:tcPr>
            <w:tcW w:w="15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Наимено</w:t>
            </w:r>
            <w:r>
              <w:rPr>
                <w:sz w:val="24"/>
              </w:rPr>
              <w:t xml:space="preserve">вание пыли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Класс опас- ности </w:t>
            </w:r>
          </w:p>
        </w:tc>
        <w:tc>
          <w:tcPr>
            <w:tcW w:w="1921"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1766"/>
              </w:tabs>
              <w:spacing w:after="27" w:line="259" w:lineRule="auto"/>
              <w:ind w:left="0" w:firstLine="0"/>
              <w:jc w:val="left"/>
            </w:pPr>
            <w:r>
              <w:rPr>
                <w:sz w:val="24"/>
              </w:rPr>
              <w:t xml:space="preserve">Действие </w:t>
            </w:r>
            <w:r>
              <w:rPr>
                <w:sz w:val="24"/>
              </w:rPr>
              <w:tab/>
              <w:t xml:space="preserve">на </w:t>
            </w:r>
          </w:p>
          <w:p w:rsidR="002C0F56" w:rsidRDefault="00E67C6E">
            <w:pPr>
              <w:spacing w:after="0" w:line="259" w:lineRule="auto"/>
              <w:ind w:left="2" w:firstLine="0"/>
              <w:jc w:val="left"/>
            </w:pPr>
            <w:r>
              <w:rPr>
                <w:sz w:val="24"/>
              </w:rPr>
              <w:t xml:space="preserve">организм </w:t>
            </w:r>
          </w:p>
        </w:tc>
        <w:tc>
          <w:tcPr>
            <w:tcW w:w="16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Класс условий труда  </w:t>
            </w:r>
          </w:p>
        </w:tc>
        <w:tc>
          <w:tcPr>
            <w:tcW w:w="12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Общая оценка </w:t>
            </w:r>
          </w:p>
        </w:tc>
        <w:tc>
          <w:tcPr>
            <w:tcW w:w="106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ПДК, мг/м</w:t>
            </w:r>
            <w:r>
              <w:rPr>
                <w:sz w:val="24"/>
                <w:vertAlign w:val="superscript"/>
              </w:rPr>
              <w:t>3</w:t>
            </w:r>
            <w:r>
              <w:rPr>
                <w:sz w:val="24"/>
              </w:rPr>
              <w:t xml:space="preserve"> </w:t>
            </w:r>
          </w:p>
        </w:tc>
        <w:tc>
          <w:tcPr>
            <w:tcW w:w="1447" w:type="dxa"/>
            <w:tcBorders>
              <w:top w:val="single" w:sz="4" w:space="0" w:color="000000"/>
              <w:left w:val="single" w:sz="4" w:space="0" w:color="000000"/>
              <w:bottom w:val="single" w:sz="4" w:space="0" w:color="000000"/>
              <w:right w:val="single" w:sz="4" w:space="0" w:color="000000"/>
            </w:tcBorders>
          </w:tcPr>
          <w:p w:rsidR="002C0F56" w:rsidRDefault="00E67C6E">
            <w:pPr>
              <w:spacing w:after="6" w:line="259" w:lineRule="auto"/>
              <w:ind w:left="2" w:firstLine="0"/>
              <w:jc w:val="left"/>
            </w:pPr>
            <w:r>
              <w:rPr>
                <w:sz w:val="24"/>
              </w:rPr>
              <w:t xml:space="preserve">Фактическое содержание </w:t>
            </w:r>
            <w:r>
              <w:rPr>
                <w:sz w:val="24"/>
              </w:rPr>
              <w:tab/>
              <w:t xml:space="preserve">пыли, </w:t>
            </w:r>
          </w:p>
          <w:p w:rsidR="002C0F56" w:rsidRDefault="00E67C6E">
            <w:pPr>
              <w:spacing w:after="0" w:line="259" w:lineRule="auto"/>
              <w:ind w:left="2" w:firstLine="0"/>
              <w:jc w:val="left"/>
            </w:pPr>
            <w:r>
              <w:rPr>
                <w:sz w:val="24"/>
              </w:rPr>
              <w:t>мг/м</w:t>
            </w:r>
            <w:r>
              <w:rPr>
                <w:sz w:val="24"/>
                <w:vertAlign w:val="superscript"/>
              </w:rPr>
              <w:t>3</w:t>
            </w:r>
            <w:r>
              <w:rPr>
                <w:sz w:val="24"/>
              </w:rPr>
              <w:t xml:space="preserve"> </w:t>
            </w:r>
          </w:p>
        </w:tc>
      </w:tr>
      <w:tr w:rsidR="002C0F56">
        <w:trPr>
          <w:trHeight w:val="2494"/>
        </w:trPr>
        <w:tc>
          <w:tcPr>
            <w:tcW w:w="15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75" w:lineRule="auto"/>
              <w:ind w:left="0" w:firstLine="0"/>
              <w:jc w:val="left"/>
            </w:pPr>
            <w:r>
              <w:rPr>
                <w:sz w:val="24"/>
              </w:rPr>
              <w:t>Пыль растительного происхо-</w:t>
            </w:r>
          </w:p>
          <w:p w:rsidR="002C0F56" w:rsidRDefault="00E67C6E">
            <w:pPr>
              <w:spacing w:after="0" w:line="259" w:lineRule="auto"/>
              <w:ind w:left="0" w:firstLine="0"/>
              <w:jc w:val="left"/>
            </w:pPr>
            <w:r>
              <w:rPr>
                <w:sz w:val="24"/>
              </w:rPr>
              <w:t xml:space="preserve">ждения </w:t>
            </w:r>
            <w:r>
              <w:rPr>
                <w:sz w:val="24"/>
              </w:rPr>
              <w:tab/>
              <w:t xml:space="preserve">с примесью диоксида кремния от 2 до 10%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19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Аллергенное </w:t>
            </w:r>
          </w:p>
          <w:p w:rsidR="002C0F56" w:rsidRDefault="00E67C6E">
            <w:pPr>
              <w:spacing w:after="21" w:line="259" w:lineRule="auto"/>
              <w:ind w:left="2" w:firstLine="0"/>
              <w:jc w:val="left"/>
            </w:pPr>
            <w:r>
              <w:rPr>
                <w:sz w:val="24"/>
              </w:rPr>
              <w:t xml:space="preserve"> </w:t>
            </w:r>
          </w:p>
          <w:p w:rsidR="002C0F56" w:rsidRDefault="00E67C6E">
            <w:pPr>
              <w:spacing w:after="0" w:line="259" w:lineRule="auto"/>
              <w:ind w:left="2" w:firstLine="0"/>
              <w:jc w:val="left"/>
            </w:pPr>
            <w:r>
              <w:rPr>
                <w:sz w:val="24"/>
              </w:rPr>
              <w:t xml:space="preserve">Фиброгенное </w:t>
            </w:r>
          </w:p>
        </w:tc>
        <w:tc>
          <w:tcPr>
            <w:tcW w:w="1604" w:type="dxa"/>
            <w:tcBorders>
              <w:top w:val="single" w:sz="4" w:space="0" w:color="000000"/>
              <w:left w:val="single" w:sz="4" w:space="0" w:color="000000"/>
              <w:bottom w:val="single" w:sz="4" w:space="0" w:color="000000"/>
              <w:right w:val="single" w:sz="4" w:space="0" w:color="000000"/>
            </w:tcBorders>
          </w:tcPr>
          <w:p w:rsidR="002C0F56" w:rsidRDefault="00E67C6E">
            <w:pPr>
              <w:spacing w:after="21" w:line="259" w:lineRule="auto"/>
              <w:ind w:left="2" w:firstLine="0"/>
              <w:jc w:val="left"/>
            </w:pPr>
            <w:r>
              <w:rPr>
                <w:sz w:val="24"/>
              </w:rPr>
              <w:t xml:space="preserve">3.1 </w:t>
            </w:r>
          </w:p>
          <w:p w:rsidR="002C0F56" w:rsidRDefault="00E67C6E">
            <w:pPr>
              <w:spacing w:after="45" w:line="238" w:lineRule="auto"/>
              <w:ind w:left="2" w:right="47" w:firstLine="0"/>
              <w:jc w:val="left"/>
            </w:pPr>
            <w:r>
              <w:rPr>
                <w:sz w:val="24"/>
              </w:rPr>
              <w:t xml:space="preserve">(вредный) 3.1 </w:t>
            </w:r>
          </w:p>
          <w:p w:rsidR="002C0F56" w:rsidRDefault="00E67C6E">
            <w:pPr>
              <w:spacing w:after="0" w:line="259" w:lineRule="auto"/>
              <w:ind w:left="2" w:firstLine="0"/>
              <w:jc w:val="left"/>
            </w:pPr>
            <w:r>
              <w:rPr>
                <w:sz w:val="24"/>
              </w:rPr>
              <w:t xml:space="preserve">(вредный) </w:t>
            </w:r>
          </w:p>
        </w:tc>
        <w:tc>
          <w:tcPr>
            <w:tcW w:w="12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3.1 (вредный) </w:t>
            </w:r>
          </w:p>
        </w:tc>
        <w:tc>
          <w:tcPr>
            <w:tcW w:w="106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10 </w:t>
            </w:r>
          </w:p>
        </w:tc>
        <w:tc>
          <w:tcPr>
            <w:tcW w:w="14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15 </w:t>
            </w:r>
          </w:p>
        </w:tc>
      </w:tr>
      <w:tr w:rsidR="002C0F56">
        <w:trPr>
          <w:trHeight w:val="2494"/>
        </w:trPr>
        <w:tc>
          <w:tcPr>
            <w:tcW w:w="15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63" w:lineRule="auto"/>
              <w:ind w:left="0" w:firstLine="0"/>
              <w:jc w:val="left"/>
            </w:pPr>
            <w:r>
              <w:rPr>
                <w:sz w:val="24"/>
              </w:rPr>
              <w:t>Пыль растительного происхож-</w:t>
            </w:r>
          </w:p>
          <w:p w:rsidR="002C0F56" w:rsidRDefault="00E67C6E">
            <w:pPr>
              <w:tabs>
                <w:tab w:val="right" w:pos="1372"/>
              </w:tabs>
              <w:spacing w:after="0" w:line="259" w:lineRule="auto"/>
              <w:ind w:left="0" w:firstLine="0"/>
              <w:jc w:val="left"/>
            </w:pPr>
            <w:r>
              <w:rPr>
                <w:sz w:val="24"/>
              </w:rPr>
              <w:t xml:space="preserve">дения </w:t>
            </w:r>
            <w:r>
              <w:rPr>
                <w:sz w:val="24"/>
              </w:rPr>
              <w:tab/>
              <w:t xml:space="preserve">с </w:t>
            </w:r>
          </w:p>
          <w:p w:rsidR="002C0F56" w:rsidRDefault="00E67C6E">
            <w:pPr>
              <w:spacing w:after="0" w:line="259" w:lineRule="auto"/>
              <w:ind w:left="0" w:firstLine="0"/>
              <w:jc w:val="left"/>
            </w:pPr>
            <w:r>
              <w:rPr>
                <w:sz w:val="24"/>
              </w:rPr>
              <w:t xml:space="preserve">примесью диоксида кремния более 10%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19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Аллергенное </w:t>
            </w:r>
          </w:p>
          <w:p w:rsidR="002C0F56" w:rsidRDefault="00E67C6E">
            <w:pPr>
              <w:spacing w:after="21" w:line="259" w:lineRule="auto"/>
              <w:ind w:left="2" w:firstLine="0"/>
              <w:jc w:val="left"/>
            </w:pPr>
            <w:r>
              <w:rPr>
                <w:sz w:val="24"/>
              </w:rPr>
              <w:t xml:space="preserve"> </w:t>
            </w:r>
          </w:p>
          <w:p w:rsidR="002C0F56" w:rsidRDefault="00E67C6E">
            <w:pPr>
              <w:spacing w:after="0" w:line="259" w:lineRule="auto"/>
              <w:ind w:left="2" w:firstLine="0"/>
              <w:jc w:val="left"/>
            </w:pPr>
            <w:r>
              <w:rPr>
                <w:sz w:val="24"/>
              </w:rPr>
              <w:t xml:space="preserve">Фиброгенное </w:t>
            </w:r>
          </w:p>
        </w:tc>
        <w:tc>
          <w:tcPr>
            <w:tcW w:w="1604" w:type="dxa"/>
            <w:tcBorders>
              <w:top w:val="single" w:sz="4" w:space="0" w:color="000000"/>
              <w:left w:val="single" w:sz="4" w:space="0" w:color="000000"/>
              <w:bottom w:val="single" w:sz="4" w:space="0" w:color="000000"/>
              <w:right w:val="single" w:sz="4" w:space="0" w:color="000000"/>
            </w:tcBorders>
          </w:tcPr>
          <w:p w:rsidR="002C0F56" w:rsidRDefault="00E67C6E">
            <w:pPr>
              <w:spacing w:after="21" w:line="259" w:lineRule="auto"/>
              <w:ind w:left="2" w:firstLine="0"/>
              <w:jc w:val="left"/>
            </w:pPr>
            <w:r>
              <w:rPr>
                <w:sz w:val="24"/>
              </w:rPr>
              <w:t xml:space="preserve">3.1 </w:t>
            </w:r>
          </w:p>
          <w:p w:rsidR="002C0F56" w:rsidRDefault="00E67C6E">
            <w:pPr>
              <w:spacing w:after="45" w:line="238" w:lineRule="auto"/>
              <w:ind w:left="2" w:right="47" w:firstLine="0"/>
              <w:jc w:val="left"/>
            </w:pPr>
            <w:r>
              <w:rPr>
                <w:sz w:val="24"/>
              </w:rPr>
              <w:t xml:space="preserve">(вредный) 3.1 </w:t>
            </w:r>
          </w:p>
          <w:p w:rsidR="002C0F56" w:rsidRDefault="00E67C6E">
            <w:pPr>
              <w:spacing w:after="0" w:line="259" w:lineRule="auto"/>
              <w:ind w:left="2" w:firstLine="0"/>
              <w:jc w:val="left"/>
            </w:pPr>
            <w:r>
              <w:rPr>
                <w:sz w:val="24"/>
              </w:rPr>
              <w:t xml:space="preserve">(вредный) </w:t>
            </w:r>
          </w:p>
        </w:tc>
        <w:tc>
          <w:tcPr>
            <w:tcW w:w="12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3.1 (вредный) </w:t>
            </w:r>
          </w:p>
        </w:tc>
        <w:tc>
          <w:tcPr>
            <w:tcW w:w="106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 </w:t>
            </w:r>
          </w:p>
        </w:tc>
        <w:tc>
          <w:tcPr>
            <w:tcW w:w="14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 </w:t>
            </w:r>
          </w:p>
        </w:tc>
      </w:tr>
      <w:tr w:rsidR="002C0F56">
        <w:trPr>
          <w:trHeight w:val="2494"/>
        </w:trPr>
        <w:tc>
          <w:tcPr>
            <w:tcW w:w="15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63" w:lineRule="auto"/>
              <w:ind w:left="0" w:firstLine="0"/>
              <w:jc w:val="left"/>
            </w:pPr>
            <w:r>
              <w:rPr>
                <w:sz w:val="24"/>
              </w:rPr>
              <w:lastRenderedPageBreak/>
              <w:t>Пыль растительного происхо-</w:t>
            </w:r>
          </w:p>
          <w:p w:rsidR="002C0F56" w:rsidRDefault="00E67C6E">
            <w:pPr>
              <w:spacing w:after="0" w:line="259" w:lineRule="auto"/>
              <w:ind w:left="0" w:firstLine="0"/>
              <w:jc w:val="left"/>
            </w:pPr>
            <w:r>
              <w:rPr>
                <w:sz w:val="24"/>
              </w:rPr>
              <w:t xml:space="preserve">ждения </w:t>
            </w:r>
            <w:r>
              <w:rPr>
                <w:sz w:val="24"/>
              </w:rPr>
              <w:tab/>
              <w:t xml:space="preserve">с примесью диоксида кремния менее 2%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19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Аллергенное </w:t>
            </w:r>
          </w:p>
          <w:p w:rsidR="002C0F56" w:rsidRDefault="00E67C6E">
            <w:pPr>
              <w:spacing w:after="21" w:line="259" w:lineRule="auto"/>
              <w:ind w:left="2" w:firstLine="0"/>
              <w:jc w:val="left"/>
            </w:pPr>
            <w:r>
              <w:rPr>
                <w:sz w:val="24"/>
              </w:rPr>
              <w:t xml:space="preserve"> </w:t>
            </w:r>
          </w:p>
          <w:p w:rsidR="002C0F56" w:rsidRDefault="00E67C6E">
            <w:pPr>
              <w:spacing w:after="0" w:line="259" w:lineRule="auto"/>
              <w:ind w:left="2" w:firstLine="0"/>
              <w:jc w:val="left"/>
            </w:pPr>
            <w:r>
              <w:rPr>
                <w:sz w:val="24"/>
              </w:rPr>
              <w:t xml:space="preserve">Фиброгенное </w:t>
            </w:r>
          </w:p>
        </w:tc>
        <w:tc>
          <w:tcPr>
            <w:tcW w:w="16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82" w:lineRule="auto"/>
              <w:ind w:left="2" w:firstLine="0"/>
              <w:jc w:val="left"/>
            </w:pPr>
            <w:r>
              <w:rPr>
                <w:sz w:val="24"/>
              </w:rPr>
              <w:t xml:space="preserve">2 </w:t>
            </w:r>
            <w:r>
              <w:rPr>
                <w:sz w:val="24"/>
              </w:rPr>
              <w:tab/>
              <w:t xml:space="preserve">(допустимый) </w:t>
            </w:r>
          </w:p>
          <w:p w:rsidR="002C0F56" w:rsidRDefault="00E67C6E">
            <w:pPr>
              <w:spacing w:after="0" w:line="259" w:lineRule="auto"/>
              <w:ind w:left="2" w:firstLine="0"/>
              <w:jc w:val="left"/>
            </w:pPr>
            <w:r>
              <w:rPr>
                <w:sz w:val="24"/>
              </w:rPr>
              <w:t xml:space="preserve">2 </w:t>
            </w:r>
            <w:r>
              <w:rPr>
                <w:sz w:val="24"/>
              </w:rPr>
              <w:tab/>
              <w:t xml:space="preserve">(допустимый). </w:t>
            </w:r>
          </w:p>
        </w:tc>
        <w:tc>
          <w:tcPr>
            <w:tcW w:w="12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 (допустимый). </w:t>
            </w:r>
          </w:p>
        </w:tc>
        <w:tc>
          <w:tcPr>
            <w:tcW w:w="106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10 </w:t>
            </w:r>
          </w:p>
        </w:tc>
        <w:tc>
          <w:tcPr>
            <w:tcW w:w="14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1,8 </w:t>
            </w:r>
          </w:p>
        </w:tc>
      </w:tr>
      <w:tr w:rsidR="002C0F56">
        <w:trPr>
          <w:trHeight w:val="1114"/>
        </w:trPr>
        <w:tc>
          <w:tcPr>
            <w:tcW w:w="15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Кальций диацетат </w:t>
            </w:r>
          </w:p>
        </w:tc>
        <w:tc>
          <w:tcPr>
            <w:tcW w:w="99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19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Аллергенное </w:t>
            </w:r>
          </w:p>
          <w:p w:rsidR="002C0F56" w:rsidRDefault="00E67C6E">
            <w:pPr>
              <w:spacing w:after="21" w:line="259" w:lineRule="auto"/>
              <w:ind w:left="2" w:firstLine="0"/>
              <w:jc w:val="left"/>
            </w:pPr>
            <w:r>
              <w:rPr>
                <w:sz w:val="24"/>
              </w:rPr>
              <w:t xml:space="preserve"> </w:t>
            </w:r>
          </w:p>
          <w:p w:rsidR="002C0F56" w:rsidRDefault="00E67C6E">
            <w:pPr>
              <w:spacing w:after="0" w:line="259" w:lineRule="auto"/>
              <w:ind w:left="2" w:firstLine="0"/>
              <w:jc w:val="left"/>
            </w:pPr>
            <w:r>
              <w:rPr>
                <w:sz w:val="24"/>
              </w:rPr>
              <w:t xml:space="preserve">Фиброгенное </w:t>
            </w:r>
          </w:p>
        </w:tc>
        <w:tc>
          <w:tcPr>
            <w:tcW w:w="1604" w:type="dxa"/>
            <w:tcBorders>
              <w:top w:val="single" w:sz="4" w:space="0" w:color="000000"/>
              <w:left w:val="single" w:sz="4" w:space="0" w:color="000000"/>
              <w:bottom w:val="single" w:sz="4" w:space="0" w:color="000000"/>
              <w:right w:val="single" w:sz="4" w:space="0" w:color="000000"/>
            </w:tcBorders>
          </w:tcPr>
          <w:p w:rsidR="002C0F56" w:rsidRDefault="00E67C6E">
            <w:pPr>
              <w:spacing w:after="21" w:line="259" w:lineRule="auto"/>
              <w:ind w:left="2" w:firstLine="0"/>
              <w:jc w:val="left"/>
            </w:pPr>
            <w:r>
              <w:rPr>
                <w:sz w:val="24"/>
              </w:rPr>
              <w:t xml:space="preserve">3.1 </w:t>
            </w:r>
          </w:p>
          <w:p w:rsidR="002C0F56" w:rsidRDefault="00E67C6E">
            <w:pPr>
              <w:spacing w:after="45" w:line="238" w:lineRule="auto"/>
              <w:ind w:left="2" w:right="47" w:firstLine="0"/>
              <w:jc w:val="left"/>
            </w:pPr>
            <w:r>
              <w:rPr>
                <w:sz w:val="24"/>
              </w:rPr>
              <w:t xml:space="preserve">(вредный) 3.1 </w:t>
            </w:r>
          </w:p>
          <w:p w:rsidR="002C0F56" w:rsidRDefault="00E67C6E">
            <w:pPr>
              <w:spacing w:after="0" w:line="259" w:lineRule="auto"/>
              <w:ind w:left="2" w:firstLine="0"/>
              <w:jc w:val="left"/>
            </w:pPr>
            <w:r>
              <w:rPr>
                <w:sz w:val="24"/>
              </w:rPr>
              <w:t xml:space="preserve">(вредный) </w:t>
            </w:r>
          </w:p>
        </w:tc>
        <w:tc>
          <w:tcPr>
            <w:tcW w:w="12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3.1 (вредный) </w:t>
            </w:r>
          </w:p>
        </w:tc>
        <w:tc>
          <w:tcPr>
            <w:tcW w:w="106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10 </w:t>
            </w:r>
          </w:p>
        </w:tc>
        <w:tc>
          <w:tcPr>
            <w:tcW w:w="14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12,5 </w:t>
            </w:r>
          </w:p>
        </w:tc>
      </w:tr>
    </w:tbl>
    <w:p w:rsidR="002C0F56" w:rsidRDefault="00E67C6E">
      <w:pPr>
        <w:spacing w:after="9"/>
        <w:ind w:left="165" w:right="874"/>
      </w:pPr>
      <w:r>
        <w:t xml:space="preserve">Кальций диацетат относится к 3 классу опасности, класс условий труда 3.1 (вредный). Содержание кальция диацетата в воздухе превышает в 1,25 раза ПДК. </w:t>
      </w:r>
    </w:p>
    <w:p w:rsidR="002C0F56" w:rsidRDefault="00E67C6E">
      <w:pPr>
        <w:ind w:left="165" w:right="302"/>
      </w:pPr>
      <w:r>
        <w:t>Таким образом, на предприятии следует ввести меры дополнительной защиты от пыли для соблюдения санитарно-</w:t>
      </w:r>
      <w:r>
        <w:t xml:space="preserve">гигиенических норм. </w:t>
      </w:r>
    </w:p>
    <w:p w:rsidR="002C0F56" w:rsidRDefault="00E67C6E">
      <w:pPr>
        <w:spacing w:after="24" w:line="259" w:lineRule="auto"/>
        <w:ind w:left="0" w:right="55" w:firstLine="0"/>
        <w:jc w:val="center"/>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2"/>
        </w:numPr>
        <w:ind w:right="663"/>
      </w:pPr>
      <w:r>
        <w:t xml:space="preserve">Большаков А.М., Новиков И. М. Общая гигиена / А.М. Большаков, И.М. Новиков - М.: Медицина. -  2002. – 384 с. </w:t>
      </w:r>
    </w:p>
    <w:p w:rsidR="002C0F56" w:rsidRDefault="00E67C6E">
      <w:pPr>
        <w:numPr>
          <w:ilvl w:val="0"/>
          <w:numId w:val="12"/>
        </w:numPr>
        <w:ind w:right="663"/>
      </w:pPr>
      <w:r>
        <w:t>ГОСТ 12.1.005–88 ССБТ. Общие санитарно–гигиенические требования к воздуху рабочей зоны. М.: Госстандарт</w:t>
      </w:r>
      <w:r>
        <w:t xml:space="preserve">. - 1988. </w:t>
      </w:r>
    </w:p>
    <w:p w:rsidR="002C0F56" w:rsidRDefault="00E67C6E">
      <w:pPr>
        <w:numPr>
          <w:ilvl w:val="0"/>
          <w:numId w:val="12"/>
        </w:numPr>
        <w:ind w:right="663"/>
      </w:pPr>
      <w:r>
        <w:t xml:space="preserve">ГОСТ 12.1.005-88 (2000) Общие санитарно-гигиенические требования к воздуху рабочей зоны. –М.: Изд-во стандартов. - 2000. Измерение концентраций аэрозолей преимущественно фиброгенного действия: </w:t>
      </w:r>
    </w:p>
    <w:p w:rsidR="002C0F56" w:rsidRDefault="00E67C6E">
      <w:pPr>
        <w:spacing w:after="12"/>
        <w:ind w:left="165" w:right="302" w:firstLine="0"/>
      </w:pPr>
      <w:r>
        <w:t>метод.указания (утв. Минздравом СССР 18.11.1987 № 4</w:t>
      </w:r>
      <w:r>
        <w:t xml:space="preserve">436-87)(2006)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Антоненко Е.Г. </w:t>
      </w:r>
      <w:r>
        <w:rPr>
          <w:b w:val="0"/>
        </w:rPr>
        <w:t xml:space="preserve">Научный руководитель: Куликовская Е.В. </w:t>
      </w:r>
    </w:p>
    <w:p w:rsidR="002C0F56" w:rsidRDefault="00E67C6E">
      <w:pPr>
        <w:spacing w:after="15" w:line="268" w:lineRule="auto"/>
        <w:ind w:left="4153" w:right="172" w:hanging="10"/>
        <w:jc w:val="center"/>
      </w:pPr>
      <w:r>
        <w:rPr>
          <w:i/>
        </w:rPr>
        <w:t xml:space="preserve">Полесский государственный университет </w:t>
      </w:r>
    </w:p>
    <w:p w:rsidR="002C0F56" w:rsidRDefault="00E67C6E">
      <w:pPr>
        <w:spacing w:after="32" w:line="259" w:lineRule="auto"/>
        <w:ind w:left="744" w:firstLine="0"/>
        <w:jc w:val="left"/>
      </w:pPr>
      <w:r>
        <w:rPr>
          <w:b/>
        </w:rPr>
        <w:t xml:space="preserve"> </w:t>
      </w:r>
    </w:p>
    <w:p w:rsidR="002C0F56" w:rsidRDefault="00E67C6E">
      <w:pPr>
        <w:pStyle w:val="1"/>
        <w:spacing w:after="15" w:line="271" w:lineRule="auto"/>
        <w:ind w:left="553" w:right="0"/>
        <w:jc w:val="left"/>
      </w:pPr>
      <w:r>
        <w:t xml:space="preserve">ФИНАНСОВАЯ УСТОЙЧИВОСТЬ ПРЕДПРИЯТИЯ И ЕЕ ОЦЕНКА </w:t>
      </w:r>
    </w:p>
    <w:p w:rsidR="002C0F56" w:rsidRDefault="00E67C6E">
      <w:pPr>
        <w:spacing w:after="25" w:line="259" w:lineRule="auto"/>
        <w:ind w:left="744" w:firstLine="0"/>
        <w:jc w:val="left"/>
      </w:pPr>
      <w:r>
        <w:rPr>
          <w:b/>
        </w:rPr>
        <w:t xml:space="preserve"> </w:t>
      </w:r>
    </w:p>
    <w:p w:rsidR="002C0F56" w:rsidRDefault="00E67C6E">
      <w:pPr>
        <w:ind w:left="165" w:right="871"/>
      </w:pPr>
      <w:r>
        <w:t xml:space="preserve">Финансовая устойчивость – понятие, для которого нет точного определения, в то же время – </w:t>
      </w:r>
      <w:r>
        <w:t xml:space="preserve">это итоговый показатель, который характеризует финансовое состояние хозяйствующего субъекта в целом.  </w:t>
      </w:r>
    </w:p>
    <w:p w:rsidR="002C0F56" w:rsidRDefault="00E67C6E">
      <w:pPr>
        <w:spacing w:after="0"/>
        <w:ind w:left="165" w:right="865"/>
      </w:pPr>
      <w:r>
        <w:t xml:space="preserve">Финансовая устойчивость предприятия является одной из ключевых характеристик финансового состояния, представляя собой наиболее емкий, </w:t>
      </w:r>
      <w:r>
        <w:lastRenderedPageBreak/>
        <w:t>концентрированный п</w:t>
      </w:r>
      <w:r>
        <w:t>оказатель, отражающий степень безопасности вложения средств в это предприятие. Это свойство финансового состояния, которое характеризует финансовую состоятельность предприятия. Управление финансовой устойчивостью является важной задачей менеджмента на всем</w:t>
      </w:r>
      <w:r>
        <w:t xml:space="preserve"> протяжении существования предприятия с целью обеспечить независимость от внешних контрагентов (внешняя финансовая устойчивость — устойчивость отвечать по своим долгам и обязательствам) и рациональность покрытия активов источниками их финансирования (внутр</w:t>
      </w:r>
      <w:r>
        <w:t xml:space="preserve">енняя финансовая устойчивость) [1]. </w:t>
      </w:r>
    </w:p>
    <w:p w:rsidR="002C0F56" w:rsidRDefault="00E67C6E">
      <w:pPr>
        <w:spacing w:after="0"/>
        <w:ind w:left="165" w:right="870"/>
      </w:pPr>
      <w:r>
        <w:t>Степень финансовой устойчивости зависит от целого ряда факторов: положения предприятия на рынке, качества и необходимости выпускаемой продукции, степени зависимости от кредиторов и инвесторов, состояния имущественного п</w:t>
      </w:r>
      <w:r>
        <w:t>отенциала, уровня профессиональной подготовки производственных и финансовых менеджеров и др. Проведение всестороннего анализа влияния факторов на финансовую устойчивость – одна из предпосылок роста прибыли предприятия, выживания в условиях действия конкуре</w:t>
      </w:r>
      <w:r>
        <w:t xml:space="preserve">нции. </w:t>
      </w:r>
    </w:p>
    <w:p w:rsidR="002C0F56" w:rsidRDefault="00E67C6E">
      <w:pPr>
        <w:spacing w:after="0" w:line="259" w:lineRule="auto"/>
        <w:ind w:left="744" w:firstLine="0"/>
        <w:jc w:val="left"/>
      </w:pPr>
      <w:r>
        <w:t xml:space="preserve"> </w:t>
      </w:r>
    </w:p>
    <w:p w:rsidR="002C0F56" w:rsidRDefault="00E67C6E">
      <w:pPr>
        <w:pStyle w:val="4"/>
        <w:ind w:right="691"/>
      </w:pPr>
      <w:r>
        <w:rPr>
          <w:b w:val="0"/>
          <w:i/>
        </w:rPr>
        <w:t>Таблица 1</w:t>
      </w:r>
      <w:r>
        <w:rPr>
          <w:b w:val="0"/>
        </w:rPr>
        <w:t xml:space="preserve"> – </w:t>
      </w:r>
      <w:r>
        <w:t>Основные показатели финансовой устойчивости организации</w:t>
      </w:r>
      <w:r>
        <w:rPr>
          <w:b w:val="0"/>
        </w:rPr>
        <w:t xml:space="preserve"> </w:t>
      </w:r>
    </w:p>
    <w:tbl>
      <w:tblPr>
        <w:tblStyle w:val="TableGrid"/>
        <w:tblW w:w="9172" w:type="dxa"/>
        <w:tblInd w:w="413" w:type="dxa"/>
        <w:tblCellMar>
          <w:top w:w="63" w:type="dxa"/>
          <w:left w:w="120" w:type="dxa"/>
          <w:bottom w:w="0" w:type="dxa"/>
          <w:right w:w="2" w:type="dxa"/>
        </w:tblCellMar>
        <w:tblLook w:val="04A0" w:firstRow="1" w:lastRow="0" w:firstColumn="1" w:lastColumn="0" w:noHBand="0" w:noVBand="1"/>
      </w:tblPr>
      <w:tblGrid>
        <w:gridCol w:w="3404"/>
        <w:gridCol w:w="5768"/>
      </w:tblGrid>
      <w:tr w:rsidR="002C0F56">
        <w:trPr>
          <w:trHeight w:val="290"/>
        </w:trPr>
        <w:tc>
          <w:tcPr>
            <w:tcW w:w="3404"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right="116" w:firstLine="0"/>
              <w:jc w:val="center"/>
            </w:pPr>
            <w:r>
              <w:rPr>
                <w:b/>
                <w:sz w:val="24"/>
              </w:rPr>
              <w:t>Показатель</w:t>
            </w:r>
            <w:r>
              <w:rPr>
                <w:sz w:val="24"/>
              </w:rPr>
              <w:t xml:space="preserve">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9" w:firstLine="0"/>
              <w:jc w:val="left"/>
            </w:pPr>
            <w:r>
              <w:rPr>
                <w:b/>
                <w:sz w:val="24"/>
              </w:rPr>
              <w:t>Описание показателя и его нормативное значение</w:t>
            </w:r>
            <w:r>
              <w:rPr>
                <w:sz w:val="24"/>
              </w:rPr>
              <w:t xml:space="preserve"> </w:t>
            </w:r>
          </w:p>
        </w:tc>
      </w:tr>
      <w:tr w:rsidR="002C0F56">
        <w:trPr>
          <w:trHeight w:val="1394"/>
        </w:trPr>
        <w:tc>
          <w:tcPr>
            <w:tcW w:w="3404"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170" w:firstLine="0"/>
              <w:jc w:val="left"/>
            </w:pPr>
            <w:hyperlink r:id="rId58">
              <w:r>
                <w:rPr>
                  <w:sz w:val="24"/>
                </w:rPr>
                <w:t>Коэффициент автономии</w:t>
              </w:r>
            </w:hyperlink>
            <w:hyperlink r:id="rId59">
              <w:r>
                <w:rPr>
                  <w:sz w:val="24"/>
                </w:rPr>
                <w:t xml:space="preserve"> </w:t>
              </w:r>
            </w:hyperlink>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75" w:lineRule="auto"/>
              <w:ind w:left="2" w:firstLine="170"/>
              <w:jc w:val="left"/>
            </w:pPr>
            <w:r>
              <w:rPr>
                <w:sz w:val="24"/>
              </w:rPr>
              <w:t xml:space="preserve">Отношение собственного капитала к общей сумме капитала.  </w:t>
            </w:r>
          </w:p>
          <w:p w:rsidR="002C0F56" w:rsidRDefault="00E67C6E">
            <w:pPr>
              <w:spacing w:after="0" w:line="259" w:lineRule="auto"/>
              <w:ind w:left="2" w:right="63" w:firstLine="0"/>
            </w:pPr>
            <w:r>
              <w:rPr>
                <w:sz w:val="24"/>
              </w:rPr>
              <w:t>Общепринятое нормальное значение: 0,5 и более (оптимальное 0,6-0,7); однако на</w:t>
            </w:r>
            <w:r>
              <w:rPr>
                <w:sz w:val="24"/>
              </w:rPr>
              <w:t xml:space="preserve"> практике в значительной мере зависит от отрасли. </w:t>
            </w:r>
          </w:p>
        </w:tc>
      </w:tr>
      <w:tr w:rsidR="002C0F56">
        <w:trPr>
          <w:trHeight w:val="569"/>
        </w:trPr>
        <w:tc>
          <w:tcPr>
            <w:tcW w:w="3404"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firstLine="170"/>
              <w:jc w:val="left"/>
            </w:pPr>
            <w:r>
              <w:rPr>
                <w:sz w:val="24"/>
              </w:rPr>
              <w:t xml:space="preserve">Коэффициент </w:t>
            </w:r>
            <w:r>
              <w:rPr>
                <w:sz w:val="24"/>
              </w:rPr>
              <w:tab/>
              <w:t xml:space="preserve">финансового левериджа </w:t>
            </w:r>
          </w:p>
        </w:tc>
        <w:tc>
          <w:tcPr>
            <w:tcW w:w="5768"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173" w:firstLine="0"/>
              <w:jc w:val="left"/>
            </w:pPr>
            <w:r>
              <w:rPr>
                <w:sz w:val="24"/>
              </w:rPr>
              <w:t xml:space="preserve">Отношение заемного капитала к собственному.  </w:t>
            </w:r>
          </w:p>
        </w:tc>
      </w:tr>
      <w:tr w:rsidR="002C0F56">
        <w:trPr>
          <w:trHeight w:val="843"/>
        </w:trPr>
        <w:tc>
          <w:tcPr>
            <w:tcW w:w="3404"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right="64" w:firstLine="170"/>
            </w:pPr>
            <w:hyperlink r:id="rId60">
              <w:r>
                <w:rPr>
                  <w:sz w:val="24"/>
                </w:rPr>
                <w:t xml:space="preserve">Коэффициент </w:t>
              </w:r>
            </w:hyperlink>
            <w:hyperlink r:id="rId61">
              <w:r>
                <w:rPr>
                  <w:sz w:val="24"/>
                </w:rPr>
                <w:t xml:space="preserve">обеспеченности собственными </w:t>
              </w:r>
            </w:hyperlink>
            <w:hyperlink r:id="rId62">
              <w:r>
                <w:rPr>
                  <w:sz w:val="24"/>
                </w:rPr>
                <w:t>оборотными средствами</w:t>
              </w:r>
            </w:hyperlink>
            <w:hyperlink r:id="rId63">
              <w:r>
                <w:rPr>
                  <w:sz w:val="24"/>
                </w:rPr>
                <w:t xml:space="preserve"> </w:t>
              </w:r>
            </w:hyperlink>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5" w:line="274" w:lineRule="auto"/>
              <w:ind w:left="2" w:firstLine="170"/>
              <w:jc w:val="left"/>
            </w:pPr>
            <w:r>
              <w:rPr>
                <w:sz w:val="24"/>
              </w:rPr>
              <w:t xml:space="preserve">Отношение собственного капитала к оборотным активам.  </w:t>
            </w:r>
          </w:p>
          <w:p w:rsidR="002C0F56" w:rsidRDefault="00E67C6E">
            <w:pPr>
              <w:spacing w:after="0" w:line="259" w:lineRule="auto"/>
              <w:ind w:left="2" w:firstLine="0"/>
              <w:jc w:val="left"/>
            </w:pPr>
            <w:r>
              <w:rPr>
                <w:sz w:val="24"/>
              </w:rPr>
              <w:t xml:space="preserve">Нормальное значение: 0,1 и более. </w:t>
            </w:r>
          </w:p>
        </w:tc>
      </w:tr>
      <w:tr w:rsidR="002C0F56">
        <w:trPr>
          <w:trHeight w:val="1118"/>
        </w:trPr>
        <w:tc>
          <w:tcPr>
            <w:tcW w:w="3404" w:type="dxa"/>
            <w:tcBorders>
              <w:top w:val="single" w:sz="6" w:space="0" w:color="000000"/>
              <w:left w:val="single" w:sz="6" w:space="0" w:color="000000"/>
              <w:bottom w:val="single" w:sz="6" w:space="0" w:color="000000"/>
              <w:right w:val="single" w:sz="6" w:space="0" w:color="000000"/>
            </w:tcBorders>
            <w:vAlign w:val="center"/>
          </w:tcPr>
          <w:p w:rsidR="002C0F56" w:rsidRDefault="00E67C6E">
            <w:pPr>
              <w:tabs>
                <w:tab w:val="right" w:pos="3281"/>
              </w:tabs>
              <w:spacing w:after="27" w:line="259" w:lineRule="auto"/>
              <w:ind w:left="0" w:firstLine="0"/>
              <w:jc w:val="left"/>
            </w:pPr>
            <w:r>
              <w:rPr>
                <w:sz w:val="24"/>
              </w:rPr>
              <w:t xml:space="preserve">Коэффициент </w:t>
            </w:r>
            <w:r>
              <w:rPr>
                <w:sz w:val="24"/>
              </w:rPr>
              <w:tab/>
              <w:t xml:space="preserve">покрытия </w:t>
            </w:r>
          </w:p>
          <w:p w:rsidR="002C0F56" w:rsidRDefault="00E67C6E">
            <w:pPr>
              <w:spacing w:after="0" w:line="259" w:lineRule="auto"/>
              <w:ind w:left="0" w:firstLine="0"/>
              <w:jc w:val="left"/>
            </w:pPr>
            <w:r>
              <w:rPr>
                <w:sz w:val="24"/>
              </w:rPr>
              <w:t xml:space="preserve">инвестиций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right="64" w:firstLine="170"/>
            </w:pPr>
            <w:r>
              <w:rPr>
                <w:sz w:val="24"/>
              </w:rPr>
              <w:t xml:space="preserve">Отношение собственного капитала и долгосрочных обязательств к общей сумме капитала.  Нормальное значение для данной отрасли: 0,7 и более. </w:t>
            </w:r>
          </w:p>
        </w:tc>
      </w:tr>
      <w:tr w:rsidR="002C0F56">
        <w:trPr>
          <w:trHeight w:val="566"/>
        </w:trPr>
        <w:tc>
          <w:tcPr>
            <w:tcW w:w="3404"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firstLine="170"/>
            </w:pPr>
            <w:r>
              <w:rPr>
                <w:sz w:val="24"/>
              </w:rPr>
              <w:t xml:space="preserve">Коэффициент маневренности собственного капитала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firstLine="170"/>
            </w:pPr>
            <w:r>
              <w:rPr>
                <w:sz w:val="24"/>
              </w:rPr>
              <w:t>Отношение собственных оборотных средств к источникам собственных ср</w:t>
            </w:r>
            <w:r>
              <w:rPr>
                <w:sz w:val="24"/>
              </w:rPr>
              <w:t xml:space="preserve">едств. </w:t>
            </w:r>
          </w:p>
        </w:tc>
      </w:tr>
      <w:tr w:rsidR="002C0F56">
        <w:trPr>
          <w:trHeight w:val="842"/>
        </w:trPr>
        <w:tc>
          <w:tcPr>
            <w:tcW w:w="3404"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0" w:firstLine="170"/>
              <w:jc w:val="left"/>
            </w:pPr>
            <w:r>
              <w:rPr>
                <w:sz w:val="24"/>
              </w:rPr>
              <w:t xml:space="preserve">Коэффициент </w:t>
            </w:r>
            <w:r>
              <w:rPr>
                <w:sz w:val="24"/>
              </w:rPr>
              <w:tab/>
              <w:t xml:space="preserve">мобильности имущества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right="60" w:firstLine="170"/>
            </w:pPr>
            <w:r>
              <w:rPr>
                <w:sz w:val="24"/>
              </w:rPr>
              <w:t xml:space="preserve">Отношение оборотных средств к стоимости всего имущества. Характеризует отраслевую специфику организации. </w:t>
            </w:r>
          </w:p>
        </w:tc>
      </w:tr>
      <w:tr w:rsidR="002C0F56">
        <w:trPr>
          <w:trHeight w:val="845"/>
        </w:trPr>
        <w:tc>
          <w:tcPr>
            <w:tcW w:w="3404"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0" w:firstLine="170"/>
            </w:pPr>
            <w:r>
              <w:rPr>
                <w:sz w:val="24"/>
              </w:rPr>
              <w:t xml:space="preserve">Коэффициент мобильности оборотных средств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right="64" w:firstLine="170"/>
            </w:pPr>
            <w:r>
              <w:rPr>
                <w:sz w:val="24"/>
              </w:rPr>
              <w:t xml:space="preserve">Отношение наиболее мобильной части оборотных средств (денежных средств и финансовых вложений) к общей стоимости оборотных активов. </w:t>
            </w:r>
          </w:p>
        </w:tc>
      </w:tr>
      <w:tr w:rsidR="002C0F56">
        <w:trPr>
          <w:trHeight w:val="843"/>
        </w:trPr>
        <w:tc>
          <w:tcPr>
            <w:tcW w:w="3404"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0" w:firstLine="170"/>
              <w:jc w:val="left"/>
            </w:pPr>
            <w:r>
              <w:rPr>
                <w:sz w:val="24"/>
              </w:rPr>
              <w:lastRenderedPageBreak/>
              <w:t xml:space="preserve">Коэффициент обеспеченности запасов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1" w:line="278" w:lineRule="auto"/>
              <w:ind w:left="2" w:firstLine="170"/>
            </w:pPr>
            <w:r>
              <w:rPr>
                <w:sz w:val="24"/>
              </w:rPr>
              <w:t>Отношение собственных оборотных средств к величине материально-производственных запасов</w:t>
            </w:r>
            <w:r>
              <w:rPr>
                <w:sz w:val="24"/>
              </w:rPr>
              <w:t xml:space="preserve">.  </w:t>
            </w:r>
          </w:p>
          <w:p w:rsidR="002C0F56" w:rsidRDefault="00E67C6E">
            <w:pPr>
              <w:spacing w:after="0" w:line="259" w:lineRule="auto"/>
              <w:ind w:left="2" w:firstLine="0"/>
              <w:jc w:val="left"/>
            </w:pPr>
            <w:r>
              <w:rPr>
                <w:sz w:val="24"/>
              </w:rPr>
              <w:t xml:space="preserve">Нормальное значение: 0,5 и более. </w:t>
            </w:r>
          </w:p>
        </w:tc>
      </w:tr>
      <w:tr w:rsidR="002C0F56">
        <w:trPr>
          <w:trHeight w:val="566"/>
        </w:trPr>
        <w:tc>
          <w:tcPr>
            <w:tcW w:w="3404"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firstLine="170"/>
              <w:jc w:val="left"/>
            </w:pPr>
            <w:r>
              <w:rPr>
                <w:sz w:val="24"/>
              </w:rPr>
              <w:t xml:space="preserve">Коэффициент краткосрочной задолженности </w:t>
            </w:r>
          </w:p>
        </w:tc>
        <w:tc>
          <w:tcPr>
            <w:tcW w:w="5768"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firstLine="170"/>
            </w:pPr>
            <w:r>
              <w:rPr>
                <w:sz w:val="24"/>
              </w:rPr>
              <w:t xml:space="preserve">Отношение краткосрочной задолженности к общей сумме задолженности. </w:t>
            </w:r>
          </w:p>
        </w:tc>
      </w:tr>
    </w:tbl>
    <w:p w:rsidR="002C0F56" w:rsidRDefault="00E67C6E">
      <w:pPr>
        <w:spacing w:after="5" w:line="271" w:lineRule="auto"/>
        <w:ind w:left="673" w:hanging="10"/>
        <w:jc w:val="left"/>
      </w:pPr>
      <w:r>
        <w:rPr>
          <w:sz w:val="24"/>
        </w:rPr>
        <w:t xml:space="preserve">Источник [2]. </w:t>
      </w:r>
    </w:p>
    <w:p w:rsidR="002C0F56" w:rsidRDefault="00E67C6E">
      <w:pPr>
        <w:spacing w:after="0" w:line="259" w:lineRule="auto"/>
        <w:ind w:left="744" w:firstLine="0"/>
        <w:jc w:val="left"/>
      </w:pPr>
      <w:r>
        <w:t xml:space="preserve"> </w:t>
      </w:r>
    </w:p>
    <w:p w:rsidR="002C0F56" w:rsidRDefault="00E67C6E">
      <w:pPr>
        <w:spacing w:after="2"/>
        <w:ind w:left="165" w:right="868"/>
      </w:pPr>
      <w:r>
        <w:t xml:space="preserve">Единых нормативных критериев для рассмотренных показателей не существует. </w:t>
      </w:r>
      <w:r>
        <w:t>Они зависят от многих факторов: отраслевой принадлежности предприятия, принципов кредитования, сложившейся структуры источников средств, оборачиваемости оборотных средств, репутации организации и другие. Поэтому приемлемость значений этих коэффициентов, оц</w:t>
      </w:r>
      <w:r>
        <w:t xml:space="preserve">енка их динамики и направлений изменения могут быть установлены только в результате сопоставления по группам. </w:t>
      </w:r>
    </w:p>
    <w:p w:rsidR="002C0F56" w:rsidRDefault="00E67C6E">
      <w:pPr>
        <w:spacing w:after="0"/>
        <w:ind w:left="165" w:right="871"/>
      </w:pPr>
      <w:r>
        <w:t>Основным показателем, влияющим на финансовую устойчивость организации, является доля заёмных средств. Обычно считается, что, если заёмные средств</w:t>
      </w:r>
      <w:r>
        <w:t xml:space="preserve">а составляют более половины средств компании, то это не очень хороший признак для финансовой устойчивости, для различных отраслей нормальная доля заёмных средств может колебаться: для торговых компаний с большими оборотами она значительно выше. </w:t>
      </w:r>
    </w:p>
    <w:p w:rsidR="002C0F56" w:rsidRDefault="00E67C6E">
      <w:pPr>
        <w:spacing w:after="2"/>
        <w:ind w:left="165" w:right="871"/>
      </w:pPr>
      <w:r>
        <w:t>Кроме прив</w:t>
      </w:r>
      <w:r>
        <w:t xml:space="preserve">еденных выше коэффициентов, финансовую устойчивость предприятия отражает ликвидность его активов в сравнении с обязательствами по срокам погашения: коэффициент текущей ликвидности и коэффициент быстрой ликвидности [2]. </w:t>
      </w:r>
    </w:p>
    <w:p w:rsidR="002C0F56" w:rsidRDefault="00E67C6E">
      <w:pPr>
        <w:ind w:left="165" w:right="869"/>
      </w:pPr>
      <w:r>
        <w:t>Однако, несмотря на многообразие мет</w:t>
      </w:r>
      <w:r>
        <w:t xml:space="preserve">одов, анализ финансовой устойчивости предприятия – сложный и трудоемкий процесс, требующий высокой квалификации финансовых работников предприятия, учета огромного количества факторов и оценку их влияния в общей совокупности. </w:t>
      </w:r>
    </w:p>
    <w:p w:rsidR="002C0F56" w:rsidRDefault="00E67C6E">
      <w:pPr>
        <w:spacing w:after="0"/>
        <w:ind w:left="165" w:right="871"/>
      </w:pPr>
      <w:r>
        <w:t>Серьезное влияние на успех фин</w:t>
      </w:r>
      <w:r>
        <w:t xml:space="preserve">ансовой и производственной деятельности оказывает профессионализм работников предприятия различного уровня, однако, к сожалению, учесть влияние таких факторов на финансовую устойчивость в количественном выражении на данном этапе развития невозможно. </w:t>
      </w:r>
    </w:p>
    <w:p w:rsidR="002C0F56" w:rsidRDefault="00E67C6E">
      <w:pPr>
        <w:spacing w:after="0"/>
        <w:ind w:left="165" w:right="865"/>
      </w:pPr>
      <w:r>
        <w:t>Важно</w:t>
      </w:r>
      <w:r>
        <w:t xml:space="preserve"> правильно управлять не только кредиторской, но и дебиторской задолженностью организации. Нельзя допускать ситуации неоплаты или несвоевременной оплаты проданных товаров или услуг, иначе это может привести к понижению платежеспособности организации. Немало</w:t>
      </w:r>
      <w:r>
        <w:t xml:space="preserve">важным шагом, способным повысить финансовую устойчивость организации является увеличение объема собственного капитала и создание денежного резерва. Этого </w:t>
      </w:r>
      <w:r>
        <w:lastRenderedPageBreak/>
        <w:t>можно добиться с помощью выпуска ценных бумаг или реинвестирования поступающей прибыли. Создание резер</w:t>
      </w:r>
      <w:r>
        <w:t xml:space="preserve">ва по сомнительным долгам также поможет повысить финансовую устойчивость предприятия. </w:t>
      </w:r>
    </w:p>
    <w:p w:rsidR="002C0F56" w:rsidRDefault="00E67C6E">
      <w:pPr>
        <w:spacing w:after="0"/>
        <w:ind w:left="165" w:right="868"/>
      </w:pPr>
      <w:r>
        <w:t>Таким образом, финансовая устойчивость предприятия является одной из ключевых характеристик финансового состояния. Уровень финансовой устойчивости зависит от ряда фактор</w:t>
      </w:r>
      <w:r>
        <w:t>ов, анализ влияния которых является предпосылкой роста прибыли. Немаловажную роль в финансовой и производственной деятельности играет профессионализм работников. Повысить финансовую устойчивость организации можно с помощью осуществления контроля над дебито</w:t>
      </w:r>
      <w:r>
        <w:t xml:space="preserve">рской задолженностью, увеличения собственного капитала и создания резервов по сомнительным долгам.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3"/>
        </w:numPr>
        <w:ind w:right="865"/>
      </w:pPr>
      <w:r>
        <w:t>Финансовая устойчивость предприятия и ее оценка для предупреждения его банкротства / Финансовый анализ [Электронный ресурс]. – 2017. –</w:t>
      </w:r>
      <w:r>
        <w:t xml:space="preserve"> Режим доступа: </w:t>
      </w:r>
      <w:hyperlink r:id="rId64">
        <w:r>
          <w:t>http://1fin.ru/?id=410</w:t>
        </w:r>
      </w:hyperlink>
      <w:hyperlink r:id="rId65">
        <w:r>
          <w:t>.</w:t>
        </w:r>
      </w:hyperlink>
      <w:r>
        <w:t xml:space="preserve"> – Дата доступа: 10.04.2017. </w:t>
      </w:r>
    </w:p>
    <w:p w:rsidR="002C0F56" w:rsidRDefault="00E67C6E">
      <w:pPr>
        <w:numPr>
          <w:ilvl w:val="0"/>
          <w:numId w:val="13"/>
        </w:numPr>
        <w:spacing w:after="14"/>
        <w:ind w:right="865"/>
      </w:pPr>
      <w:r>
        <w:t>Анализ финансовой устойчивости / Финансовый анализ по данным отчетности [Электронный ресурс]. – 2017. –</w:t>
      </w:r>
      <w:r>
        <w:t xml:space="preserve"> Режим доступа: </w:t>
      </w:r>
      <w:hyperlink r:id="rId66">
        <w:r>
          <w:t>https://www.audit</w:t>
        </w:r>
      </w:hyperlink>
      <w:hyperlink r:id="rId67"/>
      <w:hyperlink r:id="rId68">
        <w:r>
          <w:t>it.ru/finanaliz/</w:t>
        </w:r>
        <w:r>
          <w:t>terms/solvency/.</w:t>
        </w:r>
      </w:hyperlink>
      <w:r>
        <w:t xml:space="preserve"> Дата доступа: 10.04.2017.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pStyle w:val="1"/>
        <w:spacing w:after="25" w:line="259" w:lineRule="auto"/>
        <w:ind w:right="856"/>
        <w:jc w:val="right"/>
      </w:pPr>
      <w:r>
        <w:t xml:space="preserve">Астукевич Э.В., Якубовская Н.Д. </w:t>
      </w:r>
      <w:r>
        <w:rPr>
          <w:b w:val="0"/>
        </w:rPr>
        <w:t xml:space="preserve">Научный руководитель: Климченя Л.С., к. э. н., доц. </w:t>
      </w:r>
    </w:p>
    <w:p w:rsidR="002C0F56" w:rsidRDefault="00E67C6E">
      <w:pPr>
        <w:spacing w:after="0" w:line="267" w:lineRule="auto"/>
        <w:ind w:left="905" w:right="860" w:hanging="10"/>
        <w:jc w:val="right"/>
      </w:pPr>
      <w:r>
        <w:rPr>
          <w:i/>
        </w:rPr>
        <w:t xml:space="preserve">Белорусский государственный экономический университет </w:t>
      </w:r>
    </w:p>
    <w:p w:rsidR="002C0F56" w:rsidRDefault="00E67C6E">
      <w:pPr>
        <w:spacing w:after="0" w:line="259" w:lineRule="auto"/>
        <w:ind w:left="744" w:firstLine="0"/>
        <w:jc w:val="left"/>
      </w:pPr>
      <w:r>
        <w:rPr>
          <w:b/>
          <w:i/>
        </w:rPr>
        <w:t xml:space="preserve"> </w:t>
      </w:r>
    </w:p>
    <w:p w:rsidR="002C0F56" w:rsidRDefault="00E67C6E">
      <w:pPr>
        <w:pStyle w:val="1"/>
        <w:ind w:left="700" w:right="1380"/>
      </w:pPr>
      <w:r>
        <w:t xml:space="preserve">МОНИТОРИНГ ЦЕНОВОЙ СИТУАЦИИ НА РЫНКЕ ЖИЛОЙ НЕДВИЖИМОСТИ </w:t>
      </w:r>
    </w:p>
    <w:p w:rsidR="002C0F56" w:rsidRDefault="00E67C6E">
      <w:pPr>
        <w:spacing w:after="0" w:line="259" w:lineRule="auto"/>
        <w:ind w:left="744" w:firstLine="0"/>
        <w:jc w:val="left"/>
      </w:pPr>
      <w:r>
        <w:t xml:space="preserve"> </w:t>
      </w:r>
    </w:p>
    <w:p w:rsidR="002C0F56" w:rsidRDefault="00E67C6E">
      <w:pPr>
        <w:spacing w:after="0"/>
        <w:ind w:left="165" w:right="872"/>
      </w:pPr>
      <w:r>
        <w:t>В условиях развития рыночных отношений на рынке недвижимости цена является основной экономической категорией. Рынок недвижимости в Республике Беларусь является одним из наиболее активно и динамично развивающихся. Поэтому существует необходимость в постоянн</w:t>
      </w:r>
      <w:r>
        <w:t xml:space="preserve">ом мониторинге и анализе динамики цен на рынке недвижимости. </w:t>
      </w:r>
    </w:p>
    <w:p w:rsidR="002C0F56" w:rsidRDefault="00E67C6E">
      <w:pPr>
        <w:ind w:left="165" w:right="877"/>
      </w:pPr>
      <w:r>
        <w:t xml:space="preserve">Целью работы данной является прогнозирование динамики цен на жилую недвижимость в городе Минске. На основании цели были поставлены следующие задачи: </w:t>
      </w:r>
    </w:p>
    <w:p w:rsidR="002C0F56" w:rsidRDefault="00E67C6E">
      <w:pPr>
        <w:numPr>
          <w:ilvl w:val="0"/>
          <w:numId w:val="14"/>
        </w:numPr>
        <w:ind w:right="302"/>
      </w:pPr>
      <w:r>
        <w:lastRenderedPageBreak/>
        <w:t xml:space="preserve">Изучение уровня цен на жилую недвижимость в </w:t>
      </w:r>
      <w:r>
        <w:t xml:space="preserve">городе Минске за период с ноября 2006 по март 2017 года; </w:t>
      </w:r>
    </w:p>
    <w:p w:rsidR="002C0F56" w:rsidRDefault="00E67C6E">
      <w:pPr>
        <w:numPr>
          <w:ilvl w:val="0"/>
          <w:numId w:val="14"/>
        </w:numPr>
        <w:ind w:right="302"/>
      </w:pPr>
      <w:r>
        <w:t xml:space="preserve">Выявление факторов, влияющих на снижение цен на рынке недвижимости. </w:t>
      </w:r>
    </w:p>
    <w:p w:rsidR="002C0F56" w:rsidRDefault="00E67C6E">
      <w:pPr>
        <w:ind w:left="165" w:right="868"/>
      </w:pPr>
      <w:r>
        <w:t>На данный момент в Республике Беларусь наблюдается упадок цен на недвижимое имущество. В марте 2017 года цены на жилую недвижимос</w:t>
      </w:r>
      <w:r>
        <w:t>ть в г. Минске достигли минимума, который наблюдается впервые с ноября 2006 года,-$1 116 за м</w:t>
      </w:r>
      <w:r>
        <w:rPr>
          <w:vertAlign w:val="superscript"/>
        </w:rPr>
        <w:t>2</w:t>
      </w:r>
      <w:r>
        <w:t>. Количество продавцов на рынке уверенно превышает число покупателей. Уровень цен на квартиры в городе Минске в ноябре 2006 года на протяжении нескольких недель был сопоставим с текущим. По состоянию на март 2017 наблюдаются только небольшие колебания на ф</w:t>
      </w:r>
      <w:r>
        <w:t xml:space="preserve">оне общего негативного тренда, когда 2006 год характеризовался ростом цен на жилую недвижимость [1]. </w:t>
      </w:r>
    </w:p>
    <w:p w:rsidR="002C0F56" w:rsidRDefault="00E67C6E">
      <w:pPr>
        <w:spacing w:after="0"/>
        <w:ind w:left="165" w:right="866"/>
      </w:pPr>
      <w:r>
        <w:t>В течение данного периода наблюдается резкий подъем цен в 2006-2007 годах, затем достаточно резкое падение с ноября 2008 до июля 2012 года, когда минималь</w:t>
      </w:r>
      <w:r>
        <w:t>ная цена за метр квадратный составила $1 281, что на порядок выше минимума 2006 года. Период до октября 2013 года характеризуется ростом цены на недвижимое имущество до $1 841 за метр квадратный. В течение последних четырех лет рынок определяется стабильны</w:t>
      </w:r>
      <w:r>
        <w:t xml:space="preserve">м падением цен (Рис. 1). </w:t>
      </w:r>
    </w:p>
    <w:p w:rsidR="002C0F56" w:rsidRDefault="00E67C6E">
      <w:pPr>
        <w:spacing w:after="0" w:line="259" w:lineRule="auto"/>
        <w:ind w:left="0" w:right="1380" w:firstLine="0"/>
        <w:jc w:val="right"/>
      </w:pPr>
      <w:r>
        <w:rPr>
          <w:noProof/>
        </w:rPr>
        <w:drawing>
          <wp:inline distT="0" distB="0" distL="0" distR="0">
            <wp:extent cx="5021580" cy="1796415"/>
            <wp:effectExtent l="0" t="0" r="0" b="0"/>
            <wp:docPr id="6073" name="Picture 6073"/>
            <wp:cNvGraphicFramePr/>
            <a:graphic xmlns:a="http://schemas.openxmlformats.org/drawingml/2006/main">
              <a:graphicData uri="http://schemas.openxmlformats.org/drawingml/2006/picture">
                <pic:pic xmlns:pic="http://schemas.openxmlformats.org/drawingml/2006/picture">
                  <pic:nvPicPr>
                    <pic:cNvPr id="6073" name="Picture 6073"/>
                    <pic:cNvPicPr/>
                  </pic:nvPicPr>
                  <pic:blipFill>
                    <a:blip r:embed="rId69"/>
                    <a:stretch>
                      <a:fillRect/>
                    </a:stretch>
                  </pic:blipFill>
                  <pic:spPr>
                    <a:xfrm>
                      <a:off x="0" y="0"/>
                      <a:ext cx="5021580" cy="1796415"/>
                    </a:xfrm>
                    <a:prstGeom prst="rect">
                      <a:avLst/>
                    </a:prstGeom>
                  </pic:spPr>
                </pic:pic>
              </a:graphicData>
            </a:graphic>
          </wp:inline>
        </w:drawing>
      </w:r>
      <w:r>
        <w:t xml:space="preserve"> </w:t>
      </w:r>
    </w:p>
    <w:p w:rsidR="002C0F56" w:rsidRDefault="00E67C6E">
      <w:pPr>
        <w:spacing w:after="5" w:line="270" w:lineRule="auto"/>
        <w:ind w:left="10" w:right="652" w:hanging="10"/>
        <w:jc w:val="center"/>
      </w:pPr>
      <w:r>
        <w:rPr>
          <w:b/>
          <w:sz w:val="24"/>
        </w:rPr>
        <w:t xml:space="preserve">Рис. 1. Динамика цен на недвижимость в Минске с ноября 2006 по март 2017 гг. </w:t>
      </w:r>
    </w:p>
    <w:p w:rsidR="002C0F56" w:rsidRDefault="00E67C6E">
      <w:pPr>
        <w:ind w:left="165" w:right="864"/>
      </w:pPr>
      <w:r>
        <w:t>Все кризисные проявления, которые имели место на рынке жилой недвижимости в 2016 году, остаются и в 2017-</w:t>
      </w:r>
      <w:r>
        <w:t xml:space="preserve">м. На рынке сложилась беспрецедентная для последних лет ситуация: на 1 проданную квартиру приходится 17 выставленных на продажу [2]. </w:t>
      </w:r>
    </w:p>
    <w:p w:rsidR="002C0F56" w:rsidRDefault="00E67C6E">
      <w:pPr>
        <w:spacing w:after="10"/>
        <w:ind w:left="165" w:right="868"/>
      </w:pPr>
      <w:r>
        <w:t xml:space="preserve">Стоимость недвижимости подвержена влиянию большого количества разнообразных факторов. Мировая практика выделяет следующие </w:t>
      </w:r>
      <w:r>
        <w:t xml:space="preserve">группы факторов, существенно влияющих на стоимость недвижимости: </w:t>
      </w:r>
    </w:p>
    <w:p w:rsidR="002C0F56" w:rsidRDefault="00E67C6E">
      <w:pPr>
        <w:ind w:left="165" w:right="302"/>
      </w:pPr>
      <w:r>
        <w:t xml:space="preserve">1.Физические (обусловленные местоположением; характеристиками земельного участка; зданий и сооружений); </w:t>
      </w:r>
    </w:p>
    <w:p w:rsidR="002C0F56" w:rsidRDefault="00E67C6E">
      <w:pPr>
        <w:spacing w:after="0"/>
        <w:ind w:left="165" w:right="871"/>
      </w:pPr>
      <w:r>
        <w:t>2.Экономические (с учетом состояния мировой экономики; экономической ситуации в стран</w:t>
      </w:r>
      <w:r>
        <w:t xml:space="preserve">е, регионе, на местном уровне; финансового состояния </w:t>
      </w:r>
      <w:r>
        <w:lastRenderedPageBreak/>
        <w:t>предприятий; уровнем занятости; величиной заработной платы и доходов; платежеспособностью; наличием источников финансирования; ставкой процента и аренды; издержками при формировании продаж; площадью прод</w:t>
      </w:r>
      <w:r>
        <w:t xml:space="preserve">аваемой земли; числа объектов, выставленных на продажу; затрат на СМР; финансирования, налогов); </w:t>
      </w:r>
    </w:p>
    <w:p w:rsidR="002C0F56" w:rsidRDefault="00E67C6E">
      <w:pPr>
        <w:ind w:left="165" w:right="302"/>
      </w:pPr>
      <w:r>
        <w:t xml:space="preserve">3.Социальные (базовые потребности в приобретении земли, объектов недвижимости, предприятий, в варианте землепользования); </w:t>
      </w:r>
    </w:p>
    <w:p w:rsidR="002C0F56" w:rsidRDefault="00E67C6E">
      <w:pPr>
        <w:spacing w:after="0"/>
        <w:ind w:left="165" w:right="871"/>
      </w:pPr>
      <w:r>
        <w:t xml:space="preserve">4.Политические, административные и </w:t>
      </w:r>
      <w:r>
        <w:t>юридические (налоговая, финансовая политика; предоставление разного рода льгот; контроль землепользования, ставок арендной платы; зонирование: запретительное, ограничительное или либеральное; строительные нормы и правила: ограничительные или либеральные; у</w:t>
      </w:r>
      <w:r>
        <w:t xml:space="preserve">слуги муниципальных служб: дороги, благоустройство транспорт, школы, охрана здоровья и т.д.; правовые нормы и правила) [3]. </w:t>
      </w:r>
    </w:p>
    <w:p w:rsidR="002C0F56" w:rsidRDefault="00E67C6E">
      <w:pPr>
        <w:ind w:left="165" w:right="302"/>
      </w:pPr>
      <w:r>
        <w:t xml:space="preserve">На резкое снижение цен на недвижимость в нашей стране повлиял следующий ряд факторов: </w:t>
      </w:r>
    </w:p>
    <w:p w:rsidR="002C0F56" w:rsidRDefault="00E67C6E">
      <w:pPr>
        <w:ind w:left="165" w:right="302"/>
      </w:pPr>
      <w:r>
        <w:t xml:space="preserve">-кризис в экономике и, как следствие этого, </w:t>
      </w:r>
      <w:r>
        <w:t xml:space="preserve">резкое падение доходов населения(в 2016 году доходы снизились на 1,4%) [4]; </w:t>
      </w:r>
    </w:p>
    <w:p w:rsidR="002C0F56" w:rsidRDefault="00E67C6E">
      <w:pPr>
        <w:ind w:left="744" w:right="302" w:firstLine="0"/>
      </w:pPr>
      <w:r>
        <w:t xml:space="preserve">-сокращение платежеспособного спроса на недвижимость; </w:t>
      </w:r>
    </w:p>
    <w:p w:rsidR="002C0F56" w:rsidRDefault="00E67C6E">
      <w:pPr>
        <w:ind w:left="165" w:right="302"/>
      </w:pPr>
      <w:r>
        <w:t xml:space="preserve">-ухудшение условий кредитования строительства и покупки жилья, сворачивание льготных программ приобретения жилья [3]. </w:t>
      </w:r>
    </w:p>
    <w:p w:rsidR="002C0F56" w:rsidRDefault="00E67C6E">
      <w:pPr>
        <w:spacing w:after="6"/>
        <w:ind w:left="165" w:right="871"/>
      </w:pPr>
      <w:r>
        <w:t>Как п</w:t>
      </w:r>
      <w:r>
        <w:t>оказывает проведенное исследование, в изменении цен на жилье в период с ноября 2006 по март 2017 гг. наблюдается цикличность. Для стабилизации ситуации на рынке недвижимости Республики Беларусь потребуется определенный период времени и положительное влияни</w:t>
      </w:r>
      <w:r>
        <w:t xml:space="preserve">е макроэкономических факторов, к которым можно отнести увеличение доходов населения, обеспечение доступа жилищного кредитования и др. </w:t>
      </w:r>
    </w:p>
    <w:p w:rsidR="002C0F56" w:rsidRDefault="00E67C6E">
      <w:pPr>
        <w:ind w:left="165" w:right="866"/>
      </w:pPr>
      <w:r>
        <w:t>Учитывая все вышеперечисленное, мы можем отметить, что в 2017 году возможно дальнейшее падение цен на жилье, однако уже в</w:t>
      </w:r>
      <w:r>
        <w:t xml:space="preserve"> 2018-2019 годах ожидается стабилизация цен. И с 2020 года, по мнению экспертов в данной сфере, в динамике должен будет наблюдаться подъем. </w:t>
      </w:r>
    </w:p>
    <w:p w:rsidR="002C0F56" w:rsidRDefault="00E67C6E">
      <w:pPr>
        <w:spacing w:after="0"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165" w:right="867"/>
      </w:pPr>
      <w:r>
        <w:t xml:space="preserve">1. «Цены на недвижимость уже на уровне ноября 2006 года» [Электронный ресурс].- </w:t>
      </w:r>
      <w:r>
        <w:t xml:space="preserve">Режим доступа: https://realt.by/news/monitoring/article/19176/ -Дата доступа: 21.03.2017  2. «Цены продолжают падать» [Электронный ресурс].- Режим доступа: </w:t>
      </w:r>
    </w:p>
    <w:p w:rsidR="002C0F56" w:rsidRDefault="00E67C6E">
      <w:pPr>
        <w:spacing w:after="12"/>
        <w:ind w:left="165" w:right="302" w:firstLine="0"/>
      </w:pPr>
      <w:r>
        <w:t xml:space="preserve">http://realty.tut.by/news/money/485288.html- Дата доступа: 26.02.2017   </w:t>
      </w:r>
    </w:p>
    <w:p w:rsidR="002C0F56" w:rsidRDefault="00E67C6E">
      <w:pPr>
        <w:numPr>
          <w:ilvl w:val="0"/>
          <w:numId w:val="15"/>
        </w:numPr>
        <w:spacing w:after="10"/>
        <w:ind w:right="865"/>
      </w:pPr>
      <w:r>
        <w:t xml:space="preserve">Якубовская Н.Д., Ставская </w:t>
      </w:r>
      <w:r>
        <w:t xml:space="preserve">К.И. Оценка ценовых факторов на рынке недвижимости Республики Беларусь// Современный механизм </w:t>
      </w:r>
      <w:r>
        <w:lastRenderedPageBreak/>
        <w:t xml:space="preserve">функционирования торгового бизнеса и туристической индустрии в Республике Беларусь: реальность и перспективы: тез. докл. Республиканской науч-практ. конф.(Минск, </w:t>
      </w:r>
      <w:r>
        <w:t xml:space="preserve">10-11 марта 2016 г.). - Минск: БГЭУ, 2016. — С. 243 </w:t>
      </w:r>
    </w:p>
    <w:p w:rsidR="002C0F56" w:rsidRDefault="00E67C6E">
      <w:pPr>
        <w:numPr>
          <w:ilvl w:val="0"/>
          <w:numId w:val="15"/>
        </w:numPr>
        <w:ind w:right="865"/>
      </w:pPr>
      <w:r>
        <w:t xml:space="preserve">«Национальный статистический комитет Республики Беларусь» [Электронный ресурс].- Режим доступа: http://www.belstat.gov.by/- Дата доступа: 26.02.2017 </w:t>
      </w:r>
    </w:p>
    <w:p w:rsidR="002C0F56" w:rsidRDefault="00E67C6E">
      <w:pPr>
        <w:spacing w:after="0" w:line="259" w:lineRule="auto"/>
        <w:ind w:left="744" w:firstLine="0"/>
        <w:jc w:val="left"/>
      </w:pPr>
      <w:r>
        <w:t xml:space="preserve"> </w:t>
      </w:r>
    </w:p>
    <w:p w:rsidR="002C0F56" w:rsidRDefault="00E67C6E">
      <w:pPr>
        <w:spacing w:after="14" w:line="259" w:lineRule="auto"/>
        <w:ind w:left="744" w:firstLine="0"/>
        <w:jc w:val="left"/>
      </w:pPr>
      <w:r>
        <w:t xml:space="preserve"> </w:t>
      </w:r>
    </w:p>
    <w:p w:rsidR="002C0F56" w:rsidRDefault="00E67C6E">
      <w:pPr>
        <w:pStyle w:val="1"/>
        <w:spacing w:line="269" w:lineRule="auto"/>
        <w:ind w:left="744" w:right="0" w:firstLine="1546"/>
        <w:jc w:val="left"/>
      </w:pPr>
      <w:r>
        <w:rPr>
          <w:rFonts w:ascii="Calibri" w:eastAsia="Calibri" w:hAnsi="Calibri" w:cs="Calibri"/>
          <w:color w:val="345A8A"/>
        </w:rPr>
        <w:t xml:space="preserve">                                                 </w:t>
      </w:r>
      <w:r>
        <w:rPr>
          <w:rFonts w:ascii="Calibri" w:eastAsia="Calibri" w:hAnsi="Calibri" w:cs="Calibri"/>
          <w:color w:val="345A8A"/>
        </w:rPr>
        <w:t xml:space="preserve">                                              </w:t>
      </w:r>
      <w:r>
        <w:t xml:space="preserve">Байдюк Е.В </w:t>
      </w:r>
      <w:r>
        <w:rPr>
          <w:rFonts w:ascii="Calibri" w:eastAsia="Calibri" w:hAnsi="Calibri" w:cs="Calibri"/>
          <w:color w:val="345A8A"/>
        </w:rPr>
        <w:t xml:space="preserve">                                                         </w:t>
      </w:r>
      <w:r>
        <w:rPr>
          <w:b w:val="0"/>
        </w:rPr>
        <w:t xml:space="preserve">Научный руководитель: Бордачев В.С. </w:t>
      </w:r>
    </w:p>
    <w:p w:rsidR="002C0F56" w:rsidRDefault="00E67C6E">
      <w:pPr>
        <w:spacing w:after="5" w:line="269" w:lineRule="auto"/>
        <w:ind w:left="744" w:firstLine="1546"/>
        <w:jc w:val="left"/>
      </w:pPr>
      <w:r>
        <w:rPr>
          <w:i/>
        </w:rPr>
        <w:t xml:space="preserve">                                            Макеевский экономико-гуманитарный институт </w:t>
      </w:r>
    </w:p>
    <w:p w:rsidR="002C0F56" w:rsidRDefault="00E67C6E">
      <w:pPr>
        <w:spacing w:after="29" w:line="259" w:lineRule="auto"/>
        <w:ind w:left="744" w:firstLine="0"/>
        <w:jc w:val="left"/>
      </w:pPr>
      <w:r>
        <w:rPr>
          <w:i/>
        </w:rPr>
        <w:t xml:space="preserve"> </w:t>
      </w:r>
    </w:p>
    <w:p w:rsidR="002C0F56" w:rsidRDefault="00E67C6E">
      <w:pPr>
        <w:pStyle w:val="1"/>
        <w:ind w:left="700" w:right="1377"/>
      </w:pPr>
      <w:r>
        <w:t xml:space="preserve">СПОРТИВНАЯ ГИМНАСТИКА </w:t>
      </w:r>
    </w:p>
    <w:p w:rsidR="002C0F56" w:rsidRDefault="00E67C6E">
      <w:pPr>
        <w:spacing w:after="25" w:line="259" w:lineRule="auto"/>
        <w:ind w:left="744" w:firstLine="0"/>
        <w:jc w:val="left"/>
      </w:pPr>
      <w:r>
        <w:rPr>
          <w:b/>
        </w:rPr>
        <w:t xml:space="preserve"> </w:t>
      </w:r>
    </w:p>
    <w:p w:rsidR="002C0F56" w:rsidRDefault="00E67C6E">
      <w:pPr>
        <w:ind w:left="165" w:right="866"/>
      </w:pPr>
      <w:r>
        <w:t>Спортивная гимнастика — вид спорта, включающий соревнования по гимнастическому многоборью среди мужчин и женщин. В программу гимнастического многоборья у мужчин входят вольные упражнения, опорные прыжки и упражнения на снарядах (пе</w:t>
      </w:r>
      <w:r>
        <w:t>рекладина, параллельные</w:t>
      </w:r>
      <w:hyperlink r:id="rId70">
        <w:r>
          <w:t xml:space="preserve"> </w:t>
        </w:r>
      </w:hyperlink>
      <w:hyperlink r:id="rId71">
        <w:r>
          <w:t>брусья</w:t>
        </w:r>
      </w:hyperlink>
      <w:hyperlink r:id="rId72">
        <w:r>
          <w:t>,</w:t>
        </w:r>
      </w:hyperlink>
      <w:hyperlink r:id="rId73">
        <w:r>
          <w:t xml:space="preserve"> </w:t>
        </w:r>
      </w:hyperlink>
      <w:hyperlink r:id="rId74">
        <w:r>
          <w:t>кольца</w:t>
        </w:r>
      </w:hyperlink>
      <w:hyperlink r:id="rId75">
        <w:r>
          <w:t>,</w:t>
        </w:r>
      </w:hyperlink>
      <w:hyperlink r:id="rId76">
        <w:r>
          <w:t xml:space="preserve"> </w:t>
        </w:r>
      </w:hyperlink>
      <w:hyperlink r:id="rId77">
        <w:r>
          <w:t>конь.</w:t>
        </w:r>
      </w:hyperlink>
      <w:r>
        <w:t xml:space="preserve"> У женщин — вольные упраж</w:t>
      </w:r>
      <w:r>
        <w:t>нения; опорные прыжки, разновысокие брусья и</w:t>
      </w:r>
      <w:hyperlink r:id="rId78">
        <w:r>
          <w:t xml:space="preserve"> </w:t>
        </w:r>
      </w:hyperlink>
      <w:hyperlink r:id="rId79">
        <w:r>
          <w:t>бревно</w:t>
        </w:r>
      </w:hyperlink>
      <w:hyperlink r:id="rId80">
        <w:r>
          <w:t>.</w:t>
        </w:r>
      </w:hyperlink>
      <w:r>
        <w:rPr>
          <w:b/>
        </w:rPr>
        <w:t xml:space="preserve"> </w:t>
      </w:r>
    </w:p>
    <w:p w:rsidR="002C0F56" w:rsidRDefault="00E67C6E">
      <w:pPr>
        <w:spacing w:after="2"/>
        <w:ind w:left="165" w:right="869"/>
      </w:pPr>
      <w:r>
        <w:t>Гимнастика — от греческого «гимнос» — обнаженный. Древние греки выполняли гимнастические упражнения обнаженными. Под гимнастикой они понимали всю систему физического воспитания, которая содержала легкую а</w:t>
      </w:r>
      <w:r>
        <w:t xml:space="preserve">тлетику, плавание, кулачный бой, борьбу (панкратион) и другие упражнения. </w:t>
      </w:r>
    </w:p>
    <w:p w:rsidR="002C0F56" w:rsidRDefault="00E67C6E">
      <w:pPr>
        <w:spacing w:after="4"/>
        <w:ind w:left="165" w:right="866"/>
      </w:pPr>
      <w:r>
        <w:t>Гимнастические упражнения были известны еще 3000 лет до н. э. в Древнем Китае и Индии, где они применялись в лечебных целях. В эпоху Возрождения гуманисты рекомендовали греческую ги</w:t>
      </w:r>
      <w:r>
        <w:t>мнастику как средство укрепления здоровья и физического развития человека. В конце 18 в. в странах Европы появились национальные системы гимнастики — немецкая, шведская, естественно-прикладная гимнастика во Франции и сокольская в Чехословакии, которые легл</w:t>
      </w:r>
      <w:r>
        <w:t>и в основу современной спортивной гимнастики. Однако они не имели научных основ. Первыми научно обосновали систему физического воспитания</w:t>
      </w:r>
      <w:hyperlink r:id="rId81">
        <w:r>
          <w:t xml:space="preserve"> </w:t>
        </w:r>
      </w:hyperlink>
      <w:hyperlink r:id="rId82">
        <w:r>
          <w:t>П. Ф. Лесгафт</w:t>
        </w:r>
      </w:hyperlink>
      <w:hyperlink r:id="rId83">
        <w:r>
          <w:t xml:space="preserve"> </w:t>
        </w:r>
      </w:hyperlink>
      <w:r>
        <w:t xml:space="preserve">в России и Ж. Демени во Франции. </w:t>
      </w:r>
    </w:p>
    <w:p w:rsidR="002C0F56" w:rsidRDefault="00E67C6E">
      <w:pPr>
        <w:ind w:left="165" w:right="302"/>
      </w:pPr>
      <w:r>
        <w:t>Гимнастические упражнения с древних времен входили в праздничны</w:t>
      </w:r>
      <w:r>
        <w:t xml:space="preserve">е развлечения народа на Руси. Петр I, а затем и А. В. Суворов ввели военногимнастические упражнения в армии. С 1889 года Министерством просвещения гимнастика была введена как предмет обучения в мужских учебных </w:t>
      </w:r>
      <w:r>
        <w:lastRenderedPageBreak/>
        <w:t>заведениях. В конце 19 века в Одессе, Риге, Пе</w:t>
      </w:r>
      <w:r>
        <w:t xml:space="preserve">тербурге, Москве и других городах России были организованы первые гимнастические общества. Первые соревнования по спортивной гимнастике были проведены в Чехословакии в 1860-х годах, в России — в 1885 году. В них приняли участие 11 человек. </w:t>
      </w:r>
    </w:p>
    <w:p w:rsidR="002C0F56" w:rsidRDefault="00E67C6E">
      <w:pPr>
        <w:spacing w:after="10"/>
        <w:ind w:left="165" w:right="866"/>
      </w:pPr>
      <w:r>
        <w:t>Международная ф</w:t>
      </w:r>
      <w:r>
        <w:t>едерация гимнастики (ФИЖ) основана в 1881 году и объединяет 125 национальных федераций (2002). В программу Олимпийских игр спортивная гимнастика входит с 1896 года (среди женщин — с 1928 года). На Играх I - IV летних Олимпиад в программу соревнований по ги</w:t>
      </w:r>
      <w:r>
        <w:t xml:space="preserve">мнастическому многоборью входили некоторые легкоатлетические виды (прыжки с шестом, в длину, лазание по канату, бег, толкание ядра) и упражнения по поднятию тяжестей. </w:t>
      </w:r>
    </w:p>
    <w:p w:rsidR="002C0F56" w:rsidRDefault="00E67C6E">
      <w:pPr>
        <w:spacing w:after="10"/>
        <w:ind w:left="165" w:right="873"/>
      </w:pPr>
      <w:r>
        <w:t>Чемпионаты мира по спортивной гимнастике проводятся с 1903 года (раз в четыре года, с 19</w:t>
      </w:r>
      <w:r>
        <w:t xml:space="preserve">92 года проводятся ежегодно). Чемпионаты Европы проводятся — с 1955 года. </w:t>
      </w:r>
    </w:p>
    <w:p w:rsidR="002C0F56" w:rsidRDefault="00E67C6E">
      <w:pPr>
        <w:ind w:left="165" w:right="868"/>
      </w:pPr>
      <w:r>
        <w:t>В современной программе Олимпийских игр различают личное и командное первенства, а также первенство в отдельных видах гимнастического многоборья: среди мужчин в шести видах (вольные</w:t>
      </w:r>
      <w:r>
        <w:t xml:space="preserve"> упражнения, конь, кольца, прыжок, брусья, перекладина), среди женщин — в четырех (опорный прыжок, разновысокие брусья, гимнастическое бревно и вольные упражнения). Для участия в Играх допускаются по 12 лучших мужских и женских команд, а также по 24 гимнас</w:t>
      </w:r>
      <w:r>
        <w:t xml:space="preserve">та и гимнастки в личном первенстве. Квалификационный отбор проводится по результатам чемпионата мира, предшествующего Олимпийским играм. </w:t>
      </w:r>
    </w:p>
    <w:p w:rsidR="002C0F56" w:rsidRDefault="00E67C6E">
      <w:pPr>
        <w:spacing w:after="15" w:line="271" w:lineRule="auto"/>
        <w:ind w:left="754" w:hanging="10"/>
        <w:jc w:val="left"/>
      </w:pPr>
      <w:r>
        <w:rPr>
          <w:b/>
        </w:rPr>
        <w:t xml:space="preserve">Дисциплины: </w:t>
      </w:r>
    </w:p>
    <w:p w:rsidR="002C0F56" w:rsidRDefault="00E67C6E">
      <w:pPr>
        <w:numPr>
          <w:ilvl w:val="0"/>
          <w:numId w:val="16"/>
        </w:numPr>
        <w:ind w:right="302" w:firstLine="0"/>
      </w:pPr>
      <w:r>
        <w:t xml:space="preserve">упражнения на бревне женщины; </w:t>
      </w:r>
    </w:p>
    <w:p w:rsidR="002C0F56" w:rsidRDefault="00E67C6E">
      <w:pPr>
        <w:numPr>
          <w:ilvl w:val="0"/>
          <w:numId w:val="16"/>
        </w:numPr>
        <w:ind w:right="302" w:firstLine="0"/>
      </w:pPr>
      <w:r>
        <w:t xml:space="preserve">вольные упражнения женщины; </w:t>
      </w:r>
    </w:p>
    <w:p w:rsidR="002C0F56" w:rsidRDefault="00E67C6E">
      <w:pPr>
        <w:numPr>
          <w:ilvl w:val="0"/>
          <w:numId w:val="16"/>
        </w:numPr>
        <w:ind w:right="302" w:firstLine="0"/>
      </w:pPr>
      <w:r>
        <w:t xml:space="preserve">вольные упражнения мужчины; </w:t>
      </w:r>
    </w:p>
    <w:p w:rsidR="002C0F56" w:rsidRDefault="00E67C6E">
      <w:pPr>
        <w:numPr>
          <w:ilvl w:val="0"/>
          <w:numId w:val="16"/>
        </w:numPr>
        <w:ind w:right="302" w:firstLine="0"/>
      </w:pPr>
      <w:r>
        <w:t xml:space="preserve">упражнения на перекладине мужчины; </w:t>
      </w:r>
    </w:p>
    <w:p w:rsidR="002C0F56" w:rsidRDefault="00E67C6E">
      <w:pPr>
        <w:numPr>
          <w:ilvl w:val="0"/>
          <w:numId w:val="16"/>
        </w:numPr>
        <w:ind w:right="302" w:firstLine="0"/>
      </w:pPr>
      <w:r>
        <w:t xml:space="preserve">личное первенство многоборье мужчины; </w:t>
      </w:r>
    </w:p>
    <w:p w:rsidR="002C0F56" w:rsidRDefault="00E67C6E">
      <w:pPr>
        <w:numPr>
          <w:ilvl w:val="0"/>
          <w:numId w:val="16"/>
        </w:numPr>
        <w:ind w:right="302" w:firstLine="0"/>
      </w:pPr>
      <w:r>
        <w:t xml:space="preserve">личное первенство многоборье женщины; </w:t>
      </w:r>
    </w:p>
    <w:p w:rsidR="002C0F56" w:rsidRDefault="00E67C6E">
      <w:pPr>
        <w:numPr>
          <w:ilvl w:val="0"/>
          <w:numId w:val="16"/>
        </w:numPr>
        <w:ind w:right="302" w:firstLine="0"/>
      </w:pPr>
      <w:r>
        <w:t xml:space="preserve">упражнения на параллельных брусьях мужчины; </w:t>
      </w:r>
    </w:p>
    <w:p w:rsidR="002C0F56" w:rsidRDefault="00E67C6E">
      <w:pPr>
        <w:numPr>
          <w:ilvl w:val="0"/>
          <w:numId w:val="16"/>
        </w:numPr>
        <w:ind w:right="302" w:firstLine="0"/>
      </w:pPr>
      <w:r>
        <w:t xml:space="preserve">упражнения на коне мужчины; </w:t>
      </w:r>
    </w:p>
    <w:p w:rsidR="002C0F56" w:rsidRDefault="00E67C6E">
      <w:pPr>
        <w:numPr>
          <w:ilvl w:val="0"/>
          <w:numId w:val="16"/>
        </w:numPr>
        <w:ind w:right="302" w:firstLine="0"/>
      </w:pPr>
      <w:r>
        <w:t xml:space="preserve">упражнения на кольцах мужчины; </w:t>
      </w:r>
    </w:p>
    <w:p w:rsidR="002C0F56" w:rsidRDefault="00E67C6E">
      <w:pPr>
        <w:numPr>
          <w:ilvl w:val="0"/>
          <w:numId w:val="16"/>
        </w:numPr>
        <w:ind w:right="302" w:firstLine="0"/>
      </w:pPr>
      <w:r>
        <w:t xml:space="preserve">командное первенство мужчины; </w:t>
      </w:r>
    </w:p>
    <w:p w:rsidR="002C0F56" w:rsidRDefault="00E67C6E">
      <w:pPr>
        <w:numPr>
          <w:ilvl w:val="0"/>
          <w:numId w:val="16"/>
        </w:numPr>
        <w:ind w:right="302" w:firstLine="0"/>
      </w:pPr>
      <w:r>
        <w:t>коман</w:t>
      </w:r>
      <w:r>
        <w:t xml:space="preserve">дное первенство женщины; </w:t>
      </w:r>
    </w:p>
    <w:p w:rsidR="002C0F56" w:rsidRDefault="00E67C6E">
      <w:pPr>
        <w:numPr>
          <w:ilvl w:val="0"/>
          <w:numId w:val="16"/>
        </w:numPr>
        <w:spacing w:after="5" w:line="268" w:lineRule="auto"/>
        <w:ind w:right="302" w:firstLine="0"/>
      </w:pPr>
      <w:r>
        <w:t>упражнения на разновысоких брусьях женщины; –</w:t>
      </w:r>
      <w:r>
        <w:rPr>
          <w:rFonts w:ascii="Arial" w:eastAsia="Arial" w:hAnsi="Arial" w:cs="Arial"/>
        </w:rPr>
        <w:t xml:space="preserve"> </w:t>
      </w:r>
      <w:r>
        <w:t>опорный прыжок женщины; –</w:t>
      </w:r>
      <w:r>
        <w:rPr>
          <w:rFonts w:ascii="Arial" w:eastAsia="Arial" w:hAnsi="Arial" w:cs="Arial"/>
        </w:rPr>
        <w:t xml:space="preserve"> </w:t>
      </w:r>
      <w:r>
        <w:t xml:space="preserve">опорный прыжок мужчины. </w:t>
      </w:r>
    </w:p>
    <w:p w:rsidR="002C0F56" w:rsidRDefault="00E67C6E">
      <w:pPr>
        <w:spacing w:after="15" w:line="271" w:lineRule="auto"/>
        <w:ind w:left="754" w:hanging="10"/>
        <w:jc w:val="left"/>
      </w:pPr>
      <w:r>
        <w:rPr>
          <w:b/>
        </w:rPr>
        <w:t xml:space="preserve">Правила соревнований </w:t>
      </w:r>
    </w:p>
    <w:p w:rsidR="002C0F56" w:rsidRDefault="00E67C6E">
      <w:pPr>
        <w:ind w:left="165" w:right="302"/>
      </w:pPr>
      <w:r>
        <w:lastRenderedPageBreak/>
        <w:t xml:space="preserve">На Олимпийских играх мужчины разыгрывают 8 комплектов медалей, женщины — </w:t>
      </w:r>
      <w:r>
        <w:t>6. И у мужчин, и у женщин определяются победители на отдельных снарядах, в абсолютном первенстве и в командном зачете. Кроме опорного прыжка в соревнованиях женщин, во всех остальных видах предоставляется только одна попытка на каждом снаряде. В опорном пр</w:t>
      </w:r>
      <w:r>
        <w:t xml:space="preserve">ыжке у женщин подсчитывается средний результат по результатам двух попыток. Каждый спортсмен сам определяет содержание своих выступлений, но в то же время должен удовлетворять требованиям относительно типа и сложности упражнений. </w:t>
      </w:r>
    </w:p>
    <w:p w:rsidR="002C0F56" w:rsidRDefault="00E67C6E">
      <w:pPr>
        <w:ind w:left="165" w:right="866"/>
      </w:pPr>
      <w:r>
        <w:t xml:space="preserve">Судейство осуществляется </w:t>
      </w:r>
      <w:r>
        <w:t>двумя группами судей. Одна группа, состоящая из 2-х судей, оценивает сложность выполнения (по 10-балльной системе), другая группа (из 6 судей) — оценивает техническое исполнение. Они вычитают из оценки, выставленной первой группой судей, очки за каждую оши</w:t>
      </w:r>
      <w:r>
        <w:t xml:space="preserve">бку в выполнении упражнений. Гимнасты теряют 0,1 очка за небольшую ошибку, от 0,2 до 0,3 — за среднюю и 0,4 очка — за грубую. При падении на снаряд или со снаряда снимается 0,5 очка. </w:t>
      </w:r>
    </w:p>
    <w:p w:rsidR="002C0F56" w:rsidRDefault="00E67C6E">
      <w:pPr>
        <w:ind w:left="165" w:right="867"/>
      </w:pPr>
      <w:r>
        <w:t>В отличие от судей, оценивающих сложность выполнения, вторая группа суде</w:t>
      </w:r>
      <w:r>
        <w:t>й выставляет оценки независимо друг от друга. Лучшая и худшая оценки не учитываются, а выставляется средняя по сумме оставшихся четырех. В финал соревнований попадают 6 лучших команд и 8 лучших гимнастов. В каждой команде по 6 гимнастов, но только пятеро в</w:t>
      </w:r>
      <w:r>
        <w:t>ыступают на каждом снаряде. И в командных и в индивидуальных соревнованиях участвуют все финалисты. Когда оценки на каждом снаряде складываются после квалификационного круга 36 мужчин и 36 женщин также выходят в соревнования в абсолютном первенстве. Все уч</w:t>
      </w:r>
      <w:r>
        <w:t xml:space="preserve">астники выполняют упражнения на всех снарядах, и участник, набравший наибольшее количество очков, становится победителем. </w:t>
      </w:r>
    </w:p>
    <w:p w:rsidR="002C0F56" w:rsidRDefault="00E67C6E">
      <w:pPr>
        <w:spacing w:after="10"/>
        <w:ind w:left="165" w:right="864"/>
      </w:pPr>
      <w:r>
        <w:t>Советские спортсмены впервые выступили на</w:t>
      </w:r>
      <w:hyperlink r:id="rId84">
        <w:r>
          <w:t xml:space="preserve"> </w:t>
        </w:r>
      </w:hyperlink>
      <w:hyperlink r:id="rId85">
        <w:r>
          <w:t xml:space="preserve">Играх XV Олимпиады в </w:t>
        </w:r>
      </w:hyperlink>
      <w:hyperlink r:id="rId86">
        <w:r>
          <w:t>Хельсинки (1952).</w:t>
        </w:r>
      </w:hyperlink>
      <w:r>
        <w:t xml:space="preserve"> С тех пор на всех кру</w:t>
      </w:r>
      <w:r>
        <w:t>пных соревнованиях советские гимнасты всегда были в числе лидеров. В Хельсинки абсолютным чемпионом в многоборье, а также в упражнениях на коне и опорных прыжках стал</w:t>
      </w:r>
      <w:hyperlink r:id="rId87">
        <w:r>
          <w:t xml:space="preserve"> </w:t>
        </w:r>
      </w:hyperlink>
      <w:hyperlink r:id="rId88">
        <w:r>
          <w:t xml:space="preserve">В. </w:t>
        </w:r>
      </w:hyperlink>
      <w:hyperlink r:id="rId89">
        <w:r>
          <w:t>Чукарин,</w:t>
        </w:r>
      </w:hyperlink>
      <w:r>
        <w:t xml:space="preserve"> среди женщин золотой медали в многоборье удостоилась</w:t>
      </w:r>
      <w:hyperlink r:id="rId90">
        <w:r>
          <w:t xml:space="preserve"> </w:t>
        </w:r>
      </w:hyperlink>
      <w:hyperlink r:id="rId91">
        <w:r>
          <w:t xml:space="preserve">М. </w:t>
        </w:r>
      </w:hyperlink>
      <w:hyperlink r:id="rId92">
        <w:r>
          <w:t>Гороховская.</w:t>
        </w:r>
      </w:hyperlink>
      <w:r>
        <w:t xml:space="preserve"> С Олимпиады в Хельсинки и началась победная поступь советских гимнастов.</w:t>
      </w:r>
      <w:r>
        <w:rPr>
          <w:b/>
        </w:rPr>
        <w:t xml:space="preserve"> </w:t>
      </w:r>
    </w:p>
    <w:p w:rsidR="002C0F56" w:rsidRDefault="00E67C6E">
      <w:pPr>
        <w:spacing w:after="10"/>
        <w:ind w:left="165" w:right="868"/>
      </w:pPr>
      <w:r>
        <w:t>На Олимпиаде в Мельбурне (1956) все основные медали в командном и личном первенстве были завоеваны советскими гимнастами. Абсолютными чемпионами стали В. Чукарин и</w:t>
      </w:r>
      <w:hyperlink r:id="rId93">
        <w:r>
          <w:t xml:space="preserve"> </w:t>
        </w:r>
      </w:hyperlink>
      <w:hyperlink r:id="rId94">
        <w:r>
          <w:t>Л. Латынина,</w:t>
        </w:r>
      </w:hyperlink>
      <w:r>
        <w:t xml:space="preserve"> в арсенале этой самой титулованной спортсменки планеты 18 олимпийских наград (9 золотых, 5 серебряных, 4 бронзовых). </w:t>
      </w:r>
    </w:p>
    <w:p w:rsidR="002C0F56" w:rsidRDefault="00E67C6E">
      <w:pPr>
        <w:spacing w:after="15"/>
        <w:ind w:left="165" w:right="867"/>
      </w:pPr>
      <w:r>
        <w:t>Но на римской Олимпиаде (1960) мужской сборной СССР пришлось потесниться. Она уступила япон</w:t>
      </w:r>
      <w:r>
        <w:t xml:space="preserve">цам, которые стали законодателями мод в мужской гимнастике на долгие годы, хотя абсолютным чемпионом стал </w:t>
      </w:r>
      <w:hyperlink r:id="rId95">
        <w:r>
          <w:t xml:space="preserve">Борис  </w:t>
        </w:r>
      </w:hyperlink>
      <w:hyperlink r:id="rId96">
        <w:r>
          <w:t>Шахлин.</w:t>
        </w:r>
      </w:hyperlink>
      <w:r>
        <w:t xml:space="preserve"> Женщины по-прежнему первенствовал</w:t>
      </w:r>
      <w:r>
        <w:t>и в командном и личном зачете (Лариса Латынина).Ей на смену пришла замечательная чехословацкая гимнастка</w:t>
      </w:r>
      <w:hyperlink r:id="rId97">
        <w:r>
          <w:t xml:space="preserve"> </w:t>
        </w:r>
      </w:hyperlink>
      <w:hyperlink r:id="rId98">
        <w:r>
          <w:t>Вера Чаславска,</w:t>
        </w:r>
      </w:hyperlink>
      <w:r>
        <w:t xml:space="preserve"> которая стала двукратной абсолютной чемпионкой Игр (1964, 1968). Правда, в командном зачете в Токио советские гимнастки опять опередили</w:t>
      </w:r>
      <w:r>
        <w:t xml:space="preserve"> всех соперниц. У мужчин на токийской Олимпиаде победил Юкио Эндо (Япония). </w:t>
      </w:r>
    </w:p>
    <w:p w:rsidR="002C0F56" w:rsidRDefault="00E67C6E">
      <w:pPr>
        <w:ind w:left="165" w:right="871"/>
      </w:pPr>
      <w:r>
        <w:t>Всеобщей любимицей XX летних Олимпийских игр в Мюнхене (1972) стала советская гимнастка</w:t>
      </w:r>
      <w:hyperlink r:id="rId99">
        <w:r>
          <w:t xml:space="preserve"> </w:t>
        </w:r>
      </w:hyperlink>
      <w:r>
        <w:t>Ольга Корбу</w:t>
      </w:r>
      <w:hyperlink r:id="rId100">
        <w:r>
          <w:t>т.</w:t>
        </w:r>
      </w:hyperlink>
      <w:r>
        <w:t xml:space="preserve"> И хотя она не завоевала олимпийского золота в абсолютном первенстве, ее бесстрашные головокружительные полеты на брусьях (Петля К</w:t>
      </w:r>
      <w:r>
        <w:t xml:space="preserve">орбут), сальто назад на бревне и сложнейшая акробатика в вольных упражнениях буквально завораживали не только зрителей, но и судей. </w:t>
      </w:r>
    </w:p>
    <w:p w:rsidR="002C0F56" w:rsidRDefault="00E67C6E">
      <w:pPr>
        <w:spacing w:after="16"/>
        <w:ind w:left="165" w:right="864"/>
      </w:pPr>
      <w:r>
        <w:t>На Олимпиаде в Монреале (1976) лидером стала румынская гимнастка</w:t>
      </w:r>
      <w:hyperlink r:id="rId101">
        <w:r>
          <w:t xml:space="preserve"> </w:t>
        </w:r>
      </w:hyperlink>
      <w:hyperlink r:id="rId102">
        <w:r>
          <w:t xml:space="preserve">Н. </w:t>
        </w:r>
      </w:hyperlink>
      <w:hyperlink r:id="rId103">
        <w:r>
          <w:t>Комэнеч,</w:t>
        </w:r>
      </w:hyperlink>
      <w:r>
        <w:t xml:space="preserve"> обойдя в многоборье</w:t>
      </w:r>
      <w:hyperlink r:id="rId104">
        <w:r>
          <w:t xml:space="preserve"> </w:t>
        </w:r>
      </w:hyperlink>
      <w:hyperlink r:id="rId105">
        <w:r>
          <w:t>Нелли Ким.</w:t>
        </w:r>
      </w:hyperlink>
      <w:r>
        <w:t xml:space="preserve"> В 1970-1980-е годы характерно противостояние румынских и советских гимнасток. Это соперничест</w:t>
      </w:r>
      <w:r>
        <w:t xml:space="preserve">во продолжилось и в 1990-е годы. </w:t>
      </w:r>
    </w:p>
    <w:p w:rsidR="002C0F56" w:rsidRDefault="00E67C6E">
      <w:pPr>
        <w:ind w:left="165" w:right="872"/>
      </w:pPr>
      <w:r>
        <w:t>В это период дважды завоевывал Кубок мира советский гимнаст</w:t>
      </w:r>
      <w:hyperlink r:id="rId106">
        <w:r>
          <w:t xml:space="preserve"> </w:t>
        </w:r>
      </w:hyperlink>
      <w:hyperlink r:id="rId107">
        <w:r>
          <w:t>Александр Дитятин</w:t>
        </w:r>
      </w:hyperlink>
      <w:hyperlink r:id="rId108">
        <w:r>
          <w:t xml:space="preserve"> </w:t>
        </w:r>
      </w:hyperlink>
      <w:r>
        <w:t xml:space="preserve">(1978, 1979), который на Олимпиаде в Москве (1980) стал абсолютным чемпионом. </w:t>
      </w:r>
    </w:p>
    <w:p w:rsidR="002C0F56" w:rsidRDefault="00E67C6E">
      <w:pPr>
        <w:ind w:left="165" w:right="302"/>
      </w:pPr>
      <w:r>
        <w:t xml:space="preserve">На летней Олимпиаде в Сеуле (1988) в последний раз выступала сборная Советского Союза. </w:t>
      </w:r>
    </w:p>
    <w:p w:rsidR="002C0F56" w:rsidRDefault="00E67C6E">
      <w:pPr>
        <w:ind w:left="165" w:right="873"/>
      </w:pPr>
      <w:r>
        <w:t>В</w:t>
      </w:r>
      <w:r>
        <w:t xml:space="preserve"> 1992 году на летней Олимпиаде в Барселоне гимнасты приехали в составе команды СНГ, и победа снова досталась спортсменам теперь уже из бывшего СССР — они победили и в командном и личном зачете. Сразу 6 медалей завоевал</w:t>
      </w:r>
      <w:hyperlink r:id="rId109">
        <w:r>
          <w:t xml:space="preserve"> </w:t>
        </w:r>
      </w:hyperlink>
      <w:hyperlink r:id="rId110">
        <w:r>
          <w:t>Виталий Щербо</w:t>
        </w:r>
      </w:hyperlink>
      <w:hyperlink r:id="rId111">
        <w:r>
          <w:t>.</w:t>
        </w:r>
      </w:hyperlink>
      <w:r>
        <w:t xml:space="preserve"> </w:t>
      </w:r>
    </w:p>
    <w:p w:rsidR="002C0F56" w:rsidRDefault="00E67C6E">
      <w:pPr>
        <w:ind w:left="165" w:right="866"/>
      </w:pPr>
      <w:r>
        <w:t>В 1996 году на Олимпийских играх в Атланте российская сборная выступала самостоятельно, и удача была снова на стороне российских гимнастов. Мужчины победили в командном зачете, а</w:t>
      </w:r>
      <w:hyperlink r:id="rId112">
        <w:r>
          <w:t xml:space="preserve"> </w:t>
        </w:r>
      </w:hyperlink>
      <w:hyperlink r:id="rId113">
        <w:r>
          <w:t>А. Немов</w:t>
        </w:r>
      </w:hyperlink>
      <w:hyperlink r:id="rId114">
        <w:r>
          <w:t xml:space="preserve"> </w:t>
        </w:r>
      </w:hyperlink>
      <w:r>
        <w:t>стал серебряным призе</w:t>
      </w:r>
      <w:r>
        <w:t xml:space="preserve">ром в многоборье, абсолютным чемпионом впервые за всю историю гимнастики стал китайский спортсмен Ли Ксяошуанг. У женщин победила украинская гимнастка Л. Подкопаева, в командном зачете золотых медалей удостоились американки (россиянки были вторыми). </w:t>
      </w:r>
    </w:p>
    <w:p w:rsidR="002C0F56" w:rsidRDefault="00E67C6E">
      <w:pPr>
        <w:spacing w:after="12"/>
        <w:ind w:left="744" w:right="302" w:firstLine="0"/>
      </w:pPr>
      <w:r>
        <w:t>Росси</w:t>
      </w:r>
      <w:r>
        <w:t xml:space="preserve">йская гимнастика сегодня. </w:t>
      </w:r>
    </w:p>
    <w:p w:rsidR="002C0F56" w:rsidRDefault="00E67C6E">
      <w:pPr>
        <w:spacing w:after="0"/>
        <w:ind w:left="165" w:right="872"/>
      </w:pPr>
      <w:r>
        <w:t>Федерация спортивной гимнастики России основана в 1991. Она объединяет организации 71 субъекта РФ. Возглавляет Федерацию профессор Л.Я.Аркаев, он же является главным тренером национальной сборной России по гимнастике. В России ре</w:t>
      </w:r>
      <w:r>
        <w:t xml:space="preserve">гулярно проводятся чемпионаты страны, региональные, общероссийские и международные турниры и др. мероприятия. Федерация входит в состав ФИЖ и УЕЖ. </w:t>
      </w:r>
    </w:p>
    <w:p w:rsidR="002C0F56" w:rsidRDefault="00E67C6E">
      <w:pPr>
        <w:ind w:left="165" w:right="866"/>
      </w:pPr>
      <w:r>
        <w:lastRenderedPageBreak/>
        <w:t>Нынешние «звезды» отечественной гимнастики продолжают победную эстафету своих предшественников на международ</w:t>
      </w:r>
      <w:r>
        <w:t>ной арене. А. Немов стал абсолютным чемпионом Олимпийских игр в Сиднее-2000, а также выиграл «золото» в упражнениях на перекладине. С. Хоркина – абсолютная чемпионка мира (дважды) и Европы (трижды), в ее коллекции также олимпийское и мировое «золото» на от</w:t>
      </w:r>
      <w:r>
        <w:t>дельных снарядах. Н. Крюков – абсолютный чемпион мира, А. Бондаренко – абсолютный чемпион Европы. Е. Замолодчикова – победитель (в отдельных видах программы) чемпионатов мира и Олимпийских игр. По данным на конец 2002 А. Немов и С. Хоркина возглавляли миро</w:t>
      </w:r>
      <w:r>
        <w:t xml:space="preserve">вой гимнастический рейтинг.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744" w:right="302" w:firstLine="0"/>
      </w:pPr>
      <w:r>
        <w:t xml:space="preserve">1.Спортивная гимнастика. - М.: Изд-во Советский спорт, 2005. </w:t>
      </w:r>
    </w:p>
    <w:p w:rsidR="002C0F56" w:rsidRDefault="00E67C6E">
      <w:pPr>
        <w:ind w:left="165" w:right="302"/>
      </w:pPr>
      <w:r>
        <w:t xml:space="preserve">2.Гимнастика спортивная. Гимнастика художественная. - М.: Сов. спорт, 1995. </w:t>
      </w:r>
    </w:p>
    <w:p w:rsidR="002C0F56" w:rsidRDefault="00E67C6E">
      <w:pPr>
        <w:ind w:left="165" w:right="302"/>
      </w:pPr>
      <w:r>
        <w:t>3.Совершенствование учебно-</w:t>
      </w:r>
      <w:r>
        <w:t xml:space="preserve">тренировочного процесса в спортивной гимнастике. - М.: МОГИФК, 1982. </w:t>
      </w:r>
    </w:p>
    <w:p w:rsidR="002C0F56" w:rsidRDefault="00E67C6E">
      <w:pPr>
        <w:ind w:left="165" w:right="302"/>
      </w:pPr>
      <w:r>
        <w:t xml:space="preserve">4.Калогномос В. И. Спортивная гимнастика. Подготовка и проведение соревнований. - М.: Сов. спорт, 1990. </w:t>
      </w:r>
    </w:p>
    <w:p w:rsidR="002C0F56" w:rsidRDefault="00E67C6E">
      <w:pPr>
        <w:spacing w:after="0" w:line="259" w:lineRule="auto"/>
        <w:ind w:left="744" w:firstLine="0"/>
        <w:jc w:val="left"/>
      </w:pPr>
      <w:r>
        <w:t xml:space="preserve"> </w:t>
      </w:r>
    </w:p>
    <w:p w:rsidR="002C0F56" w:rsidRDefault="00E67C6E">
      <w:pPr>
        <w:spacing w:after="30" w:line="259" w:lineRule="auto"/>
        <w:ind w:left="744" w:firstLine="0"/>
        <w:jc w:val="left"/>
      </w:pPr>
      <w:r>
        <w:t xml:space="preserve"> </w:t>
      </w:r>
    </w:p>
    <w:p w:rsidR="002C0F56" w:rsidRDefault="00E67C6E">
      <w:pPr>
        <w:pStyle w:val="1"/>
        <w:spacing w:after="25" w:line="259" w:lineRule="auto"/>
        <w:ind w:right="856"/>
        <w:jc w:val="right"/>
      </w:pPr>
      <w:r>
        <w:t xml:space="preserve">Баталова М.А. Зыкова Т.В.  </w:t>
      </w:r>
      <w:r>
        <w:rPr>
          <w:b w:val="0"/>
        </w:rPr>
        <w:t xml:space="preserve">Научный руководитель: Погорелая Т. А. </w:t>
      </w:r>
    </w:p>
    <w:p w:rsidR="002C0F56" w:rsidRDefault="00E67C6E">
      <w:pPr>
        <w:spacing w:after="0" w:line="267" w:lineRule="auto"/>
        <w:ind w:left="905" w:right="1153" w:hanging="10"/>
        <w:jc w:val="right"/>
      </w:pPr>
      <w:r>
        <w:rPr>
          <w:i/>
        </w:rPr>
        <w:t xml:space="preserve">Кузбасский </w:t>
      </w:r>
      <w:r>
        <w:rPr>
          <w:i/>
        </w:rPr>
        <w:t xml:space="preserve">государственный технический университет имени </w:t>
      </w:r>
    </w:p>
    <w:p w:rsidR="002C0F56" w:rsidRDefault="00E67C6E">
      <w:pPr>
        <w:spacing w:after="0" w:line="267" w:lineRule="auto"/>
        <w:ind w:left="905" w:right="1151" w:hanging="10"/>
        <w:jc w:val="right"/>
      </w:pPr>
      <w:r>
        <w:rPr>
          <w:i/>
        </w:rPr>
        <w:t>Т.Ф. Горбачева</w:t>
      </w:r>
      <w:r>
        <w:rPr>
          <w:b/>
        </w:rPr>
        <w:t xml:space="preserve"> </w:t>
      </w:r>
    </w:p>
    <w:p w:rsidR="002C0F56" w:rsidRDefault="00E67C6E">
      <w:pPr>
        <w:spacing w:after="30" w:line="259" w:lineRule="auto"/>
        <w:ind w:left="744" w:firstLine="0"/>
        <w:jc w:val="left"/>
      </w:pPr>
      <w:r>
        <w:t xml:space="preserve"> </w:t>
      </w:r>
    </w:p>
    <w:p w:rsidR="002C0F56" w:rsidRDefault="00E67C6E">
      <w:pPr>
        <w:pStyle w:val="1"/>
        <w:ind w:left="700" w:right="1379"/>
      </w:pPr>
      <w:r>
        <w:t xml:space="preserve">ОСОБЕННОСТИ РАЗВИТИЯ ВНЕШНЕТОРГОВЫХ СВЯЗЕЙ </w:t>
      </w:r>
    </w:p>
    <w:p w:rsidR="002C0F56" w:rsidRDefault="00E67C6E">
      <w:pPr>
        <w:spacing w:after="5" w:line="270" w:lineRule="auto"/>
        <w:ind w:left="700" w:right="1379" w:hanging="10"/>
        <w:jc w:val="center"/>
      </w:pPr>
      <w:r>
        <w:rPr>
          <w:b/>
        </w:rPr>
        <w:t xml:space="preserve">КУЗБАССА В 2016 г. </w:t>
      </w:r>
    </w:p>
    <w:p w:rsidR="002C0F56" w:rsidRDefault="00E67C6E">
      <w:pPr>
        <w:spacing w:after="0" w:line="259" w:lineRule="auto"/>
        <w:ind w:left="744" w:firstLine="0"/>
        <w:jc w:val="left"/>
      </w:pPr>
      <w:r>
        <w:rPr>
          <w:b/>
        </w:rPr>
        <w:t xml:space="preserve"> </w:t>
      </w:r>
    </w:p>
    <w:p w:rsidR="002C0F56" w:rsidRDefault="00E67C6E">
      <w:pPr>
        <w:spacing w:after="0"/>
        <w:ind w:left="165" w:right="1151"/>
      </w:pPr>
      <w:r>
        <w:t xml:space="preserve">Условия интенсивного включения постсоветской России в мироторговые отношения с начала рыночного реформирования обусловили специфическую роль большинства российских регионов в современной системе международного разделения труда. Определяется она навязанной </w:t>
      </w:r>
      <w:r>
        <w:t xml:space="preserve">специализацией в системе международной торговли, сырьевой направленностью экспорта. За быстрым углублением сырьевой специализации объективно последовал рост зависимости воспроизводства региональной экономики от импорта продукции перерабатывающих отраслей, </w:t>
      </w:r>
      <w:r>
        <w:t xml:space="preserve">прежде всего, высокотехнологичной. Поэтому объективно внешняя торговля играет определяющую роль в экономике Кемеровской области, как и большинства регионов сырьевой специализации. </w:t>
      </w:r>
    </w:p>
    <w:p w:rsidR="002C0F56" w:rsidRDefault="00E67C6E">
      <w:pPr>
        <w:spacing w:after="0"/>
        <w:ind w:left="165" w:right="1151"/>
      </w:pPr>
      <w:r>
        <w:lastRenderedPageBreak/>
        <w:t>При этом, Кемеровская область является центром российской угольной промышле</w:t>
      </w:r>
      <w:r>
        <w:t>нности, как один из самых крупных по запасам угля и объемов его добычи бассейнов России и главный, а по некоторым позициям единственный в стране поставщик технологического сырья для российской промышленности. Это определяется, во-первых, уникальным качеств</w:t>
      </w:r>
      <w:r>
        <w:t>ом кемеровского угля, во-вторых, формированием здесь центра глубокой переработки угля. С другой стороны, благодаря региональной стратегии в Кузбасском регионе развиваются и добывающий, и производящий сектора экономики. Именно это отличает характер его внеш</w:t>
      </w:r>
      <w:r>
        <w:t xml:space="preserve">ней торговли от многих других регионов, главной особенностью которого является значительное превышение экспортных операций над импортными [8].  </w:t>
      </w:r>
    </w:p>
    <w:p w:rsidR="002C0F56" w:rsidRDefault="00E67C6E">
      <w:pPr>
        <w:spacing w:after="2"/>
        <w:ind w:left="165" w:right="1148"/>
      </w:pPr>
      <w:r>
        <w:t>Внешнеэкономическая деятельность региона переживает сложные времена, обусловленные одновременным действием мног</w:t>
      </w:r>
      <w:r>
        <w:t>их сдерживающих факторов (финансовый кризис, действие антироссийских санкций, нестабильность валютного курса и др.). Итоги внешней торговли Кемеровской области в 2015-2016 гг. проявляют тенденцию к снижению всех основных ее показателей. Так, внешнеторговый</w:t>
      </w:r>
      <w:r>
        <w:t xml:space="preserve"> оборот нашего региона в 2016 г. составил 10094,4 млн. долл., что на 8,1% ниже уровня 2015 г. - уменьшился на 889,5 млн. долл. В структуре товарооборота доля экспорта составила 95%,  а доля импорта – 5,0% (в 2015 г. – соответственно  94,2% и 5,8%) [4]. </w:t>
      </w:r>
    </w:p>
    <w:p w:rsidR="002C0F56" w:rsidRDefault="00E67C6E">
      <w:pPr>
        <w:spacing w:after="8"/>
        <w:ind w:left="165" w:right="1149"/>
      </w:pPr>
      <w:r>
        <w:t xml:space="preserve">С </w:t>
      </w:r>
      <w:r>
        <w:t>другой стороны, несмотря на общее снижение объема товарооборота количество стран-партнеров Кемеровской области выросло. В 2016 г. внешнеторговые операции осуществлялись с партнерами из 107 (в 2015 г. – 101) стран мира.  Кроме того, изменилась доля в них ос</w:t>
      </w:r>
      <w:r>
        <w:t xml:space="preserve">новных партнеров Кузбасса: основной объем товарооборота обеспечила торговля со странами дальнего зарубежья - 87,4% от стоимостного объема внешнеторгового оборота (в 2015 г. – 83,3%). Доля стран СНГ в объеме товарооборота уменьшилась до 12,6% (16,7% в 2015 </w:t>
      </w:r>
      <w:r>
        <w:t xml:space="preserve">г.) [2]. Наблюдающееся усиление доли стран дальнего зарубежья в структуре товарооборота объясняется заключением двусторонних договоров по новым перспективным направлениям и ухудшением общей экономической ситуации в постсоциалистических странах. </w:t>
      </w:r>
    </w:p>
    <w:p w:rsidR="002C0F56" w:rsidRDefault="00E67C6E">
      <w:pPr>
        <w:spacing w:after="0"/>
        <w:ind w:left="165" w:right="1149"/>
      </w:pPr>
      <w:r>
        <w:t>Как отмеча</w:t>
      </w:r>
      <w:r>
        <w:t>лось, экспорт Кемеровской области в 2016 г. по сравнению с 2015 г. уменьшился на 752,3 млн. долл., до 9 593,2 млн. долл. (на 7,3%). При этом физический объем экспорта увеличился на 11,0% и составил 135,9 млн. тонн. Этот факт объясняется снижением стоимости</w:t>
      </w:r>
      <w:r>
        <w:t xml:space="preserve"> экспортируемых товаров (угля, прежде всего). Экспорт металлов и изделий из них (черных металлов и изделий из них, алюминия необработанного) в физическом объеме вырос на 4,9%, а в стоимостном объеме – уменьшился на 8,4% и составил 4,4 млн. тонн на 1 642,7 </w:t>
      </w:r>
      <w:r>
        <w:t xml:space="preserve">млн. долл. При этом поставки на экспорт химической продукции в </w:t>
      </w:r>
      <w:r>
        <w:lastRenderedPageBreak/>
        <w:t xml:space="preserve">2016 г. в физическом объеме увеличились на 44,9%, до 1,2 млн. тонн, а в стоимостном объеме выросли лишь на 2,0%, до 336,7 млн. долл. В основном это были поставки гетероциклических соединений в </w:t>
      </w:r>
      <w:r>
        <w:t xml:space="preserve">страны дальнего зарубежья и удобрений азотных в страны дальнего и ближнего зарубежья [3]. </w:t>
      </w:r>
    </w:p>
    <w:p w:rsidR="002C0F56" w:rsidRDefault="00E67C6E">
      <w:pPr>
        <w:spacing w:after="15"/>
        <w:ind w:left="165" w:right="1148"/>
      </w:pPr>
      <w:r>
        <w:t>На долю экспорта, представленного углем, коксом из каменного угля, нефтепродуктами, металлами и изделиями из них и химической продукцией товаров, пришлось 93,3% стои</w:t>
      </w:r>
      <w:r>
        <w:t>мостного объема. В 2016 г. отмечен рост физического объема поставок на международные рынки угля каменного – на 12,2%, нефтепродуктов – на 20,6%, полуфабрикатов из нелегированной стали – на 14,4%, удобрений – в 1,6 раза, ферросплавов – на 4,8%, прутков из н</w:t>
      </w:r>
      <w:r>
        <w:t>елегированной стали прочих – на 36,2%, соединений гетероциклических – на 5,8%, прутков горячекатаных из нелегированной стали – в 1,7 раза, изделий из черных металлов – в 2,4 раза. В то же время вывоз кокса из каменного угля уменьшился в физическом объеме н</w:t>
      </w:r>
      <w:r>
        <w:t xml:space="preserve">а 38,3%, алюминия – на 28,0% [7].  </w:t>
      </w:r>
    </w:p>
    <w:p w:rsidR="002C0F56" w:rsidRDefault="00E67C6E">
      <w:pPr>
        <w:spacing w:after="0" w:line="259" w:lineRule="auto"/>
        <w:ind w:left="744" w:firstLine="0"/>
        <w:jc w:val="left"/>
      </w:pPr>
      <w:r>
        <w:t xml:space="preserve"> </w:t>
      </w:r>
    </w:p>
    <w:p w:rsidR="002C0F56" w:rsidRDefault="00E67C6E">
      <w:pPr>
        <w:spacing w:after="13" w:line="259" w:lineRule="auto"/>
        <w:ind w:left="744" w:firstLine="0"/>
        <w:jc w:val="left"/>
      </w:pPr>
      <w:r>
        <w:rPr>
          <w:noProof/>
        </w:rPr>
        <w:drawing>
          <wp:inline distT="0" distB="0" distL="0" distR="0">
            <wp:extent cx="6077585" cy="2892425"/>
            <wp:effectExtent l="0" t="0" r="0" b="0"/>
            <wp:docPr id="7093" name="Picture 7093"/>
            <wp:cNvGraphicFramePr/>
            <a:graphic xmlns:a="http://schemas.openxmlformats.org/drawingml/2006/main">
              <a:graphicData uri="http://schemas.openxmlformats.org/drawingml/2006/picture">
                <pic:pic xmlns:pic="http://schemas.openxmlformats.org/drawingml/2006/picture">
                  <pic:nvPicPr>
                    <pic:cNvPr id="7093" name="Picture 7093"/>
                    <pic:cNvPicPr/>
                  </pic:nvPicPr>
                  <pic:blipFill>
                    <a:blip r:embed="rId115"/>
                    <a:stretch>
                      <a:fillRect/>
                    </a:stretch>
                  </pic:blipFill>
                  <pic:spPr>
                    <a:xfrm>
                      <a:off x="0" y="0"/>
                      <a:ext cx="6077585" cy="2892425"/>
                    </a:xfrm>
                    <a:prstGeom prst="rect">
                      <a:avLst/>
                    </a:prstGeom>
                  </pic:spPr>
                </pic:pic>
              </a:graphicData>
            </a:graphic>
          </wp:inline>
        </w:drawing>
      </w:r>
    </w:p>
    <w:p w:rsidR="002C0F56" w:rsidRDefault="00E67C6E">
      <w:pPr>
        <w:spacing w:after="0" w:line="259" w:lineRule="auto"/>
        <w:ind w:left="180"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5" w:line="271" w:lineRule="auto"/>
        <w:ind w:left="1198" w:right="396" w:hanging="10"/>
        <w:jc w:val="left"/>
      </w:pPr>
      <w:r>
        <w:rPr>
          <w:b/>
          <w:sz w:val="24"/>
        </w:rPr>
        <w:t xml:space="preserve">Рис. 1.  Товарная структура экспорта в 2015-2016 гг. Составлено по: [6]. </w:t>
      </w:r>
    </w:p>
    <w:p w:rsidR="002C0F56" w:rsidRDefault="00E67C6E">
      <w:pPr>
        <w:spacing w:after="26" w:line="259" w:lineRule="auto"/>
        <w:ind w:left="744" w:firstLine="0"/>
        <w:jc w:val="left"/>
      </w:pPr>
      <w:r>
        <w:t xml:space="preserve"> </w:t>
      </w:r>
    </w:p>
    <w:p w:rsidR="002C0F56" w:rsidRDefault="00E67C6E">
      <w:pPr>
        <w:ind w:left="165" w:right="1149"/>
      </w:pPr>
      <w:r>
        <w:t>Таким образом, в товарной структуре экспорта в 2016 г. по сравнению с 2015 г. увеличилась доля всех позиций, кроме доли топливно-</w:t>
      </w:r>
      <w:r>
        <w:t xml:space="preserve">энергетической продукции, которая снизились на 9,70%. </w:t>
      </w:r>
    </w:p>
    <w:p w:rsidR="002C0F56" w:rsidRDefault="00E67C6E">
      <w:pPr>
        <w:spacing w:after="11"/>
        <w:ind w:left="165" w:right="1154"/>
      </w:pPr>
      <w:r>
        <w:t>Положительным моментом стало снижение общего объема импорта в экономику Кемеровской области, который в 2016 г. составил всего 501,2 млн. долл. и по сравнению с 2015 г. уменьшился на 137,2 млн. долл. (н</w:t>
      </w:r>
      <w:r>
        <w:t xml:space="preserve">а 21,5%) [4].  </w:t>
      </w:r>
    </w:p>
    <w:p w:rsidR="002C0F56" w:rsidRDefault="00E67C6E">
      <w:pPr>
        <w:spacing w:after="7"/>
        <w:ind w:left="165" w:right="1148"/>
      </w:pPr>
      <w:r>
        <w:lastRenderedPageBreak/>
        <w:t xml:space="preserve">Физический объем поставок импортной продукции составил 464,7 тыс. тонн и уменьшился на 43,2%. То есть, можно говорить об общем снижении импорта. При этом, импорт товаров из стран дальнего зарубежья увеличился на 49,4 млн. долл. (на 12,5%), </w:t>
      </w:r>
      <w:r>
        <w:t>а из стран СНГ – уменьшился на 186,6 млн. долл. (в 4,3 раза) и составил соответственно 444,6 млн. долл. и 56,6 млн. долл. Участниками этого направления внешнеэкономической деятельности Кемеровской области в 2016 г. стали партнеры из 71 стран мира (в 2015 г</w:t>
      </w:r>
      <w:r>
        <w:t xml:space="preserve">. - всего 62 страны) [1]. </w:t>
      </w:r>
    </w:p>
    <w:p w:rsidR="002C0F56" w:rsidRDefault="00E67C6E">
      <w:pPr>
        <w:spacing w:after="0"/>
        <w:ind w:left="165" w:right="1149"/>
      </w:pPr>
      <w:r>
        <w:t>Импорт машин и оборудования (машины для выемки, бурения грунта, машины и устройства для подъема, перемещения, разгрузки и погрузки, валы трансмиссионные, насосы жидкостные, части и принадлежности моторных транспортных средств, дв</w:t>
      </w:r>
      <w:r>
        <w:t>игатели и силовые установки, тали подъемные и подъемники, и другое оборудование, электроды угольные и др.) составил 326,7 млн. долл. и по сравнению с 2015 г. уменьшился на 5,4%. При этом стоимостной объем поставок товаров из стран дальнего зарубежья увелич</w:t>
      </w:r>
      <w:r>
        <w:t xml:space="preserve">ился на 19,6%, а из стран СНГ – сократился в 11 раз (рис.2). Последнее обстоятельство требует активизации торговой политики региональных властей, поскольку экономический смысл отношений добрососедства часто превышает стремление к максимизации выгоды. </w:t>
      </w:r>
    </w:p>
    <w:p w:rsidR="002C0F56" w:rsidRDefault="00E67C6E">
      <w:pPr>
        <w:spacing w:after="0" w:line="259" w:lineRule="auto"/>
        <w:ind w:left="744" w:firstLine="0"/>
        <w:jc w:val="left"/>
      </w:pPr>
      <w:r>
        <w:t xml:space="preserve"> </w:t>
      </w:r>
    </w:p>
    <w:p w:rsidR="002C0F56" w:rsidRDefault="00E67C6E">
      <w:pPr>
        <w:spacing w:after="12" w:line="259" w:lineRule="auto"/>
        <w:ind w:left="744" w:firstLine="0"/>
        <w:jc w:val="left"/>
      </w:pPr>
      <w:r>
        <w:rPr>
          <w:noProof/>
        </w:rPr>
        <w:drawing>
          <wp:inline distT="0" distB="0" distL="0" distR="0">
            <wp:extent cx="5894705" cy="3322320"/>
            <wp:effectExtent l="0" t="0" r="0" b="0"/>
            <wp:docPr id="7170" name="Picture 7170"/>
            <wp:cNvGraphicFramePr/>
            <a:graphic xmlns:a="http://schemas.openxmlformats.org/drawingml/2006/main">
              <a:graphicData uri="http://schemas.openxmlformats.org/drawingml/2006/picture">
                <pic:pic xmlns:pic="http://schemas.openxmlformats.org/drawingml/2006/picture">
                  <pic:nvPicPr>
                    <pic:cNvPr id="7170" name="Picture 7170"/>
                    <pic:cNvPicPr/>
                  </pic:nvPicPr>
                  <pic:blipFill>
                    <a:blip r:embed="rId116"/>
                    <a:stretch>
                      <a:fillRect/>
                    </a:stretch>
                  </pic:blipFill>
                  <pic:spPr>
                    <a:xfrm>
                      <a:off x="0" y="0"/>
                      <a:ext cx="5894705" cy="3322320"/>
                    </a:xfrm>
                    <a:prstGeom prst="rect">
                      <a:avLst/>
                    </a:prstGeom>
                  </pic:spPr>
                </pic:pic>
              </a:graphicData>
            </a:graphic>
          </wp:inline>
        </w:drawing>
      </w:r>
    </w:p>
    <w:p w:rsidR="002C0F56" w:rsidRDefault="00E67C6E">
      <w:pPr>
        <w:spacing w:after="0" w:line="259" w:lineRule="auto"/>
        <w:ind w:left="180" w:firstLine="0"/>
        <w:jc w:val="left"/>
      </w:pPr>
      <w:r>
        <w:t xml:space="preserve"> </w:t>
      </w:r>
    </w:p>
    <w:p w:rsidR="002C0F56" w:rsidRDefault="00E67C6E">
      <w:pPr>
        <w:spacing w:after="5" w:line="271" w:lineRule="auto"/>
        <w:ind w:left="1194" w:right="396" w:hanging="10"/>
        <w:jc w:val="left"/>
      </w:pPr>
      <w:r>
        <w:rPr>
          <w:b/>
          <w:sz w:val="24"/>
        </w:rPr>
        <w:t xml:space="preserve">Рис. 2.  Товарная структура импорта в 2015- 2016 гг. Составлено по: [4]. </w:t>
      </w:r>
    </w:p>
    <w:p w:rsidR="002C0F56" w:rsidRDefault="00E67C6E">
      <w:pPr>
        <w:spacing w:after="0" w:line="259" w:lineRule="auto"/>
        <w:ind w:left="744" w:firstLine="0"/>
        <w:jc w:val="left"/>
      </w:pPr>
      <w:r>
        <w:rPr>
          <w:i/>
        </w:rPr>
        <w:t xml:space="preserve"> </w:t>
      </w:r>
    </w:p>
    <w:p w:rsidR="002C0F56" w:rsidRDefault="00E67C6E">
      <w:pPr>
        <w:spacing w:after="0"/>
        <w:ind w:left="165" w:right="1148"/>
      </w:pPr>
      <w:r>
        <w:lastRenderedPageBreak/>
        <w:t xml:space="preserve">Этот результат во многом связан с одновременным действием противонаправленных факторов – </w:t>
      </w:r>
      <w:r>
        <w:t>действия санкционного механизма и реализацией стратегии импортозамещения в регионе. В этой ситуации важнейшими задачами выступают: уменьшение рисков, связанных с зависимостью от внешних поставщиков и конъюнктуры на мировом рынке машин и оборудования; решен</w:t>
      </w:r>
      <w:r>
        <w:t xml:space="preserve">ие социальных проблем, связанных с макроэкономической нестабильностью, хронической безработицей; преодоление неравномерности отраслевого развития региона; глубокая диверсификация экономики региона. </w:t>
      </w:r>
    </w:p>
    <w:p w:rsidR="002C0F56" w:rsidRDefault="00E67C6E">
      <w:pPr>
        <w:spacing w:after="0"/>
        <w:ind w:left="165" w:right="1150"/>
      </w:pPr>
      <w:r>
        <w:t>По сравнению с 2015 г. стоимостной объем импорта продукци</w:t>
      </w:r>
      <w:r>
        <w:t>и химической промышленности уменьшился в 2,6 раза и составил 74,8 млн. долл. Физический объем поставок химической продукции сократился в 14,5 раза и составил 26,2 тыс. тонн. Ввозились в основном шины и покрышки пневматические резиновые новые, изделия из пл</w:t>
      </w:r>
      <w:r>
        <w:t>астмасс, цементы огнеупорные, органические химические соединения. В свою очередь, импорт металлов и изделий из них в физическом объеме увеличился на 23,9%, а в стоимостном объеме – уменьшился на 7,1% и составил 35,0 тыс. тонн на 37,7 млн. долл. Ввозились п</w:t>
      </w:r>
      <w:r>
        <w:t>реимущественно ферросплавы, изделия из черных металлов, инструменты, приспособления, ножевые изделия из недрагоценных металлов, изделия из алюминия. Кроме того, в 2016 г. осуществлены поставки концентратов марганцевых из Казахстана, пека каменноугольного и</w:t>
      </w:r>
      <w:r>
        <w:t xml:space="preserve">з Китая и Украины, кирпичей огнеупорных и цемента из Китая, предметов одежды и принадлежностей к одежде из Узбекистана и других товаров [5]. </w:t>
      </w:r>
    </w:p>
    <w:p w:rsidR="002C0F56" w:rsidRDefault="00E67C6E">
      <w:pPr>
        <w:ind w:left="165" w:right="1148"/>
      </w:pPr>
      <w:r>
        <w:t>Внешнеторговая деятельность Кемеровской области в 2016 г. обеспечила 31,7% стоимостного объема внешнеторгового обо</w:t>
      </w:r>
      <w:r>
        <w:t xml:space="preserve">рота, 37,0% - стоимостного объема экспорта и 8,5% - стоимостного объема импорта Сибирского федерального округа.  </w:t>
      </w:r>
    </w:p>
    <w:p w:rsidR="002C0F56" w:rsidRDefault="00E67C6E">
      <w:pPr>
        <w:spacing w:after="5"/>
        <w:ind w:left="165" w:right="1149"/>
      </w:pPr>
      <w:r>
        <w:t xml:space="preserve">Итоги основных участников внешнеторговой деятельности Кемеровской области на территории Российской Федерации в 2016 г. по сравнению с 2015 г. </w:t>
      </w:r>
      <w:r>
        <w:t xml:space="preserve">свидетельствуют о сокращении стоимостных объемов товарооборота, экспорта и импорта на 8,1%, 7,3% и 21,5% соответственно. Физический объем поставок товаров в экспорте увеличился на 11,0%, а в импорте – уменьшился на 43,2%. </w:t>
      </w:r>
    </w:p>
    <w:p w:rsidR="002C0F56" w:rsidRDefault="00E67C6E">
      <w:pPr>
        <w:ind w:left="165" w:right="1148"/>
      </w:pPr>
      <w:r>
        <w:t>Снижение стоимостного объема эксп</w:t>
      </w:r>
      <w:r>
        <w:t>орта обусловлено в основном сокращением объемов поставок алюминия, кокса из каменного угля в страны дальнего зарубежья и страны СНГ, нефтепродуктов и черных металлов в страны СНГ, а также уменьшением стоимости поставок угля каменного в страны дальнего и бл</w:t>
      </w:r>
      <w:r>
        <w:t xml:space="preserve">ижнего зарубежья, органических химических соединений в страны дальнего зарубежья. </w:t>
      </w:r>
    </w:p>
    <w:p w:rsidR="002C0F56" w:rsidRDefault="00E67C6E">
      <w:pPr>
        <w:spacing w:after="4"/>
        <w:ind w:left="165" w:right="1153"/>
      </w:pPr>
      <w:r>
        <w:lastRenderedPageBreak/>
        <w:t xml:space="preserve">Глобальный финансово-экономический кризис изменил позиции стратегических партнеров российских регионов. Ведущими торговыми партнерами в 2016 г. в осуществлении экспортных и </w:t>
      </w:r>
      <w:r>
        <w:t>импортных операций остаются страны дальнего зарубежья с долей в стоимостных объемах экспорта и импорта 87,4% и 88,7% соответственно. В этой связи необходимо осознать растущее значение дружественных отношений между ближайшими традиционными соседями, способс</w:t>
      </w:r>
      <w:r>
        <w:t xml:space="preserve">твующих росту устойчивости национального социально-экономического развития на фоне усиления взаимозависимости государств. </w:t>
      </w:r>
    </w:p>
    <w:p w:rsidR="002C0F56" w:rsidRDefault="00E67C6E">
      <w:pPr>
        <w:spacing w:after="27" w:line="259" w:lineRule="auto"/>
        <w:ind w:left="744" w:firstLine="0"/>
        <w:jc w:val="left"/>
      </w:pPr>
      <w:r>
        <w:t xml:space="preserve"> </w:t>
      </w:r>
    </w:p>
    <w:p w:rsidR="002C0F56" w:rsidRDefault="00E67C6E">
      <w:pPr>
        <w:ind w:left="165" w:right="1156" w:firstLine="3747"/>
      </w:pPr>
      <w:r>
        <w:t xml:space="preserve">Список литературы: 1. Внешние экономические связи Кемеровской области [Электронный ресурс] - Режим доступа: </w:t>
      </w:r>
      <w:hyperlink r:id="rId117">
        <w:r>
          <w:t>http://vedkuzbass.ru/</w:t>
        </w:r>
      </w:hyperlink>
      <w:hyperlink r:id="rId118">
        <w:r>
          <w:t xml:space="preserve"> </w:t>
        </w:r>
      </w:hyperlink>
      <w:r>
        <w:t xml:space="preserve"> </w:t>
      </w:r>
    </w:p>
    <w:p w:rsidR="002C0F56" w:rsidRDefault="00E67C6E">
      <w:pPr>
        <w:numPr>
          <w:ilvl w:val="0"/>
          <w:numId w:val="17"/>
        </w:numPr>
        <w:spacing w:after="11" w:line="270" w:lineRule="auto"/>
        <w:ind w:right="725"/>
      </w:pPr>
      <w:r>
        <w:t xml:space="preserve">Внешняя торговля России в 2015 году области [Электронный ресурс] - </w:t>
      </w:r>
    </w:p>
    <w:p w:rsidR="002C0F56" w:rsidRDefault="00E67C6E">
      <w:pPr>
        <w:ind w:left="165" w:right="302" w:firstLine="0"/>
      </w:pPr>
      <w:r>
        <w:t xml:space="preserve">Режим доступа: </w:t>
      </w:r>
      <w:hyperlink r:id="rId119">
        <w:r>
          <w:t>http://pandia.ru/text/80/149/9122.php</w:t>
        </w:r>
      </w:hyperlink>
      <w:hyperlink r:id="rId120">
        <w:r>
          <w:t xml:space="preserve"> </w:t>
        </w:r>
      </w:hyperlink>
    </w:p>
    <w:p w:rsidR="002C0F56" w:rsidRDefault="00E67C6E">
      <w:pPr>
        <w:numPr>
          <w:ilvl w:val="0"/>
          <w:numId w:val="17"/>
        </w:numPr>
        <w:spacing w:after="11" w:line="270" w:lineRule="auto"/>
        <w:ind w:right="725"/>
      </w:pPr>
      <w:r>
        <w:t xml:space="preserve">Внешняя торговля России в 2016 году: цифры и факты области  </w:t>
      </w:r>
    </w:p>
    <w:p w:rsidR="002C0F56" w:rsidRDefault="00E67C6E">
      <w:pPr>
        <w:tabs>
          <w:tab w:val="center" w:pos="3551"/>
          <w:tab w:val="center" w:pos="5251"/>
          <w:tab w:val="center" w:pos="6909"/>
          <w:tab w:val="center" w:pos="9027"/>
        </w:tabs>
        <w:ind w:left="0" w:firstLine="0"/>
        <w:jc w:val="left"/>
      </w:pPr>
      <w:r>
        <w:t xml:space="preserve">[Электронный </w:t>
      </w:r>
      <w:r>
        <w:tab/>
        <w:t xml:space="preserve">ресурс] </w:t>
      </w:r>
      <w:r>
        <w:tab/>
        <w:t xml:space="preserve">- </w:t>
      </w:r>
      <w:r>
        <w:tab/>
        <w:t xml:space="preserve">Режим </w:t>
      </w:r>
      <w:r>
        <w:tab/>
        <w:t xml:space="preserve">доступа: </w:t>
      </w:r>
    </w:p>
    <w:p w:rsidR="002C0F56" w:rsidRDefault="00E67C6E">
      <w:pPr>
        <w:ind w:left="165" w:right="302" w:firstLine="0"/>
      </w:pPr>
      <w:r>
        <w:t>http://провэд.рф/analytics/research/40407-vneshnyaya-</w:t>
      </w:r>
      <w:r>
        <w:t xml:space="preserve">topgovlya-possii-v-2016godu-tsifpy-i-fakty.html </w:t>
      </w:r>
    </w:p>
    <w:p w:rsidR="002C0F56" w:rsidRDefault="00E67C6E">
      <w:pPr>
        <w:numPr>
          <w:ilvl w:val="0"/>
          <w:numId w:val="17"/>
        </w:numPr>
        <w:ind w:right="725"/>
      </w:pPr>
      <w:r>
        <w:t xml:space="preserve">Итоги внешней торговли Кемеровской области за 2016 год области </w:t>
      </w:r>
    </w:p>
    <w:p w:rsidR="002C0F56" w:rsidRDefault="00E67C6E">
      <w:pPr>
        <w:tabs>
          <w:tab w:val="center" w:pos="3551"/>
          <w:tab w:val="center" w:pos="5251"/>
          <w:tab w:val="center" w:pos="6909"/>
          <w:tab w:val="center" w:pos="9027"/>
        </w:tabs>
        <w:spacing w:after="12"/>
        <w:ind w:left="0" w:firstLine="0"/>
        <w:jc w:val="left"/>
      </w:pPr>
      <w:r>
        <w:t xml:space="preserve">[Электронный </w:t>
      </w:r>
      <w:r>
        <w:tab/>
        <w:t xml:space="preserve">ресурс] </w:t>
      </w:r>
      <w:r>
        <w:tab/>
        <w:t xml:space="preserve">- </w:t>
      </w:r>
      <w:r>
        <w:tab/>
        <w:t xml:space="preserve">Режим </w:t>
      </w:r>
      <w:r>
        <w:tab/>
        <w:t xml:space="preserve">доступа: </w:t>
      </w:r>
    </w:p>
    <w:p w:rsidR="002C0F56" w:rsidRDefault="00E67C6E">
      <w:pPr>
        <w:ind w:left="165" w:right="302" w:firstLine="0"/>
      </w:pPr>
      <w:hyperlink r:id="rId121">
        <w:r>
          <w:t>http://vedkuzbass.ru/index.php/mezhdunarodnoe</w:t>
        </w:r>
      </w:hyperlink>
      <w:hyperlink r:id="rId122">
        <w:r>
          <w:t>-</w:t>
        </w:r>
      </w:hyperlink>
      <w:hyperlink r:id="rId123">
        <w:r>
          <w:t>i</w:t>
        </w:r>
      </w:hyperlink>
      <w:hyperlink r:id="rId124">
        <w:r>
          <w:t>-</w:t>
        </w:r>
      </w:hyperlink>
      <w:hyperlink r:id="rId125">
        <w:r>
          <w:t>mezhregionalnoe</w:t>
        </w:r>
      </w:hyperlink>
      <w:hyperlink r:id="rId126"/>
      <w:hyperlink r:id="rId127">
        <w:r>
          <w:t>sotrudnichestvo/itogived</w:t>
        </w:r>
      </w:hyperlink>
      <w:hyperlink r:id="rId128">
        <w:r>
          <w:t>-</w:t>
        </w:r>
      </w:hyperlink>
      <w:r>
        <w:t xml:space="preserve"> Дата обращения 17.04.2017 </w:t>
      </w:r>
    </w:p>
    <w:p w:rsidR="002C0F56" w:rsidRDefault="00E67C6E">
      <w:pPr>
        <w:numPr>
          <w:ilvl w:val="0"/>
          <w:numId w:val="17"/>
        </w:numPr>
        <w:spacing w:after="0"/>
        <w:ind w:right="725"/>
      </w:pPr>
      <w:r>
        <w:t xml:space="preserve">Марганцевый концентрат области [Электронный ресурс] - Режим доступа: </w:t>
      </w:r>
      <w:hyperlink r:id="rId129">
        <w:r>
          <w:t>htt</w:t>
        </w:r>
        <w:r>
          <w:t>p://www.metaltorg.ru/margantsevyj</w:t>
        </w:r>
      </w:hyperlink>
      <w:hyperlink r:id="rId130">
        <w:r>
          <w:t>-</w:t>
        </w:r>
      </w:hyperlink>
      <w:hyperlink r:id="rId131">
        <w:r>
          <w:t>kontsentrat.htm</w:t>
        </w:r>
      </w:hyperlink>
      <w:hyperlink r:id="rId132">
        <w:r>
          <w:t xml:space="preserve"> </w:t>
        </w:r>
      </w:hyperlink>
    </w:p>
    <w:p w:rsidR="002C0F56" w:rsidRDefault="00E67C6E">
      <w:pPr>
        <w:numPr>
          <w:ilvl w:val="0"/>
          <w:numId w:val="17"/>
        </w:numPr>
        <w:ind w:right="725"/>
      </w:pPr>
      <w:r>
        <w:t xml:space="preserve">Общие итоги внешней торговли Кемеровской области за 2015 год области [Электронный ресурс] - Режим доступа: </w:t>
      </w:r>
    </w:p>
    <w:p w:rsidR="002C0F56" w:rsidRDefault="00E67C6E">
      <w:pPr>
        <w:ind w:left="165" w:right="302" w:firstLine="0"/>
      </w:pPr>
      <w:hyperlink r:id="rId133">
        <w:r>
          <w:t>http://www.rusexporter.ru/research/region/detail/4505/</w:t>
        </w:r>
      </w:hyperlink>
      <w:hyperlink r:id="rId134">
        <w:r>
          <w:t xml:space="preserve"> </w:t>
        </w:r>
      </w:hyperlink>
    </w:p>
    <w:p w:rsidR="002C0F56" w:rsidRDefault="00E67C6E">
      <w:pPr>
        <w:numPr>
          <w:ilvl w:val="0"/>
          <w:numId w:val="17"/>
        </w:numPr>
        <w:ind w:right="725"/>
      </w:pPr>
      <w:r>
        <w:t xml:space="preserve">Федеральная таможенная служба. Экспорт-импорт важнейших товаров за январь-декабрь 2016 года области [Электронный ресурс]- Режим доступа </w:t>
      </w:r>
      <w:r>
        <w:tab/>
        <w:t xml:space="preserve">– </w:t>
      </w:r>
    </w:p>
    <w:p w:rsidR="002C0F56" w:rsidRDefault="00E67C6E">
      <w:pPr>
        <w:spacing w:after="12"/>
        <w:ind w:left="165" w:right="302" w:firstLine="0"/>
      </w:pPr>
      <w:r>
        <w:t>URL:</w:t>
      </w:r>
      <w:hyperlink r:id="rId135">
        <w:r>
          <w:t>http://www.customs.ru/index.php?option=com_content&amp;view=article&amp;id=24</w:t>
        </w:r>
      </w:hyperlink>
    </w:p>
    <w:p w:rsidR="002C0F56" w:rsidRDefault="00E67C6E">
      <w:pPr>
        <w:ind w:left="729" w:right="1151" w:hanging="564"/>
      </w:pPr>
      <w:hyperlink r:id="rId136">
        <w:r>
          <w:t>772:</w:t>
        </w:r>
      </w:hyperlink>
      <w:hyperlink r:id="rId137">
        <w:r>
          <w:t>-------</w:t>
        </w:r>
      </w:hyperlink>
      <w:hyperlink r:id="rId138">
        <w:r>
          <w:t>2016</w:t>
        </w:r>
      </w:hyperlink>
      <w:hyperlink r:id="rId139">
        <w:r>
          <w:t>-</w:t>
        </w:r>
      </w:hyperlink>
      <w:hyperlink r:id="rId140">
        <w:r>
          <w:t>&amp;catid=53:2011</w:t>
        </w:r>
      </w:hyperlink>
      <w:hyperlink r:id="rId141">
        <w:r>
          <w:t>-</w:t>
        </w:r>
      </w:hyperlink>
      <w:hyperlink r:id="rId142">
        <w:r>
          <w:t>01</w:t>
        </w:r>
      </w:hyperlink>
      <w:hyperlink r:id="rId143">
        <w:r>
          <w:t>-</w:t>
        </w:r>
      </w:hyperlink>
      <w:hyperlink r:id="rId144">
        <w:r>
          <w:t>24</w:t>
        </w:r>
      </w:hyperlink>
      <w:hyperlink r:id="rId145">
        <w:r>
          <w:t>-</w:t>
        </w:r>
      </w:hyperlink>
      <w:hyperlink r:id="rId146">
        <w:r>
          <w:t>16</w:t>
        </w:r>
      </w:hyperlink>
      <w:hyperlink r:id="rId147">
        <w:r>
          <w:t>-</w:t>
        </w:r>
      </w:hyperlink>
      <w:hyperlink r:id="rId148">
        <w:r>
          <w:t>29</w:t>
        </w:r>
      </w:hyperlink>
      <w:hyperlink r:id="rId149">
        <w:r>
          <w:t>-</w:t>
        </w:r>
      </w:hyperlink>
      <w:hyperlink r:id="rId150">
        <w:r>
          <w:t>43</w:t>
        </w:r>
      </w:hyperlink>
      <w:hyperlink r:id="rId151">
        <w:r>
          <w:t xml:space="preserve"> </w:t>
        </w:r>
      </w:hyperlink>
      <w:r>
        <w:t xml:space="preserve">8. Экономика Кузбасса области [Электронный ресурс] - Режим доступа: </w:t>
      </w:r>
    </w:p>
    <w:p w:rsidR="002C0F56" w:rsidRDefault="00E67C6E">
      <w:pPr>
        <w:spacing w:after="12"/>
        <w:ind w:left="165" w:right="302" w:firstLine="0"/>
      </w:pPr>
      <w:hyperlink r:id="rId152">
        <w:r>
          <w:t>http://revoluti</w:t>
        </w:r>
        <w:r>
          <w:t>on.allbest.ru/economy/00340341_0.html</w:t>
        </w:r>
      </w:hyperlink>
      <w:hyperlink r:id="rId153">
        <w:r>
          <w:t xml:space="preserve"> </w:t>
        </w:r>
      </w:hyperlink>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rPr>
          <w:b/>
        </w:rPr>
        <w:t xml:space="preserve"> </w:t>
      </w:r>
    </w:p>
    <w:p w:rsidR="002C0F56" w:rsidRDefault="00E67C6E">
      <w:pPr>
        <w:pStyle w:val="1"/>
        <w:spacing w:after="25" w:line="259" w:lineRule="auto"/>
        <w:ind w:right="856"/>
        <w:jc w:val="right"/>
      </w:pPr>
      <w:r>
        <w:lastRenderedPageBreak/>
        <w:t xml:space="preserve">Бартош Ю.В. </w:t>
      </w:r>
      <w:r>
        <w:rPr>
          <w:b w:val="0"/>
        </w:rPr>
        <w:t xml:space="preserve">Научный руководитель: Куликовская Е.В.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rPr>
          <w:b/>
        </w:rPr>
        <w:t xml:space="preserve"> </w:t>
      </w:r>
    </w:p>
    <w:p w:rsidR="002C0F56" w:rsidRDefault="00E67C6E">
      <w:pPr>
        <w:pStyle w:val="1"/>
        <w:ind w:left="700" w:right="1374"/>
      </w:pPr>
      <w:r>
        <w:t xml:space="preserve">ИННОВАЦИОННАЯ ДЕЯТЕЛЬНОСТЬ В РЕСПУБЛИКЕ БЕЛАРУСЬ: ПРОБЛЕМЫ И ПЕРСПЕКТИВЫ РАЗВИТИЯ </w:t>
      </w:r>
    </w:p>
    <w:p w:rsidR="002C0F56" w:rsidRDefault="00E67C6E">
      <w:pPr>
        <w:spacing w:after="0" w:line="259" w:lineRule="auto"/>
        <w:ind w:left="744" w:firstLine="0"/>
        <w:jc w:val="left"/>
      </w:pPr>
      <w:r>
        <w:rPr>
          <w:b/>
        </w:rPr>
        <w:t xml:space="preserve"> </w:t>
      </w:r>
    </w:p>
    <w:p w:rsidR="002C0F56" w:rsidRDefault="00E67C6E">
      <w:pPr>
        <w:spacing w:after="0"/>
        <w:ind w:left="165" w:right="870"/>
      </w:pPr>
      <w:r>
        <w:t>Состояния инновационной деятельности в любом государстве является важнейшим индикатором развития общества и его экономики. В настоящее время инновационная деятельность в р</w:t>
      </w:r>
      <w:r>
        <w:t>азвитых странах является составной частью государственной социально-экономической политики. Она позволяет решать задачи перестройки экономики, непрерывного обновления технической базы производства, выпуска конкурентоспособной продукции и направлена на созд</w:t>
      </w:r>
      <w:r>
        <w:t xml:space="preserve">ание благоприятного экономического климата для осуществления инновационных процессов [1].   </w:t>
      </w:r>
    </w:p>
    <w:p w:rsidR="002C0F56" w:rsidRDefault="00E67C6E">
      <w:pPr>
        <w:ind w:left="165" w:right="866"/>
      </w:pPr>
      <w:r>
        <w:t>Долгосрочные негативные тенденции в науке и инновационной сфере Республики Беларусь сохраняют актуальность и в настоящее время. В числе важнейшей проблемы функцион</w:t>
      </w:r>
      <w:r>
        <w:t>ирования национальной инновационной системы следует выделить критически низкий уровень наукоемкости ВВП. В последние годы показатель «внутренние затраты на научные исследования и разработки, в процентах к ВВП» (наукоемкость ВВП) находится на уровне 0,5– 0,</w:t>
      </w:r>
      <w:r>
        <w:t xml:space="preserve">7%, что значительно ниже среднеевропейского значения (2%) и критического уровня экономической безопасности (1%). При этом наукоемкость ВВП имеет тенденцию к снижению, в 2015 г. и 2016 г. ее уровень был рекордно низким и составил 0,52% [2]. </w:t>
      </w:r>
    </w:p>
    <w:p w:rsidR="002C0F56" w:rsidRDefault="00E67C6E">
      <w:pPr>
        <w:ind w:left="165" w:right="866"/>
      </w:pPr>
      <w:r>
        <w:t xml:space="preserve">Первостепенную </w:t>
      </w:r>
      <w:r>
        <w:t>значимость для развития национальных инновационных систем имеет наращивание потенциала научной сферы. Первый этап активного наращивания научно-технического потенциала должен отличаться значительной долей государственных ресурсов в структуре затрат на иссле</w:t>
      </w:r>
      <w:r>
        <w:t>дования и разработки. По мере выхода на 1-процентный уровень наукоемкости ВВП, формируемый за счет средств бюджета, опережающими темпами должно нарастать финансирование исследований и разработок из средств коммерческих организаций с тем, чтобы на один бюдж</w:t>
      </w:r>
      <w:r>
        <w:t xml:space="preserve">етный рубль в науке приходилось порядка двух рублей затрат бизнес-сектора.  </w:t>
      </w:r>
    </w:p>
    <w:p w:rsidR="002C0F56" w:rsidRDefault="00E67C6E">
      <w:pPr>
        <w:ind w:left="165" w:right="865"/>
      </w:pPr>
      <w:r>
        <w:t>Как итог недофинансирования научно-</w:t>
      </w:r>
      <w:r>
        <w:t>технической деятельности и слабой мотивации труда в научной сфере количество занятых в сфере «наука и научное обслуживание» продолжает сокращаться, в том числе специалистов высшей квалификации – кандидатов и докторов наук. В целом в 2015 г. в Республике Бе</w:t>
      </w:r>
      <w:r>
        <w:t xml:space="preserve">ларусь научные исследования выполняли 439 организаций, в которых работало 26 153 сотрудника, в том числе 16 953 исследователя. Кадровый </w:t>
      </w:r>
      <w:r>
        <w:lastRenderedPageBreak/>
        <w:t xml:space="preserve">потенциал белорусской науки за последние пять лет сократился на 17,5% сотрудников и 14,7% исследователей, сократилась и </w:t>
      </w:r>
      <w:r>
        <w:t>численность специалистов высшей квалификации: докторов наук – на 13,1% и кандидатов наук – на 10,2%. Происходит ухудшение возрастной структуры научных кадров. За последние годы произошло увеличение удельного веса численности исследователей в возрасте более</w:t>
      </w:r>
      <w:r>
        <w:t xml:space="preserve"> 60 лет до 18,8% в общей численности, в том числе докторов наук – 79,6% и кандидатов наук – 36%.  </w:t>
      </w:r>
    </w:p>
    <w:p w:rsidR="002C0F56" w:rsidRDefault="00E67C6E">
      <w:pPr>
        <w:ind w:left="165" w:right="870"/>
      </w:pPr>
      <w:r>
        <w:t>Сохранить научно-технический потенциал путем его консервации нельзя, полученные результаты устаревают через 2–3 года, а работоспособные научные коллективы пр</w:t>
      </w:r>
      <w:r>
        <w:t xml:space="preserve">и отсутствии спроса распадаются. Поэтому сохранить науку можно только одним способом – обеспечить ученых работой, которая была бы востребована промышленностью соответствующего профиля.  </w:t>
      </w:r>
    </w:p>
    <w:p w:rsidR="002C0F56" w:rsidRDefault="00E67C6E">
      <w:pPr>
        <w:spacing w:after="9"/>
        <w:ind w:left="165" w:right="870"/>
      </w:pPr>
      <w:r>
        <w:t>Государство по-прежнему остается основным покупателем результатов исс</w:t>
      </w:r>
      <w:r>
        <w:t xml:space="preserve">ледований и разработок, а следовательно, направленность бюджета сказывается на объеме финансирования.  </w:t>
      </w:r>
    </w:p>
    <w:p w:rsidR="002C0F56" w:rsidRDefault="00E67C6E">
      <w:pPr>
        <w:ind w:left="165" w:right="867"/>
      </w:pPr>
      <w:r>
        <w:t>Внутренняя потребность в научной продукции имеет ряд особенностей: потребителю нужны прикладные технологии, а не фундаментальные исследования. Однако без прогресса в области «чистых» исследований невозможно ни поступательное движение общества, ни формирова</w:t>
      </w:r>
      <w:r>
        <w:t xml:space="preserve">ние современной наукоемкой и конкурентоспособной промышленности. Программы модернизации белорусских предприятий не всегда могут опираться на отечественные научные разработки, поскольку соответствующей базы по целому ряду направлений в стране нет и сегодня </w:t>
      </w:r>
      <w:r>
        <w:t xml:space="preserve">спрос на научно-техническую продукцию не равнозначен сложившемуся объему и структуре научной отрасли. В связи с этим необходимо реализовать комплекс мер по финансированию и стимулированию научно-технической и инновационной деятельности.  </w:t>
      </w:r>
    </w:p>
    <w:p w:rsidR="002C0F56" w:rsidRDefault="00E67C6E">
      <w:pPr>
        <w:spacing w:after="0"/>
        <w:ind w:left="165" w:right="869"/>
      </w:pPr>
      <w:r>
        <w:t>В Республике Бела</w:t>
      </w:r>
      <w:r>
        <w:t>русь из года в год увеличивается отрицательное сальдо в торговле объектами интеллектуальной собственности, за 2009–2015 гг. оно составило более 700 млн. долл. США. За рассматриваемый период ежегодно импорт превышает экспорт по статье «Плата за использовани</w:t>
      </w:r>
      <w:r>
        <w:t>е объектов интеллектуальной собственности» в 4–5 раз, в январе – июне 2016 г. при экспорте 11,2 млн. долл. США импорт составил 52,3 млн. долл. США. В структуре поступления денежных средств от коммерциализации объектов интеллектуальной собственности в Белар</w:t>
      </w:r>
      <w:r>
        <w:t xml:space="preserve">уси преобладают средства, полученные за счет реализации незапатентованных результатов исследований и разработок. </w:t>
      </w:r>
    </w:p>
    <w:p w:rsidR="002C0F56" w:rsidRDefault="00E67C6E">
      <w:pPr>
        <w:ind w:left="165" w:right="302"/>
      </w:pPr>
      <w:r>
        <w:t xml:space="preserve">На сегодняшний день в Беларуси ощущается дефицит специалистов высшей квалификации патентоведов, маркетологов в инновационной сфере.  </w:t>
      </w:r>
    </w:p>
    <w:p w:rsidR="002C0F56" w:rsidRDefault="00E67C6E">
      <w:pPr>
        <w:ind w:left="165" w:right="872"/>
      </w:pPr>
      <w:r>
        <w:lastRenderedPageBreak/>
        <w:t>За после</w:t>
      </w:r>
      <w:r>
        <w:t xml:space="preserve">дние годы в стране наблюдается сокращение удельного веса инновационно активных предприятий промышленности – с 21,7% в 2013 г. до 19% в 2015 г.  </w:t>
      </w:r>
    </w:p>
    <w:p w:rsidR="002C0F56" w:rsidRDefault="00E67C6E">
      <w:pPr>
        <w:ind w:left="165" w:right="867"/>
      </w:pPr>
      <w:r>
        <w:t>Показатель «удельный вес отгруженной инновационной продукции в общем объеме отгруженной продукции промышленност</w:t>
      </w:r>
      <w:r>
        <w:t xml:space="preserve">и» в январе – июне 2016 г. составил 13,9%, что выше, чем в 2015 г., – 12,9%; в 2013 г. аналогичный показатель составил 17,8%.  </w:t>
      </w:r>
    </w:p>
    <w:p w:rsidR="002C0F56" w:rsidRDefault="00E67C6E">
      <w:pPr>
        <w:spacing w:after="2"/>
        <w:ind w:left="165" w:right="866"/>
      </w:pPr>
      <w:r>
        <w:t xml:space="preserve">Белорусские предприятия ориентированы главным образом на простое обновление существующего парка машин и оборудования, локальное </w:t>
      </w:r>
      <w:r>
        <w:t xml:space="preserve">совершенствование технологических процессов в рамках существующих укладов.  </w:t>
      </w:r>
    </w:p>
    <w:p w:rsidR="002C0F56" w:rsidRDefault="00E67C6E">
      <w:pPr>
        <w:spacing w:after="10"/>
        <w:ind w:left="165" w:right="871"/>
      </w:pPr>
      <w:r>
        <w:t>Эффективность использования инновационной инфраструктуры пока остается низкой (большинство технопарков по-прежнему находятся в стадии становления) и она ограничена стагнацией спро</w:t>
      </w:r>
      <w:r>
        <w:t xml:space="preserve">са на инновации со стороны компаний, что обусловлено недостаточной поддержкой созданных объектов в период их выхода на окупаемость.  </w:t>
      </w:r>
    </w:p>
    <w:p w:rsidR="002C0F56" w:rsidRDefault="00E67C6E">
      <w:pPr>
        <w:spacing w:after="0"/>
        <w:ind w:left="165" w:right="867"/>
      </w:pPr>
      <w:r>
        <w:t>Ускорение инновационного развития Беларуси должно опираться на сложившиеся научные школы и имеющиеся заделы мирового уровн</w:t>
      </w:r>
      <w:r>
        <w:t xml:space="preserve">я, подкрепленные творческой адаптацией новых, доказавших свою состоятельность механизмов развития. Инновационная деятельность является сложным, нацеленным на будущее и затратным видом деятельности с недостаточно предсказуемым результатом.  </w:t>
      </w:r>
    </w:p>
    <w:p w:rsidR="002C0F56" w:rsidRDefault="00E67C6E">
      <w:pPr>
        <w:ind w:left="165" w:right="302"/>
      </w:pPr>
      <w:r>
        <w:t>Для преодоления</w:t>
      </w:r>
      <w:r>
        <w:t xml:space="preserve"> негативных тенденций необходимо принять комплекс мер по активизации инновационной деятельности:  </w:t>
      </w:r>
    </w:p>
    <w:p w:rsidR="002C0F56" w:rsidRDefault="00E67C6E">
      <w:pPr>
        <w:numPr>
          <w:ilvl w:val="0"/>
          <w:numId w:val="18"/>
        </w:numPr>
        <w:ind w:right="302"/>
      </w:pPr>
      <w:r>
        <w:t xml:space="preserve">создание инжиниринговых центров для сопровождения процесса внедрения в производство научно-технической продукции;  </w:t>
      </w:r>
    </w:p>
    <w:p w:rsidR="002C0F56" w:rsidRDefault="00E67C6E">
      <w:pPr>
        <w:numPr>
          <w:ilvl w:val="0"/>
          <w:numId w:val="18"/>
        </w:numPr>
        <w:ind w:right="302"/>
      </w:pPr>
      <w:r>
        <w:t>расширение функций субъектов инновационно</w:t>
      </w:r>
      <w:r>
        <w:t xml:space="preserve">й инфраструктуры в области коммерциализации объектов интеллектуальной собственности;  </w:t>
      </w:r>
    </w:p>
    <w:p w:rsidR="002C0F56" w:rsidRDefault="00E67C6E">
      <w:pPr>
        <w:numPr>
          <w:ilvl w:val="0"/>
          <w:numId w:val="18"/>
        </w:numPr>
        <w:ind w:right="302"/>
      </w:pPr>
      <w:r>
        <w:t xml:space="preserve">создание специализированных подразделений научных организаций по управлению инновационными проектами;  </w:t>
      </w:r>
    </w:p>
    <w:p w:rsidR="002C0F56" w:rsidRDefault="00E67C6E">
      <w:pPr>
        <w:numPr>
          <w:ilvl w:val="0"/>
          <w:numId w:val="18"/>
        </w:numPr>
        <w:ind w:right="302"/>
      </w:pPr>
      <w:r>
        <w:t>дальнейшее развитие и государственная поддержка системы венчурног</w:t>
      </w:r>
      <w:r>
        <w:t xml:space="preserve">о финансирования, стартап-движений, страхование инновационной деятельности;  </w:t>
      </w:r>
    </w:p>
    <w:p w:rsidR="002C0F56" w:rsidRDefault="00E67C6E">
      <w:pPr>
        <w:numPr>
          <w:ilvl w:val="0"/>
          <w:numId w:val="18"/>
        </w:numPr>
        <w:spacing w:after="14"/>
        <w:ind w:right="302"/>
      </w:pPr>
      <w:r>
        <w:t>создание консорциума, организующего эффективное взаимодействие технопарков и других организаций для трансфера технологий и представляющего интересы своих членов во взаимоотношени</w:t>
      </w:r>
      <w:r>
        <w:t xml:space="preserve">ях с органами государственной власти и местного самоуправления, а также содействующего своим членам в решении социальных, экономических, научно-технических, управленческих проблем.  </w:t>
      </w:r>
    </w:p>
    <w:p w:rsidR="002C0F56" w:rsidRDefault="00E67C6E">
      <w:pPr>
        <w:spacing w:after="10"/>
        <w:ind w:left="165" w:right="868"/>
      </w:pPr>
      <w:r>
        <w:t>Но и этого будет недостаточно, если сохранится тенденция снижения доли за</w:t>
      </w:r>
      <w:r>
        <w:t xml:space="preserve">трат на инновации в ВВП, которое имело место в 2013–2015 гг. – 1,67, 1,38 и </w:t>
      </w:r>
      <w:r>
        <w:lastRenderedPageBreak/>
        <w:t xml:space="preserve">1,32% соответственно. Необходимы инвестиции как для развития инновационной инфраструктуры, так и для реализации крупных инновационных проектов [3].  </w:t>
      </w:r>
    </w:p>
    <w:p w:rsidR="002C0F56" w:rsidRDefault="00E67C6E">
      <w:pPr>
        <w:spacing w:after="10"/>
        <w:ind w:left="165" w:right="869"/>
      </w:pPr>
      <w:r>
        <w:t>Таким образом, можно сделать вывод, что Республика Беларусь имеет значительный научно-технический и производственный потенциал, поэтому быстрое развитие науки, инновационной деятельности приобретают стратегическое значение. И этим обусловлен выбор инноваци</w:t>
      </w:r>
      <w:r>
        <w:t xml:space="preserve">онного пути развития экономики. </w:t>
      </w:r>
    </w:p>
    <w:p w:rsidR="002C0F56" w:rsidRDefault="00E67C6E">
      <w:pPr>
        <w:spacing w:after="24" w:line="259" w:lineRule="auto"/>
        <w:ind w:left="744" w:firstLine="0"/>
        <w:jc w:val="left"/>
      </w:pPr>
      <w:r>
        <w:rPr>
          <w:b/>
        </w:rP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9"/>
        </w:numPr>
        <w:ind w:right="863"/>
      </w:pPr>
      <w:r>
        <w:t xml:space="preserve">Инновационная деятельность в Республике Беларусь и перспективы ее развития [Электронный ресурс]. – Режим доступа: </w:t>
      </w:r>
      <w:hyperlink r:id="rId154">
        <w:r>
          <w:t>http://www.be5.biz/ekon</w:t>
        </w:r>
        <w:r>
          <w:t>omika1/r2013/1037.htm</w:t>
        </w:r>
      </w:hyperlink>
      <w:hyperlink r:id="rId155">
        <w:r>
          <w:t xml:space="preserve"> </w:t>
        </w:r>
      </w:hyperlink>
      <w:r>
        <w:t xml:space="preserve">. – Дата доступа: 09.04.2017. </w:t>
      </w:r>
    </w:p>
    <w:p w:rsidR="002C0F56" w:rsidRDefault="00E67C6E">
      <w:pPr>
        <w:numPr>
          <w:ilvl w:val="0"/>
          <w:numId w:val="19"/>
        </w:numPr>
        <w:ind w:right="863"/>
      </w:pPr>
      <w:r>
        <w:t>Наука и инновационная деятельность в Республике Беларусь за 2016 год [Электронный ресурс]. – Режим доступа: http://www.belstat.gov.by/ofits</w:t>
      </w:r>
      <w:r>
        <w:t xml:space="preserve">ialnayastatistika/solialnaya-sfera/nauka-i-innovatsii/ofitsialnye-publikatsii_3/index_5129/. – Дата доступа: 09.04.2017. </w:t>
      </w:r>
    </w:p>
    <w:p w:rsidR="002C0F56" w:rsidRDefault="00E67C6E">
      <w:pPr>
        <w:numPr>
          <w:ilvl w:val="0"/>
          <w:numId w:val="19"/>
        </w:numPr>
        <w:ind w:right="863"/>
      </w:pPr>
      <w:r>
        <w:t>Инновационная сфера Беларуси [Электронный ресурс]. – Режим доступа: http://www.nbrb.by/bv/articles/10323.pdf . – Дата доступа: 09.04.2</w:t>
      </w:r>
      <w:r>
        <w:t xml:space="preserve">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Бернякович Е.А. </w:t>
      </w:r>
      <w:r>
        <w:rPr>
          <w:b w:val="0"/>
        </w:rPr>
        <w:t xml:space="preserve">Научный руководитель: Савельева Е.В., к.э.н., доц.  </w:t>
      </w:r>
    </w:p>
    <w:p w:rsidR="002C0F56" w:rsidRDefault="00E67C6E">
      <w:pPr>
        <w:spacing w:after="0" w:line="267" w:lineRule="auto"/>
        <w:ind w:left="905" w:right="860" w:hanging="10"/>
        <w:jc w:val="right"/>
      </w:pPr>
      <w:r>
        <w:rPr>
          <w:i/>
        </w:rPr>
        <w:t xml:space="preserve">Донецкий Национальный Университет экономики и торговли им.Михаила </w:t>
      </w:r>
    </w:p>
    <w:p w:rsidR="002C0F56" w:rsidRDefault="00E67C6E">
      <w:pPr>
        <w:spacing w:after="0" w:line="267" w:lineRule="auto"/>
        <w:ind w:left="905" w:right="860" w:hanging="10"/>
        <w:jc w:val="right"/>
      </w:pPr>
      <w:r>
        <w:rPr>
          <w:i/>
        </w:rPr>
        <w:t xml:space="preserve">Туган-Барановского </w:t>
      </w:r>
    </w:p>
    <w:p w:rsidR="002C0F56" w:rsidRDefault="00E67C6E">
      <w:pPr>
        <w:spacing w:after="0" w:line="259" w:lineRule="auto"/>
        <w:ind w:left="744" w:firstLine="0"/>
        <w:jc w:val="left"/>
      </w:pPr>
      <w:r>
        <w:rPr>
          <w:i/>
        </w:rPr>
        <w:t xml:space="preserve"> </w:t>
      </w:r>
    </w:p>
    <w:p w:rsidR="002C0F56" w:rsidRDefault="00E67C6E">
      <w:pPr>
        <w:pStyle w:val="1"/>
        <w:ind w:left="700" w:right="1375"/>
      </w:pPr>
      <w:r>
        <w:t xml:space="preserve">СТРАТЕГИЧЕСКОЕ ПЛАНИРОВАНИЕ ЦЕПЕЙ ПОСТАВОК В ЛОГИСТИКЕ </w:t>
      </w:r>
    </w:p>
    <w:p w:rsidR="002C0F56" w:rsidRDefault="00E67C6E">
      <w:pPr>
        <w:spacing w:after="0" w:line="259" w:lineRule="auto"/>
        <w:ind w:left="744" w:firstLine="0"/>
        <w:jc w:val="left"/>
      </w:pPr>
      <w:r>
        <w:rPr>
          <w:b/>
        </w:rPr>
        <w:t xml:space="preserve"> </w:t>
      </w:r>
    </w:p>
    <w:p w:rsidR="002C0F56" w:rsidRDefault="00E67C6E">
      <w:pPr>
        <w:spacing w:after="0"/>
        <w:ind w:left="165" w:right="874"/>
      </w:pPr>
      <w:r>
        <w:t>Современные условия рыночной экономики характеризуются насыщенностью товарами и услугами. Каждое предприятие стремиться удовлетворить все потребности своих покупателей, в связи с чем между предприятиями возрастает степень конкурентной борьбы.  Так же с рос</w:t>
      </w:r>
      <w:r>
        <w:t xml:space="preserve">том нестабильности внешней среды у каждого предприятия возникает необходимость в стратегическом планировании и разработке стратегии, которая позволит занять лидирующее место на рынке.  </w:t>
      </w:r>
    </w:p>
    <w:p w:rsidR="002C0F56" w:rsidRDefault="00E67C6E">
      <w:pPr>
        <w:ind w:left="165" w:right="302"/>
      </w:pPr>
      <w:r>
        <w:t>Стратегическое планирование должно охватывать все сферы деятельности п</w:t>
      </w:r>
      <w:r>
        <w:t xml:space="preserve">редприятия, одной из таких сфер является логистика.  </w:t>
      </w:r>
    </w:p>
    <w:p w:rsidR="002C0F56" w:rsidRDefault="00E67C6E">
      <w:pPr>
        <w:spacing w:after="5"/>
        <w:ind w:left="165" w:right="866"/>
      </w:pPr>
      <w:r>
        <w:rPr>
          <w:i/>
        </w:rPr>
        <w:lastRenderedPageBreak/>
        <w:t>Стратегическое планирование логистики</w:t>
      </w:r>
      <w:r>
        <w:t xml:space="preserve"> — это деятельность, связанная с постановкой целей и задач логистической системы предприятия и с поддержанием взаимоотношений между предприятием и внешней средой, ко</w:t>
      </w:r>
      <w:r>
        <w:t xml:space="preserve">торые дают возможность предприятию добиться своих целей, соответствуют его внутренним ресурсным возможностям и позволяют оставаться восприимчивым к факторам внешней среды.[1]  </w:t>
      </w:r>
    </w:p>
    <w:p w:rsidR="002C0F56" w:rsidRDefault="00E67C6E">
      <w:pPr>
        <w:spacing w:after="2"/>
        <w:ind w:left="165" w:right="870"/>
      </w:pPr>
      <w:r>
        <w:t>В логистике существует такое понятие, как «цепь поставок». Логистическая цепь п</w:t>
      </w:r>
      <w:r>
        <w:t xml:space="preserve">оставок представляет собой совокупность  поставщиков и потребителей, взаимодействующих между собой с целью доведения товара до конечного покупателя. </w:t>
      </w:r>
    </w:p>
    <w:p w:rsidR="002C0F56" w:rsidRDefault="00E67C6E">
      <w:pPr>
        <w:spacing w:after="64"/>
        <w:ind w:left="165" w:right="871"/>
      </w:pPr>
      <w:r>
        <w:t>При проектировании цепи поставок важнейшей задачей является объединение закупочной, производственной и сбы</w:t>
      </w:r>
      <w:r>
        <w:t xml:space="preserve">товой деятельности в единый, согласованный процесс, целью которого является удовлетворение спроса потребителей на более высоком уровне с меньшими издержками. В результате чего в цепи поставок можно выделить следующие основные звенья: </w:t>
      </w:r>
    </w:p>
    <w:p w:rsidR="002C0F56" w:rsidRDefault="00E67C6E">
      <w:pPr>
        <w:numPr>
          <w:ilvl w:val="0"/>
          <w:numId w:val="20"/>
        </w:numPr>
        <w:spacing w:after="12"/>
        <w:ind w:right="302" w:hanging="144"/>
      </w:pPr>
      <w:r>
        <w:t>закупка и поставка сы</w:t>
      </w:r>
      <w:r>
        <w:t xml:space="preserve">рья и материалов; </w:t>
      </w:r>
    </w:p>
    <w:p w:rsidR="002C0F56" w:rsidRDefault="00E67C6E">
      <w:pPr>
        <w:numPr>
          <w:ilvl w:val="0"/>
          <w:numId w:val="20"/>
        </w:numPr>
        <w:spacing w:after="12"/>
        <w:ind w:right="302" w:hanging="144"/>
      </w:pPr>
      <w:r>
        <w:t xml:space="preserve">хранение сырья, материалов и готовой продукции; </w:t>
      </w:r>
    </w:p>
    <w:p w:rsidR="002C0F56" w:rsidRDefault="00E67C6E">
      <w:pPr>
        <w:numPr>
          <w:ilvl w:val="0"/>
          <w:numId w:val="20"/>
        </w:numPr>
        <w:spacing w:after="12"/>
        <w:ind w:right="302" w:hanging="144"/>
      </w:pPr>
      <w:r>
        <w:t xml:space="preserve">производство товаров; </w:t>
      </w:r>
    </w:p>
    <w:p w:rsidR="002C0F56" w:rsidRDefault="00E67C6E">
      <w:pPr>
        <w:numPr>
          <w:ilvl w:val="0"/>
          <w:numId w:val="20"/>
        </w:numPr>
        <w:spacing w:after="12"/>
        <w:ind w:right="302" w:hanging="144"/>
      </w:pPr>
      <w:r>
        <w:t xml:space="preserve">распределение готовых товаров; </w:t>
      </w:r>
    </w:p>
    <w:p w:rsidR="002C0F56" w:rsidRDefault="00E67C6E">
      <w:pPr>
        <w:spacing w:after="10"/>
        <w:ind w:left="165" w:right="872"/>
      </w:pPr>
      <w:r>
        <w:t xml:space="preserve">В связи с ростом нестабильности внешней среды, а так же с высоким уровнем конкуренции чрезвычайно актуальным становится вопрос стратегического планирования цепей поставок. </w:t>
      </w:r>
    </w:p>
    <w:p w:rsidR="002C0F56" w:rsidRDefault="00E67C6E">
      <w:pPr>
        <w:ind w:left="165" w:right="872"/>
      </w:pPr>
      <w:r>
        <w:t>Основная цель стратегического планирования цепей поставок заключается в прогнозе сп</w:t>
      </w:r>
      <w:r>
        <w:t xml:space="preserve">роса, оптимизации пополнения запасов и формировании производственного плана, что позволяет выбрать  наиболее выгодное и перспективное направления деятельности цепей поставок предприятия, а так же повысить конкурентоспособность его логистической и основной </w:t>
      </w:r>
      <w:r>
        <w:t xml:space="preserve">деятельности. </w:t>
      </w:r>
    </w:p>
    <w:p w:rsidR="002C0F56" w:rsidRDefault="00E67C6E">
      <w:pPr>
        <w:spacing w:after="0"/>
        <w:ind w:left="165" w:right="865"/>
      </w:pPr>
      <w:r>
        <w:t xml:space="preserve">В общем виде </w:t>
      </w:r>
      <w:r>
        <w:rPr>
          <w:i/>
        </w:rPr>
        <w:t>стратегическое планирование цепей поставок</w:t>
      </w:r>
      <w:r>
        <w:t xml:space="preserve"> – </w:t>
      </w:r>
      <w:r>
        <w:t xml:space="preserve">это комплексный, всесторонний и интегрированный процесс планирования для достижения конкурентных преимуществ цепи за счет роста добавленной ценности и улучшения параметров сервиса, обеспечивающих наибольшее удовлетворение клиента, предугадывая его будущие </w:t>
      </w:r>
      <w:r>
        <w:t xml:space="preserve">потребности в отношении качества услуг и оптимально управляя ресурсами во всей цепи поставок [2]. </w:t>
      </w:r>
    </w:p>
    <w:p w:rsidR="002C0F56" w:rsidRDefault="00E67C6E">
      <w:pPr>
        <w:spacing w:after="10"/>
        <w:ind w:left="165" w:right="869"/>
      </w:pPr>
      <w:r>
        <w:t>Можно выделить основные задачи стратегического планирования цепи поставок по каждому из звеньев цепи, таких как закупка, хранение, производство, распределени</w:t>
      </w:r>
      <w:r>
        <w:t xml:space="preserve">е ( Табл. 1).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25" w:line="259" w:lineRule="auto"/>
        <w:ind w:left="0" w:right="627" w:firstLine="0"/>
        <w:jc w:val="center"/>
      </w:pPr>
      <w:r>
        <w:rPr>
          <w:i/>
          <w:sz w:val="24"/>
        </w:rPr>
        <w:t xml:space="preserve"> </w:t>
      </w:r>
    </w:p>
    <w:p w:rsidR="002C0F56" w:rsidRDefault="00E67C6E">
      <w:pPr>
        <w:pStyle w:val="4"/>
        <w:ind w:left="1181" w:right="1864"/>
      </w:pPr>
      <w:r>
        <w:rPr>
          <w:b w:val="0"/>
          <w:i/>
        </w:rPr>
        <w:lastRenderedPageBreak/>
        <w:t xml:space="preserve">Таблица 1- </w:t>
      </w:r>
      <w:r>
        <w:t xml:space="preserve">Задачи стратегического планирования цепи поставок </w:t>
      </w:r>
    </w:p>
    <w:p w:rsidR="002C0F56" w:rsidRDefault="00E67C6E">
      <w:pPr>
        <w:spacing w:after="0" w:line="259" w:lineRule="auto"/>
        <w:ind w:left="0" w:right="627" w:firstLine="0"/>
        <w:jc w:val="center"/>
      </w:pPr>
      <w:r>
        <w:rPr>
          <w:i/>
          <w:sz w:val="24"/>
        </w:rPr>
        <w:t xml:space="preserve"> </w:t>
      </w:r>
    </w:p>
    <w:tbl>
      <w:tblPr>
        <w:tblStyle w:val="TableGrid"/>
        <w:tblW w:w="9853" w:type="dxa"/>
        <w:tblInd w:w="74" w:type="dxa"/>
        <w:tblCellMar>
          <w:top w:w="61" w:type="dxa"/>
          <w:left w:w="106" w:type="dxa"/>
          <w:bottom w:w="0" w:type="dxa"/>
          <w:right w:w="47" w:type="dxa"/>
        </w:tblCellMar>
        <w:tblLook w:val="04A0" w:firstRow="1" w:lastRow="0" w:firstColumn="1" w:lastColumn="0" w:noHBand="0" w:noVBand="1"/>
      </w:tblPr>
      <w:tblGrid>
        <w:gridCol w:w="3793"/>
        <w:gridCol w:w="6060"/>
      </w:tblGrid>
      <w:tr w:rsidR="002C0F56">
        <w:trPr>
          <w:trHeight w:val="562"/>
        </w:trPr>
        <w:tc>
          <w:tcPr>
            <w:tcW w:w="3793" w:type="dxa"/>
            <w:tcBorders>
              <w:top w:val="single" w:sz="4" w:space="0" w:color="000000"/>
              <w:left w:val="single" w:sz="4" w:space="0" w:color="000000"/>
              <w:bottom w:val="single" w:sz="4" w:space="0" w:color="000000"/>
              <w:right w:val="single" w:sz="4" w:space="0" w:color="000000"/>
            </w:tcBorders>
            <w:shd w:val="clear" w:color="auto" w:fill="BFBFBF"/>
          </w:tcPr>
          <w:p w:rsidR="002C0F56" w:rsidRDefault="00E67C6E">
            <w:pPr>
              <w:spacing w:after="0" w:line="259" w:lineRule="auto"/>
              <w:ind w:left="0" w:firstLine="0"/>
            </w:pPr>
            <w:r>
              <w:rPr>
                <w:b/>
                <w:sz w:val="24"/>
              </w:rPr>
              <w:t xml:space="preserve">Основные звенья цепи поставок </w:t>
            </w:r>
          </w:p>
        </w:tc>
        <w:tc>
          <w:tcPr>
            <w:tcW w:w="6060" w:type="dxa"/>
            <w:tcBorders>
              <w:top w:val="single" w:sz="4" w:space="0" w:color="000000"/>
              <w:left w:val="single" w:sz="4" w:space="0" w:color="000000"/>
              <w:bottom w:val="single" w:sz="4" w:space="0" w:color="000000"/>
              <w:right w:val="single" w:sz="4" w:space="0" w:color="000000"/>
            </w:tcBorders>
            <w:shd w:val="clear" w:color="auto" w:fill="BFBFBF"/>
          </w:tcPr>
          <w:p w:rsidR="002C0F56" w:rsidRDefault="00E67C6E">
            <w:pPr>
              <w:tabs>
                <w:tab w:val="center" w:pos="2054"/>
                <w:tab w:val="center" w:pos="4134"/>
                <w:tab w:val="right" w:pos="5907"/>
              </w:tabs>
              <w:spacing w:after="30" w:line="259" w:lineRule="auto"/>
              <w:ind w:left="0" w:firstLine="0"/>
              <w:jc w:val="left"/>
            </w:pPr>
            <w:r>
              <w:rPr>
                <w:b/>
                <w:sz w:val="24"/>
              </w:rPr>
              <w:t xml:space="preserve">Задачи </w:t>
            </w:r>
            <w:r>
              <w:rPr>
                <w:b/>
                <w:sz w:val="24"/>
              </w:rPr>
              <w:tab/>
              <w:t xml:space="preserve">стратегического </w:t>
            </w:r>
            <w:r>
              <w:rPr>
                <w:b/>
                <w:sz w:val="24"/>
              </w:rPr>
              <w:tab/>
              <w:t xml:space="preserve">планирования </w:t>
            </w:r>
            <w:r>
              <w:rPr>
                <w:b/>
                <w:sz w:val="24"/>
              </w:rPr>
              <w:tab/>
              <w:t xml:space="preserve">цепи </w:t>
            </w:r>
          </w:p>
          <w:p w:rsidR="002C0F56" w:rsidRDefault="00E67C6E">
            <w:pPr>
              <w:spacing w:after="0" w:line="259" w:lineRule="auto"/>
              <w:ind w:left="2" w:firstLine="0"/>
              <w:jc w:val="left"/>
            </w:pPr>
            <w:r>
              <w:rPr>
                <w:b/>
                <w:sz w:val="24"/>
              </w:rPr>
              <w:t xml:space="preserve">поставок </w:t>
            </w:r>
          </w:p>
        </w:tc>
      </w:tr>
      <w:tr w:rsidR="002C0F56">
        <w:trPr>
          <w:trHeight w:val="888"/>
        </w:trPr>
        <w:tc>
          <w:tcPr>
            <w:tcW w:w="3793" w:type="dxa"/>
            <w:tcBorders>
              <w:top w:val="single" w:sz="4" w:space="0" w:color="000000"/>
              <w:left w:val="single" w:sz="4" w:space="0" w:color="000000"/>
              <w:bottom w:val="single" w:sz="4" w:space="0" w:color="000000"/>
              <w:right w:val="single" w:sz="4" w:space="0" w:color="000000"/>
            </w:tcBorders>
            <w:shd w:val="clear" w:color="auto" w:fill="E5E5E5"/>
          </w:tcPr>
          <w:p w:rsidR="002C0F56" w:rsidRDefault="00E67C6E">
            <w:pPr>
              <w:spacing w:after="0" w:line="259" w:lineRule="auto"/>
              <w:ind w:left="0" w:firstLine="0"/>
              <w:jc w:val="left"/>
            </w:pPr>
            <w:r>
              <w:rPr>
                <w:sz w:val="24"/>
              </w:rPr>
              <w:t xml:space="preserve">Закупка </w:t>
            </w:r>
            <w:r>
              <w:rPr>
                <w:sz w:val="24"/>
              </w:rPr>
              <w:tab/>
              <w:t xml:space="preserve">и </w:t>
            </w:r>
            <w:r>
              <w:rPr>
                <w:sz w:val="24"/>
              </w:rPr>
              <w:tab/>
              <w:t xml:space="preserve">поставка </w:t>
            </w:r>
            <w:r>
              <w:rPr>
                <w:sz w:val="24"/>
              </w:rPr>
              <w:tab/>
              <w:t xml:space="preserve">сырья </w:t>
            </w:r>
            <w:r>
              <w:rPr>
                <w:sz w:val="24"/>
              </w:rPr>
              <w:tab/>
              <w:t xml:space="preserve">и материалов </w:t>
            </w:r>
          </w:p>
        </w:tc>
        <w:tc>
          <w:tcPr>
            <w:tcW w:w="6060"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3"/>
              </w:numPr>
              <w:spacing w:after="0" w:line="259" w:lineRule="auto"/>
              <w:ind w:hanging="257"/>
              <w:jc w:val="left"/>
            </w:pPr>
            <w:r>
              <w:rPr>
                <w:sz w:val="24"/>
              </w:rPr>
              <w:t xml:space="preserve">Анализ поставщиков сырья и материалов </w:t>
            </w:r>
          </w:p>
          <w:p w:rsidR="002C0F56" w:rsidRDefault="00E67C6E">
            <w:pPr>
              <w:numPr>
                <w:ilvl w:val="0"/>
                <w:numId w:val="283"/>
              </w:numPr>
              <w:spacing w:after="0" w:line="259" w:lineRule="auto"/>
              <w:ind w:hanging="257"/>
              <w:jc w:val="left"/>
            </w:pPr>
            <w:r>
              <w:rPr>
                <w:sz w:val="24"/>
              </w:rPr>
              <w:t xml:space="preserve">Определение наиболее выгодных поставщиков </w:t>
            </w:r>
          </w:p>
          <w:p w:rsidR="002C0F56" w:rsidRDefault="00E67C6E">
            <w:pPr>
              <w:numPr>
                <w:ilvl w:val="0"/>
                <w:numId w:val="283"/>
              </w:numPr>
              <w:spacing w:after="0" w:line="259" w:lineRule="auto"/>
              <w:ind w:hanging="257"/>
              <w:jc w:val="left"/>
            </w:pPr>
            <w:r>
              <w:rPr>
                <w:sz w:val="24"/>
              </w:rPr>
              <w:t xml:space="preserve">Определение уровня запасов сырья </w:t>
            </w:r>
          </w:p>
        </w:tc>
      </w:tr>
      <w:tr w:rsidR="002C0F56">
        <w:trPr>
          <w:trHeight w:val="1752"/>
        </w:trPr>
        <w:tc>
          <w:tcPr>
            <w:tcW w:w="3793" w:type="dxa"/>
            <w:tcBorders>
              <w:top w:val="single" w:sz="4" w:space="0" w:color="000000"/>
              <w:left w:val="single" w:sz="4" w:space="0" w:color="000000"/>
              <w:bottom w:val="single" w:sz="4" w:space="0" w:color="000000"/>
              <w:right w:val="single" w:sz="4" w:space="0" w:color="000000"/>
            </w:tcBorders>
            <w:shd w:val="clear" w:color="auto" w:fill="E5E5E5"/>
          </w:tcPr>
          <w:p w:rsidR="002C0F56" w:rsidRDefault="00E67C6E">
            <w:pPr>
              <w:spacing w:after="0" w:line="259" w:lineRule="auto"/>
              <w:ind w:left="0" w:firstLine="0"/>
            </w:pPr>
            <w:r>
              <w:rPr>
                <w:sz w:val="24"/>
              </w:rPr>
              <w:t xml:space="preserve">Хранение сырья, материалов и готовой продукции </w:t>
            </w:r>
          </w:p>
        </w:tc>
        <w:tc>
          <w:tcPr>
            <w:tcW w:w="6060"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4"/>
              </w:numPr>
              <w:spacing w:after="1" w:line="259" w:lineRule="auto"/>
              <w:ind w:firstLine="0"/>
              <w:jc w:val="left"/>
            </w:pPr>
            <w:r>
              <w:rPr>
                <w:sz w:val="24"/>
              </w:rPr>
              <w:t xml:space="preserve">Определение уровня запасов в цепи поставок </w:t>
            </w:r>
          </w:p>
          <w:p w:rsidR="002C0F56" w:rsidRDefault="00E67C6E">
            <w:pPr>
              <w:numPr>
                <w:ilvl w:val="0"/>
                <w:numId w:val="284"/>
              </w:numPr>
              <w:spacing w:after="0" w:line="259" w:lineRule="auto"/>
              <w:ind w:firstLine="0"/>
              <w:jc w:val="left"/>
            </w:pPr>
            <w:r>
              <w:rPr>
                <w:sz w:val="24"/>
              </w:rPr>
              <w:t xml:space="preserve">Анализ эффективности существующей сети складов </w:t>
            </w:r>
          </w:p>
          <w:p w:rsidR="002C0F56" w:rsidRDefault="00E67C6E">
            <w:pPr>
              <w:numPr>
                <w:ilvl w:val="0"/>
                <w:numId w:val="284"/>
              </w:numPr>
              <w:spacing w:after="0" w:line="259" w:lineRule="auto"/>
              <w:ind w:firstLine="0"/>
              <w:jc w:val="left"/>
            </w:pPr>
            <w:r>
              <w:rPr>
                <w:sz w:val="24"/>
              </w:rPr>
              <w:t xml:space="preserve">Анализ условий хранения продукции на складах </w:t>
            </w:r>
          </w:p>
          <w:p w:rsidR="002C0F56" w:rsidRDefault="00E67C6E">
            <w:pPr>
              <w:numPr>
                <w:ilvl w:val="0"/>
                <w:numId w:val="284"/>
              </w:numPr>
              <w:spacing w:after="0" w:line="259" w:lineRule="auto"/>
              <w:ind w:firstLine="0"/>
              <w:jc w:val="left"/>
            </w:pPr>
            <w:r>
              <w:rPr>
                <w:sz w:val="24"/>
              </w:rPr>
              <w:t xml:space="preserve">Оценка рациональности системы складирования </w:t>
            </w:r>
          </w:p>
          <w:p w:rsidR="002C0F56" w:rsidRDefault="00E67C6E">
            <w:pPr>
              <w:numPr>
                <w:ilvl w:val="0"/>
                <w:numId w:val="284"/>
              </w:numPr>
              <w:spacing w:after="0" w:line="259" w:lineRule="auto"/>
              <w:ind w:firstLine="0"/>
              <w:jc w:val="left"/>
            </w:pPr>
            <w:r>
              <w:rPr>
                <w:sz w:val="24"/>
              </w:rPr>
              <w:t xml:space="preserve">Определение оптимального расположения новых складов </w:t>
            </w:r>
          </w:p>
        </w:tc>
      </w:tr>
      <w:tr w:rsidR="002C0F56">
        <w:trPr>
          <w:trHeight w:val="1460"/>
        </w:trPr>
        <w:tc>
          <w:tcPr>
            <w:tcW w:w="3793" w:type="dxa"/>
            <w:tcBorders>
              <w:top w:val="single" w:sz="4" w:space="0" w:color="000000"/>
              <w:left w:val="single" w:sz="4" w:space="0" w:color="000000"/>
              <w:bottom w:val="single" w:sz="4" w:space="0" w:color="000000"/>
              <w:right w:val="single" w:sz="4" w:space="0" w:color="000000"/>
            </w:tcBorders>
            <w:shd w:val="clear" w:color="auto" w:fill="E5E5E5"/>
          </w:tcPr>
          <w:p w:rsidR="002C0F56" w:rsidRDefault="00E67C6E">
            <w:pPr>
              <w:spacing w:after="0" w:line="259" w:lineRule="auto"/>
              <w:ind w:left="0" w:firstLine="0"/>
              <w:jc w:val="left"/>
            </w:pPr>
            <w:r>
              <w:rPr>
                <w:sz w:val="24"/>
              </w:rPr>
              <w:t xml:space="preserve">Производство товаров </w:t>
            </w:r>
          </w:p>
        </w:tc>
        <w:tc>
          <w:tcPr>
            <w:tcW w:w="6060"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5"/>
              </w:numPr>
              <w:spacing w:after="18" w:line="282" w:lineRule="auto"/>
              <w:ind w:firstLine="0"/>
              <w:jc w:val="left"/>
            </w:pPr>
            <w:r>
              <w:rPr>
                <w:sz w:val="24"/>
              </w:rPr>
              <w:t xml:space="preserve">Планирование </w:t>
            </w:r>
            <w:r>
              <w:rPr>
                <w:sz w:val="24"/>
              </w:rPr>
              <w:tab/>
              <w:t xml:space="preserve">основных </w:t>
            </w:r>
            <w:r>
              <w:rPr>
                <w:sz w:val="24"/>
              </w:rPr>
              <w:tab/>
              <w:t xml:space="preserve">производственных процессов предприятия. </w:t>
            </w:r>
          </w:p>
          <w:p w:rsidR="002C0F56" w:rsidRDefault="00E67C6E">
            <w:pPr>
              <w:numPr>
                <w:ilvl w:val="0"/>
                <w:numId w:val="285"/>
              </w:numPr>
              <w:spacing w:after="1" w:line="259" w:lineRule="auto"/>
              <w:ind w:firstLine="0"/>
              <w:jc w:val="left"/>
            </w:pPr>
            <w:r>
              <w:rPr>
                <w:sz w:val="24"/>
              </w:rPr>
              <w:t xml:space="preserve">Выявление неприбыльных производств </w:t>
            </w:r>
          </w:p>
          <w:p w:rsidR="002C0F56" w:rsidRDefault="00E67C6E">
            <w:pPr>
              <w:numPr>
                <w:ilvl w:val="0"/>
                <w:numId w:val="285"/>
              </w:numPr>
              <w:spacing w:after="0" w:line="259" w:lineRule="auto"/>
              <w:ind w:firstLine="0"/>
              <w:jc w:val="left"/>
            </w:pPr>
            <w:r>
              <w:rPr>
                <w:sz w:val="24"/>
              </w:rPr>
              <w:t xml:space="preserve">Оптимизация производственных мощностей </w:t>
            </w:r>
          </w:p>
          <w:p w:rsidR="002C0F56" w:rsidRDefault="00E67C6E">
            <w:pPr>
              <w:numPr>
                <w:ilvl w:val="0"/>
                <w:numId w:val="285"/>
              </w:numPr>
              <w:spacing w:after="0" w:line="259" w:lineRule="auto"/>
              <w:ind w:firstLine="0"/>
              <w:jc w:val="left"/>
            </w:pPr>
            <w:r>
              <w:rPr>
                <w:sz w:val="24"/>
              </w:rPr>
              <w:t xml:space="preserve">Организация материальных потоков в производстве  </w:t>
            </w:r>
          </w:p>
        </w:tc>
      </w:tr>
      <w:tr w:rsidR="002C0F56">
        <w:trPr>
          <w:trHeight w:val="2027"/>
        </w:trPr>
        <w:tc>
          <w:tcPr>
            <w:tcW w:w="3793" w:type="dxa"/>
            <w:tcBorders>
              <w:top w:val="single" w:sz="4" w:space="0" w:color="000000"/>
              <w:left w:val="single" w:sz="4" w:space="0" w:color="000000"/>
              <w:bottom w:val="single" w:sz="4" w:space="0" w:color="000000"/>
              <w:right w:val="single" w:sz="4" w:space="0" w:color="000000"/>
            </w:tcBorders>
            <w:shd w:val="clear" w:color="auto" w:fill="E5E5E5"/>
          </w:tcPr>
          <w:p w:rsidR="002C0F56" w:rsidRDefault="00E67C6E">
            <w:pPr>
              <w:spacing w:after="0" w:line="259" w:lineRule="auto"/>
              <w:ind w:left="0" w:firstLine="0"/>
            </w:pPr>
            <w:r>
              <w:rPr>
                <w:sz w:val="24"/>
              </w:rPr>
              <w:t xml:space="preserve">Распределение готовой продукции </w:t>
            </w:r>
          </w:p>
        </w:tc>
        <w:tc>
          <w:tcPr>
            <w:tcW w:w="6060"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6"/>
              </w:numPr>
              <w:spacing w:after="0" w:line="259" w:lineRule="auto"/>
              <w:ind w:firstLine="0"/>
              <w:jc w:val="left"/>
            </w:pPr>
            <w:r>
              <w:rPr>
                <w:sz w:val="24"/>
              </w:rPr>
              <w:t xml:space="preserve">Организация </w:t>
            </w:r>
            <w:r>
              <w:rPr>
                <w:sz w:val="24"/>
              </w:rPr>
              <w:tab/>
              <w:t xml:space="preserve">доставки </w:t>
            </w:r>
            <w:r>
              <w:rPr>
                <w:sz w:val="24"/>
              </w:rPr>
              <w:tab/>
              <w:t xml:space="preserve">и </w:t>
            </w:r>
            <w:r>
              <w:rPr>
                <w:sz w:val="24"/>
              </w:rPr>
              <w:tab/>
              <w:t xml:space="preserve">контроль </w:t>
            </w:r>
            <w:r>
              <w:rPr>
                <w:sz w:val="24"/>
              </w:rPr>
              <w:tab/>
              <w:t xml:space="preserve">за </w:t>
            </w:r>
          </w:p>
          <w:p w:rsidR="002C0F56" w:rsidRDefault="00E67C6E">
            <w:pPr>
              <w:spacing w:after="0" w:line="259" w:lineRule="auto"/>
              <w:ind w:left="2" w:right="2417" w:firstLine="0"/>
              <w:jc w:val="left"/>
            </w:pPr>
            <w:r>
              <w:rPr>
                <w:sz w:val="24"/>
              </w:rPr>
              <w:t xml:space="preserve">транспортированием продукции </w:t>
            </w:r>
            <w:r>
              <w:rPr>
                <w:rFonts w:ascii="Segoe UI Symbol" w:eastAsia="Segoe UI Symbol" w:hAnsi="Segoe UI Symbol" w:cs="Segoe UI Symbol"/>
                <w:sz w:val="24"/>
              </w:rPr>
              <w:t>•</w:t>
            </w:r>
            <w:r>
              <w:rPr>
                <w:rFonts w:ascii="Arial" w:eastAsia="Arial" w:hAnsi="Arial" w:cs="Arial"/>
                <w:sz w:val="24"/>
              </w:rPr>
              <w:t xml:space="preserve"> </w:t>
            </w:r>
            <w:r>
              <w:rPr>
                <w:sz w:val="24"/>
              </w:rPr>
              <w:t xml:space="preserve">Анализ и оценка потребителей </w:t>
            </w:r>
          </w:p>
          <w:p w:rsidR="002C0F56" w:rsidRDefault="00E67C6E">
            <w:pPr>
              <w:numPr>
                <w:ilvl w:val="0"/>
                <w:numId w:val="286"/>
              </w:numPr>
              <w:spacing w:after="1" w:line="259" w:lineRule="auto"/>
              <w:ind w:firstLine="0"/>
              <w:jc w:val="left"/>
            </w:pPr>
            <w:r>
              <w:rPr>
                <w:sz w:val="24"/>
              </w:rPr>
              <w:t xml:space="preserve">Определение ассортимента продаваемой продукции </w:t>
            </w:r>
          </w:p>
          <w:p w:rsidR="002C0F56" w:rsidRDefault="00E67C6E">
            <w:pPr>
              <w:numPr>
                <w:ilvl w:val="0"/>
                <w:numId w:val="286"/>
              </w:numPr>
              <w:spacing w:after="0" w:line="259" w:lineRule="auto"/>
              <w:ind w:firstLine="0"/>
              <w:jc w:val="left"/>
            </w:pPr>
            <w:r>
              <w:rPr>
                <w:sz w:val="24"/>
              </w:rPr>
              <w:t xml:space="preserve">Определение основных рынков сбыта </w:t>
            </w:r>
          </w:p>
          <w:p w:rsidR="002C0F56" w:rsidRDefault="00E67C6E">
            <w:pPr>
              <w:numPr>
                <w:ilvl w:val="0"/>
                <w:numId w:val="286"/>
              </w:numPr>
              <w:spacing w:after="0" w:line="259" w:lineRule="auto"/>
              <w:ind w:firstLine="0"/>
              <w:jc w:val="left"/>
            </w:pPr>
            <w:r>
              <w:rPr>
                <w:sz w:val="24"/>
              </w:rPr>
              <w:t xml:space="preserve">Определение </w:t>
            </w:r>
            <w:r>
              <w:rPr>
                <w:sz w:val="24"/>
              </w:rPr>
              <w:tab/>
              <w:t xml:space="preserve">наиболее </w:t>
            </w:r>
            <w:r>
              <w:rPr>
                <w:sz w:val="24"/>
              </w:rPr>
              <w:tab/>
              <w:t xml:space="preserve">оптимальной </w:t>
            </w:r>
            <w:r>
              <w:rPr>
                <w:sz w:val="24"/>
              </w:rPr>
              <w:tab/>
              <w:t xml:space="preserve">ценовой политики </w:t>
            </w:r>
          </w:p>
        </w:tc>
      </w:tr>
    </w:tbl>
    <w:p w:rsidR="002C0F56" w:rsidRDefault="00E67C6E">
      <w:pPr>
        <w:spacing w:after="0" w:line="259" w:lineRule="auto"/>
        <w:ind w:left="744" w:firstLine="0"/>
        <w:jc w:val="left"/>
      </w:pPr>
      <w:r>
        <w:t xml:space="preserve"> </w:t>
      </w:r>
    </w:p>
    <w:p w:rsidR="002C0F56" w:rsidRDefault="00E67C6E">
      <w:pPr>
        <w:spacing w:after="2"/>
        <w:ind w:left="165" w:right="871"/>
      </w:pPr>
      <w:r>
        <w:t xml:space="preserve">Как правило, процесс стратегического планирования включает в себя следующие этапы: определение миссии и целей организации, анализ окружающей среды, выбор стратегии, реализация стратегии, оценка и контроль за выполнением выбранной стратегии [3]. </w:t>
      </w:r>
    </w:p>
    <w:p w:rsidR="002C0F56" w:rsidRDefault="00E67C6E">
      <w:pPr>
        <w:ind w:left="165" w:right="302"/>
      </w:pPr>
      <w:r>
        <w:t xml:space="preserve">Исходя из </w:t>
      </w:r>
      <w:r>
        <w:t xml:space="preserve">этого можно выделить следующие этапы процесса </w:t>
      </w:r>
      <w:r>
        <w:rPr>
          <w:i/>
        </w:rPr>
        <w:t>стратегического планирования цепей поставок</w:t>
      </w:r>
      <w:r>
        <w:t xml:space="preserve"> ( Табл.1). </w:t>
      </w:r>
    </w:p>
    <w:p w:rsidR="002C0F56" w:rsidRDefault="00E67C6E">
      <w:pPr>
        <w:spacing w:after="3"/>
        <w:ind w:left="165" w:right="872"/>
      </w:pPr>
      <w:r>
        <w:t xml:space="preserve">Конечной целью стратегического планирования является формирование цепи поставок таким образом, чтоб при внедрении окупились все затраты на стратегическое </w:t>
      </w:r>
      <w:r>
        <w:t xml:space="preserve">планирование, а так же компанией были достигнуты высокие конкурентные преимущества на рынке в долгосрочной перспективе. </w:t>
      </w:r>
    </w:p>
    <w:p w:rsidR="002C0F56" w:rsidRDefault="00E67C6E">
      <w:pPr>
        <w:spacing w:after="25" w:line="259" w:lineRule="auto"/>
        <w:ind w:left="0" w:right="627" w:firstLine="0"/>
        <w:jc w:val="center"/>
      </w:pPr>
      <w:r>
        <w:rPr>
          <w:i/>
          <w:sz w:val="24"/>
        </w:rPr>
        <w:t xml:space="preserve"> </w:t>
      </w:r>
    </w:p>
    <w:p w:rsidR="002C0F56" w:rsidRDefault="00E67C6E">
      <w:pPr>
        <w:pStyle w:val="4"/>
        <w:ind w:left="1181" w:right="1857"/>
      </w:pPr>
      <w:r>
        <w:rPr>
          <w:b w:val="0"/>
          <w:i/>
        </w:rPr>
        <w:lastRenderedPageBreak/>
        <w:t xml:space="preserve">Таблица 2- </w:t>
      </w:r>
      <w:r>
        <w:t xml:space="preserve">Этапы стратегического планирования цепей поставок </w:t>
      </w:r>
    </w:p>
    <w:p w:rsidR="002C0F56" w:rsidRDefault="00E67C6E">
      <w:pPr>
        <w:spacing w:after="0" w:line="259" w:lineRule="auto"/>
        <w:ind w:left="0" w:right="627" w:firstLine="0"/>
        <w:jc w:val="center"/>
      </w:pPr>
      <w:r>
        <w:rPr>
          <w:b/>
          <w:sz w:val="24"/>
        </w:rPr>
        <w:t xml:space="preserve"> </w:t>
      </w:r>
    </w:p>
    <w:tbl>
      <w:tblPr>
        <w:tblStyle w:val="TableGrid"/>
        <w:tblW w:w="9853" w:type="dxa"/>
        <w:tblInd w:w="74" w:type="dxa"/>
        <w:tblCellMar>
          <w:top w:w="15" w:type="dxa"/>
          <w:left w:w="106" w:type="dxa"/>
          <w:bottom w:w="0" w:type="dxa"/>
          <w:right w:w="48" w:type="dxa"/>
        </w:tblCellMar>
        <w:tblLook w:val="04A0" w:firstRow="1" w:lastRow="0" w:firstColumn="1" w:lastColumn="0" w:noHBand="0" w:noVBand="1"/>
      </w:tblPr>
      <w:tblGrid>
        <w:gridCol w:w="4926"/>
        <w:gridCol w:w="4927"/>
      </w:tblGrid>
      <w:tr w:rsidR="002C0F56">
        <w:trPr>
          <w:trHeight w:val="559"/>
        </w:trPr>
        <w:tc>
          <w:tcPr>
            <w:tcW w:w="4926" w:type="dxa"/>
            <w:tcBorders>
              <w:top w:val="single" w:sz="4" w:space="0" w:color="000000"/>
              <w:left w:val="single" w:sz="4" w:space="0" w:color="000000"/>
              <w:bottom w:val="single" w:sz="4" w:space="0" w:color="000000"/>
              <w:right w:val="single" w:sz="4" w:space="0" w:color="000000"/>
            </w:tcBorders>
            <w:shd w:val="clear" w:color="auto" w:fill="BFBFBF"/>
          </w:tcPr>
          <w:p w:rsidR="002C0F56" w:rsidRDefault="00E67C6E">
            <w:pPr>
              <w:tabs>
                <w:tab w:val="center" w:pos="1835"/>
                <w:tab w:val="right" w:pos="4772"/>
              </w:tabs>
              <w:spacing w:after="32" w:line="259" w:lineRule="auto"/>
              <w:ind w:left="0" w:firstLine="0"/>
              <w:jc w:val="left"/>
            </w:pPr>
            <w:r>
              <w:rPr>
                <w:b/>
                <w:sz w:val="24"/>
              </w:rPr>
              <w:t xml:space="preserve">Этап </w:t>
            </w:r>
            <w:r>
              <w:rPr>
                <w:b/>
                <w:sz w:val="24"/>
              </w:rPr>
              <w:tab/>
              <w:t xml:space="preserve">стратегического </w:t>
            </w:r>
            <w:r>
              <w:rPr>
                <w:b/>
                <w:sz w:val="24"/>
              </w:rPr>
              <w:tab/>
              <w:t xml:space="preserve">планирования </w:t>
            </w:r>
          </w:p>
          <w:p w:rsidR="002C0F56" w:rsidRDefault="00E67C6E">
            <w:pPr>
              <w:spacing w:after="0" w:line="259" w:lineRule="auto"/>
              <w:ind w:left="0" w:firstLine="0"/>
              <w:jc w:val="left"/>
            </w:pPr>
            <w:r>
              <w:rPr>
                <w:b/>
                <w:sz w:val="24"/>
              </w:rPr>
              <w:t xml:space="preserve">цепей поставок </w:t>
            </w:r>
          </w:p>
        </w:tc>
        <w:tc>
          <w:tcPr>
            <w:tcW w:w="4927" w:type="dxa"/>
            <w:tcBorders>
              <w:top w:val="single" w:sz="4" w:space="0" w:color="000000"/>
              <w:left w:val="single" w:sz="4" w:space="0" w:color="000000"/>
              <w:bottom w:val="single" w:sz="4" w:space="0" w:color="000000"/>
              <w:right w:val="single" w:sz="4" w:space="0" w:color="000000"/>
            </w:tcBorders>
            <w:shd w:val="clear" w:color="auto" w:fill="BFBFBF"/>
          </w:tcPr>
          <w:p w:rsidR="002C0F56" w:rsidRDefault="00E67C6E">
            <w:pPr>
              <w:spacing w:after="0" w:line="259" w:lineRule="auto"/>
              <w:ind w:left="2" w:firstLine="0"/>
              <w:jc w:val="left"/>
            </w:pPr>
            <w:r>
              <w:rPr>
                <w:b/>
                <w:sz w:val="24"/>
              </w:rPr>
              <w:t xml:space="preserve">Характеристика этапа </w:t>
            </w:r>
          </w:p>
        </w:tc>
      </w:tr>
      <w:tr w:rsidR="002C0F56">
        <w:trPr>
          <w:trHeight w:val="287"/>
        </w:trPr>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b/>
                <w:sz w:val="24"/>
              </w:rPr>
              <w:t xml:space="preserve">1 </w:t>
            </w:r>
          </w:p>
        </w:tc>
        <w:tc>
          <w:tcPr>
            <w:tcW w:w="49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 </w:t>
            </w:r>
          </w:p>
        </w:tc>
      </w:tr>
      <w:tr w:rsidR="002C0F56">
        <w:trPr>
          <w:trHeight w:val="1114"/>
        </w:trPr>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1 этап. </w:t>
            </w:r>
            <w:r>
              <w:rPr>
                <w:sz w:val="24"/>
              </w:rPr>
              <w:t xml:space="preserve">Определение миссии и целей цепи поставок </w:t>
            </w:r>
          </w:p>
        </w:tc>
        <w:tc>
          <w:tcPr>
            <w:tcW w:w="49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right="61" w:firstLine="0"/>
            </w:pPr>
            <w:r>
              <w:rPr>
                <w:sz w:val="24"/>
              </w:rPr>
              <w:t xml:space="preserve">На данной этапе целесообразно определить основную цель создания цепи поставок, миссию и основные задачи, которые будут достигаться. </w:t>
            </w:r>
          </w:p>
        </w:tc>
      </w:tr>
    </w:tbl>
    <w:p w:rsidR="002C0F56" w:rsidRDefault="00E67C6E">
      <w:pPr>
        <w:spacing w:after="0" w:line="259" w:lineRule="auto"/>
        <w:ind w:left="10" w:right="853" w:hanging="10"/>
        <w:jc w:val="right"/>
      </w:pPr>
      <w:r>
        <w:rPr>
          <w:i/>
          <w:sz w:val="24"/>
        </w:rPr>
        <w:t xml:space="preserve">Продолжение табл. 2 </w:t>
      </w:r>
    </w:p>
    <w:tbl>
      <w:tblPr>
        <w:tblStyle w:val="TableGrid"/>
        <w:tblW w:w="9856" w:type="dxa"/>
        <w:tblInd w:w="72" w:type="dxa"/>
        <w:tblCellMar>
          <w:top w:w="17" w:type="dxa"/>
          <w:left w:w="108" w:type="dxa"/>
          <w:bottom w:w="0" w:type="dxa"/>
          <w:right w:w="48" w:type="dxa"/>
        </w:tblCellMar>
        <w:tblLook w:val="04A0" w:firstRow="1" w:lastRow="0" w:firstColumn="1" w:lastColumn="0" w:noHBand="0" w:noVBand="1"/>
      </w:tblPr>
      <w:tblGrid>
        <w:gridCol w:w="4928"/>
        <w:gridCol w:w="4928"/>
      </w:tblGrid>
      <w:tr w:rsidR="002C0F56">
        <w:trPr>
          <w:trHeight w:val="288"/>
        </w:trPr>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b/>
                <w:sz w:val="24"/>
              </w:rPr>
              <w:t xml:space="preserve">1 </w:t>
            </w:r>
          </w:p>
        </w:tc>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sz w:val="24"/>
              </w:rPr>
              <w:t xml:space="preserve">2 </w:t>
            </w:r>
          </w:p>
        </w:tc>
      </w:tr>
      <w:tr w:rsidR="002C0F56">
        <w:trPr>
          <w:trHeight w:val="1114"/>
        </w:trPr>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45" w:line="238" w:lineRule="auto"/>
              <w:ind w:left="0" w:firstLine="0"/>
            </w:pPr>
            <w:r>
              <w:rPr>
                <w:b/>
                <w:sz w:val="24"/>
              </w:rPr>
              <w:t xml:space="preserve">2 этап. </w:t>
            </w:r>
            <w:r>
              <w:rPr>
                <w:sz w:val="24"/>
              </w:rPr>
              <w:t xml:space="preserve">Анализ окружающей среды, в рамках которой будет функционировать цепь </w:t>
            </w:r>
          </w:p>
          <w:p w:rsidR="002C0F56" w:rsidRDefault="00E67C6E">
            <w:pPr>
              <w:spacing w:after="0" w:line="259" w:lineRule="auto"/>
              <w:ind w:left="0" w:firstLine="0"/>
              <w:jc w:val="left"/>
            </w:pPr>
            <w:r>
              <w:rPr>
                <w:sz w:val="24"/>
              </w:rPr>
              <w:t xml:space="preserve">поставок </w:t>
            </w:r>
          </w:p>
        </w:tc>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На данном этапе необходимо провести анализ окружающей среды, определить количество поставщиков и клиентов, места их локализации, провести их анализ. </w:t>
            </w:r>
          </w:p>
        </w:tc>
      </w:tr>
      <w:tr w:rsidR="002C0F56">
        <w:trPr>
          <w:trHeight w:val="1390"/>
        </w:trPr>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3 этап. </w:t>
            </w:r>
            <w:r>
              <w:rPr>
                <w:sz w:val="24"/>
              </w:rPr>
              <w:t>Формирование цепи</w:t>
            </w:r>
            <w:r>
              <w:rPr>
                <w:sz w:val="24"/>
              </w:rPr>
              <w:t xml:space="preserve"> поставок </w:t>
            </w:r>
          </w:p>
        </w:tc>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На данном этапе определяется форма организации цепи поставок, структура поставок и распределения, программа сбыта, в результате чего формируется цепь поставок. </w:t>
            </w:r>
          </w:p>
        </w:tc>
      </w:tr>
      <w:tr w:rsidR="002C0F56">
        <w:trPr>
          <w:trHeight w:val="1942"/>
        </w:trPr>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4 этап</w:t>
            </w:r>
            <w:r>
              <w:rPr>
                <w:i/>
                <w:sz w:val="24"/>
              </w:rPr>
              <w:t>.</w:t>
            </w:r>
            <w:r>
              <w:rPr>
                <w:sz w:val="24"/>
              </w:rPr>
              <w:t xml:space="preserve"> Согласование с общей стратегией предприятия. </w:t>
            </w:r>
          </w:p>
        </w:tc>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pPr>
            <w:r>
              <w:rPr>
                <w:sz w:val="24"/>
              </w:rPr>
              <w:t xml:space="preserve">Известно, что стратегия цепи поставок должна быть согласованна и соответствовать всему стратегическому набору предприятия. На данном этапе происходит согласование разработанной стратегии цепи поставок со стратегиями предприятий, входящих в цепь поставок. </w:t>
            </w:r>
          </w:p>
        </w:tc>
      </w:tr>
      <w:tr w:rsidR="002C0F56">
        <w:trPr>
          <w:trHeight w:val="1114"/>
        </w:trPr>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5 этап. </w:t>
            </w:r>
            <w:r>
              <w:rPr>
                <w:sz w:val="24"/>
              </w:rPr>
              <w:t xml:space="preserve">Оценка и контроль реализации цепи поставок. </w:t>
            </w:r>
          </w:p>
        </w:tc>
        <w:tc>
          <w:tcPr>
            <w:tcW w:w="49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На данном этапе проводится оценка цепи поставок, определяются отклонения и проводится совершенствование выбранной стратегии цепи поставок. </w:t>
            </w:r>
          </w:p>
        </w:tc>
      </w:tr>
    </w:tbl>
    <w:p w:rsidR="002C0F56" w:rsidRDefault="00E67C6E">
      <w:pPr>
        <w:spacing w:after="25" w:line="259" w:lineRule="auto"/>
        <w:ind w:left="744" w:firstLine="0"/>
        <w:jc w:val="left"/>
      </w:pPr>
      <w:r>
        <w:rPr>
          <w:i/>
        </w:rPr>
        <w:t xml:space="preserve"> </w:t>
      </w:r>
    </w:p>
    <w:p w:rsidR="002C0F56" w:rsidRDefault="00E67C6E">
      <w:pPr>
        <w:spacing w:after="6"/>
        <w:ind w:left="165" w:right="868"/>
      </w:pPr>
      <w:r>
        <w:t xml:space="preserve"> </w:t>
      </w:r>
      <w:r>
        <w:t>Таким образом, правильно спланированная цепь поставок способствует автоматизации и стандартизации всех логистических операций на производстве, а так же минимизации общих логистических издержек, что в свою очередь способствует повышению эффективности и прои</w:t>
      </w:r>
      <w:r>
        <w:t xml:space="preserve">зводительности предприятия, а так же способствует более высокому уровню удовлетворения потребителей и получению новых конкурентных преимуществ.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21"/>
        </w:numPr>
        <w:ind w:right="864"/>
      </w:pPr>
      <w:r>
        <w:lastRenderedPageBreak/>
        <w:t>Балабанова Л.В. Логистика : учеб. / Л.В.Балабанова, А.Н. Германчук ; образования и науки</w:t>
      </w:r>
      <w:r>
        <w:t xml:space="preserve">, молодежи та спорта Украины, Донец. Нац. ун-т экономики и торговли им. М. Туган-Барановского. – Донецк: [ДонНУЭТ], 2012. – 424 с. </w:t>
      </w:r>
    </w:p>
    <w:p w:rsidR="002C0F56" w:rsidRDefault="00E67C6E">
      <w:pPr>
        <w:numPr>
          <w:ilvl w:val="0"/>
          <w:numId w:val="21"/>
        </w:numPr>
        <w:ind w:right="864"/>
      </w:pPr>
      <w:r>
        <w:t>Саркисов С.В. Управление логистическими цепями поставок: Учеб. Пособие. – М.:Дело, 2006. – 368с. Современная логистика: пер.</w:t>
      </w:r>
      <w:r>
        <w:t xml:space="preserve"> с англ./ Д. Джонсон [и др.]. – М.: Вильямс, 2005.- 624 с. </w:t>
      </w:r>
    </w:p>
    <w:p w:rsidR="002C0F56" w:rsidRDefault="00E67C6E">
      <w:pPr>
        <w:numPr>
          <w:ilvl w:val="0"/>
          <w:numId w:val="21"/>
        </w:numPr>
        <w:ind w:right="864"/>
      </w:pPr>
      <w:r>
        <w:t xml:space="preserve">Шапиро Дж. Моделирование цепи поставок / Пер. с англ, под ред. </w:t>
      </w:r>
    </w:p>
    <w:p w:rsidR="002C0F56" w:rsidRDefault="00E67C6E">
      <w:pPr>
        <w:spacing w:after="12"/>
        <w:ind w:left="165" w:right="302" w:firstLine="0"/>
      </w:pPr>
      <w:r>
        <w:t xml:space="preserve">B.C. Лукинского. - СПб.: Питер, 2006. 720с. (Серия «Теория менеджмента») - </w:t>
      </w:r>
    </w:p>
    <w:p w:rsidR="002C0F56" w:rsidRDefault="00E67C6E">
      <w:pPr>
        <w:spacing w:after="12"/>
        <w:ind w:left="165" w:right="302" w:firstLine="0"/>
      </w:pPr>
      <w:r>
        <w:t xml:space="preserve">720 с.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pStyle w:val="1"/>
        <w:spacing w:after="25" w:line="259" w:lineRule="auto"/>
        <w:ind w:right="856"/>
        <w:jc w:val="right"/>
      </w:pPr>
      <w:r>
        <w:t xml:space="preserve">Бирук Д. А. </w:t>
      </w:r>
      <w:r>
        <w:rPr>
          <w:b w:val="0"/>
        </w:rPr>
        <w:t>Научный руководитель: Куликовская Е. В.</w:t>
      </w:r>
      <w:r>
        <w:t xml:space="preserve">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rPr>
          <w:b/>
        </w:rPr>
        <w:t xml:space="preserve"> </w:t>
      </w:r>
    </w:p>
    <w:p w:rsidR="002C0F56" w:rsidRDefault="00E67C6E">
      <w:pPr>
        <w:pStyle w:val="1"/>
        <w:ind w:left="700" w:right="1376"/>
      </w:pPr>
      <w:r>
        <w:t xml:space="preserve">МЕТОДЫ ПРОГНОЗИРОВАНИЯ ВОЗМОЖНОГО БАНКРОТСТВА ПРЕДПРИЯТИЯ </w:t>
      </w:r>
    </w:p>
    <w:p w:rsidR="002C0F56" w:rsidRDefault="00E67C6E">
      <w:pPr>
        <w:spacing w:after="0" w:line="259" w:lineRule="auto"/>
        <w:ind w:left="744" w:firstLine="0"/>
        <w:jc w:val="left"/>
      </w:pPr>
      <w:r>
        <w:rPr>
          <w:b/>
        </w:rPr>
        <w:t xml:space="preserve"> </w:t>
      </w:r>
    </w:p>
    <w:p w:rsidR="002C0F56" w:rsidRDefault="00E67C6E">
      <w:pPr>
        <w:ind w:left="165" w:right="867"/>
      </w:pPr>
      <w:r>
        <w:t>Банкротство зарождается на базе перерастания эпизодической неплатежеспособности в хроническую, при которой органи</w:t>
      </w:r>
      <w:r>
        <w:t>зация не может восстановить свою финансовую устойчивость и дальнейшее продолжение ее деятельности представляется невозможным, т. е. организация становится несостоятельной. Результатом несостоятельности зачастую становится банкротство и связанная с ним проц</w:t>
      </w:r>
      <w:r>
        <w:t>едура ликвидации и продажи имущества неплатежеспособной организации в целях соразмерного удовлетворения требований кредиторов. Возможность возникновения банкротства должна диагностироваться на самых ранних стадиях с целью своевременного принятия мер по ней</w:t>
      </w:r>
      <w:r>
        <w:t xml:space="preserve">трализации факторов, обусловливающих  финансовую несостоятельность[1]. </w:t>
      </w:r>
    </w:p>
    <w:p w:rsidR="002C0F56" w:rsidRDefault="00E67C6E">
      <w:pPr>
        <w:spacing w:after="10"/>
        <w:ind w:left="165" w:right="872"/>
      </w:pPr>
      <w:r>
        <w:t>Диагностикой несостоятельности (банкротства) организации является система финансового анализа, который направлен на изучение признаков кризисного развития организации по данным финансо</w:t>
      </w:r>
      <w:r>
        <w:t xml:space="preserve">вой отчетности. </w:t>
      </w:r>
    </w:p>
    <w:p w:rsidR="002C0F56" w:rsidRDefault="00E67C6E">
      <w:pPr>
        <w:spacing w:after="0"/>
        <w:ind w:left="165" w:right="870"/>
      </w:pPr>
      <w:r>
        <w:t>При анализе вероятности банкротства дается обобщающая оценка финансовой устойчивости предприятия и его платежеспособности, делается прогноз на будущее и оценивается сама вероятность банкротства. Анализ финансового состояния организации пре</w:t>
      </w:r>
      <w:r>
        <w:t xml:space="preserve">дставляет собой расчет и оценку </w:t>
      </w:r>
      <w:r>
        <w:lastRenderedPageBreak/>
        <w:t xml:space="preserve">комплекса финансовых показателей, характеризующих разные стороны ее деятельности. </w:t>
      </w:r>
    </w:p>
    <w:p w:rsidR="002C0F56" w:rsidRDefault="00E67C6E">
      <w:pPr>
        <w:ind w:left="165" w:right="872"/>
      </w:pPr>
      <w:r>
        <w:t>Субъектами финансового анализа являются различные пользователи, такие как финансово-</w:t>
      </w:r>
      <w:r>
        <w:t xml:space="preserve">аналитические; собственники и руководство организации; внешние пользователи информации, а именно инвесторы, контрагенты, кредиторы и так далее. Любой пользователь информации исследует ее исходя из личных интересов.  </w:t>
      </w:r>
    </w:p>
    <w:p w:rsidR="002C0F56" w:rsidRDefault="00E67C6E">
      <w:pPr>
        <w:ind w:left="165" w:right="870"/>
      </w:pPr>
      <w:r>
        <w:t>Немаловажно, что анализом финансового с</w:t>
      </w:r>
      <w:r>
        <w:t>остояния занимаются не только руководители, учредители и соответствующие службы предприятия, но и его инвесторы — для того чтобы определить, на сколько эффективно используются ресурсы; банки — для того чтобы оценить условия кредитования и определить степен</w:t>
      </w:r>
      <w:r>
        <w:t xml:space="preserve">ь риска; налоговые инспекции — для того чтобы выполнить план поступления средств в бюджет; поставщики и так далее. </w:t>
      </w:r>
    </w:p>
    <w:p w:rsidR="002C0F56" w:rsidRDefault="00E67C6E">
      <w:pPr>
        <w:ind w:left="165" w:right="302"/>
      </w:pPr>
      <w:r>
        <w:t xml:space="preserve">Существует множество методов оценки вероятности банкротства, рассмотрим некоторые из них.  </w:t>
      </w:r>
    </w:p>
    <w:p w:rsidR="002C0F56" w:rsidRDefault="00E67C6E">
      <w:pPr>
        <w:spacing w:after="10"/>
        <w:ind w:left="165" w:right="866"/>
      </w:pPr>
      <w:r>
        <w:t>Экспресс-диагностику осуществляют по данным опер</w:t>
      </w:r>
      <w:r>
        <w:t>ативного финансового анализа. При экспресс – диагностике финансового состояния организации для предупреждения ее возможного банкротства целесообразно использовать дополнительные показатели. В качестве таких показателей предлагают использовать следующие фор</w:t>
      </w:r>
      <w:r>
        <w:t xml:space="preserve">мулы: </w:t>
      </w:r>
    </w:p>
    <w:p w:rsidR="002C0F56" w:rsidRDefault="00E67C6E">
      <w:pPr>
        <w:numPr>
          <w:ilvl w:val="0"/>
          <w:numId w:val="22"/>
        </w:numPr>
        <w:spacing w:after="12"/>
        <w:ind w:right="302"/>
      </w:pPr>
      <w:r>
        <w:t xml:space="preserve">Коэффициент автономии:  </w:t>
      </w:r>
    </w:p>
    <w:p w:rsidR="002C0F56" w:rsidRDefault="00E67C6E">
      <w:pPr>
        <w:spacing w:after="5" w:line="268" w:lineRule="auto"/>
        <w:ind w:left="744" w:right="1086" w:firstLine="0"/>
        <w:jc w:val="left"/>
      </w:pPr>
      <w:r>
        <w:t xml:space="preserve">                                                  Ка = </w:t>
      </w:r>
      <w:r>
        <w:rPr>
          <w:noProof/>
        </w:rPr>
        <w:drawing>
          <wp:inline distT="0" distB="0" distL="0" distR="0">
            <wp:extent cx="228600" cy="352425"/>
            <wp:effectExtent l="0" t="0" r="0" b="0"/>
            <wp:docPr id="8692" name="Picture 8692"/>
            <wp:cNvGraphicFramePr/>
            <a:graphic xmlns:a="http://schemas.openxmlformats.org/drawingml/2006/main">
              <a:graphicData uri="http://schemas.openxmlformats.org/drawingml/2006/picture">
                <pic:pic xmlns:pic="http://schemas.openxmlformats.org/drawingml/2006/picture">
                  <pic:nvPicPr>
                    <pic:cNvPr id="8692" name="Picture 8692"/>
                    <pic:cNvPicPr/>
                  </pic:nvPicPr>
                  <pic:blipFill>
                    <a:blip r:embed="rId156"/>
                    <a:stretch>
                      <a:fillRect/>
                    </a:stretch>
                  </pic:blipFill>
                  <pic:spPr>
                    <a:xfrm>
                      <a:off x="0" y="0"/>
                      <a:ext cx="228600" cy="352425"/>
                    </a:xfrm>
                    <a:prstGeom prst="rect">
                      <a:avLst/>
                    </a:prstGeom>
                  </pic:spPr>
                </pic:pic>
              </a:graphicData>
            </a:graphic>
          </wp:inline>
        </w:drawing>
      </w:r>
      <w:r>
        <w:t xml:space="preserve"> ,                                                        [1] где СК — собственный капитал;  ВБ — валюта баланса.  </w:t>
      </w:r>
    </w:p>
    <w:p w:rsidR="002C0F56" w:rsidRDefault="00E67C6E">
      <w:pPr>
        <w:ind w:left="165" w:right="302"/>
      </w:pPr>
      <w:r>
        <w:t>Данный коэффициент характеризует степень зависимости</w:t>
      </w:r>
      <w:r>
        <w:t xml:space="preserve"> от заемных источников финансирования.  </w:t>
      </w:r>
    </w:p>
    <w:p w:rsidR="002C0F56" w:rsidRDefault="00E67C6E">
      <w:pPr>
        <w:numPr>
          <w:ilvl w:val="0"/>
          <w:numId w:val="22"/>
        </w:numPr>
        <w:spacing w:after="12"/>
        <w:ind w:right="302"/>
      </w:pPr>
      <w:r>
        <w:t xml:space="preserve">Коэффициент соотношения заемных и собственных средств:  </w:t>
      </w:r>
    </w:p>
    <w:p w:rsidR="002C0F56" w:rsidRDefault="00E67C6E">
      <w:pPr>
        <w:ind w:left="744" w:right="634" w:firstLine="0"/>
      </w:pPr>
      <w:r>
        <w:t xml:space="preserve">                                                    Ксзс = </w:t>
      </w:r>
      <w:r>
        <w:rPr>
          <w:noProof/>
        </w:rPr>
        <w:drawing>
          <wp:inline distT="0" distB="0" distL="0" distR="0">
            <wp:extent cx="210185" cy="351790"/>
            <wp:effectExtent l="0" t="0" r="0" b="0"/>
            <wp:docPr id="8720" name="Picture 8720"/>
            <wp:cNvGraphicFramePr/>
            <a:graphic xmlns:a="http://schemas.openxmlformats.org/drawingml/2006/main">
              <a:graphicData uri="http://schemas.openxmlformats.org/drawingml/2006/picture">
                <pic:pic xmlns:pic="http://schemas.openxmlformats.org/drawingml/2006/picture">
                  <pic:nvPicPr>
                    <pic:cNvPr id="8720" name="Picture 8720"/>
                    <pic:cNvPicPr/>
                  </pic:nvPicPr>
                  <pic:blipFill>
                    <a:blip r:embed="rId157"/>
                    <a:stretch>
                      <a:fillRect/>
                    </a:stretch>
                  </pic:blipFill>
                  <pic:spPr>
                    <a:xfrm>
                      <a:off x="0" y="0"/>
                      <a:ext cx="210185" cy="351790"/>
                    </a:xfrm>
                    <a:prstGeom prst="rect">
                      <a:avLst/>
                    </a:prstGeom>
                  </pic:spPr>
                </pic:pic>
              </a:graphicData>
            </a:graphic>
          </wp:inline>
        </w:drawing>
      </w:r>
      <w:r>
        <w:t xml:space="preserve">,                                                    [2] где ЗК — заемный капитал. </w:t>
      </w:r>
    </w:p>
    <w:p w:rsidR="002C0F56" w:rsidRDefault="00E67C6E">
      <w:pPr>
        <w:spacing w:after="25" w:line="259" w:lineRule="auto"/>
        <w:ind w:left="744" w:firstLine="0"/>
        <w:jc w:val="left"/>
      </w:pPr>
      <w:r>
        <w:t xml:space="preserve"> </w:t>
      </w:r>
    </w:p>
    <w:p w:rsidR="002C0F56" w:rsidRDefault="00E67C6E">
      <w:pPr>
        <w:ind w:left="165" w:right="872"/>
      </w:pPr>
      <w:r>
        <w:t xml:space="preserve"> Характеризу</w:t>
      </w:r>
      <w:r>
        <w:t xml:space="preserve">ет общую оценку финансовой устойчивости. Показывает сколько единиц привлеченных средств приходится на каждую единицу собственных средств.  </w:t>
      </w:r>
    </w:p>
    <w:p w:rsidR="002C0F56" w:rsidRDefault="00E67C6E">
      <w:pPr>
        <w:numPr>
          <w:ilvl w:val="0"/>
          <w:numId w:val="22"/>
        </w:numPr>
        <w:spacing w:after="258"/>
        <w:ind w:right="302"/>
      </w:pPr>
      <w:r>
        <w:t xml:space="preserve">Коэффициент самофинансирования:  </w:t>
      </w:r>
    </w:p>
    <w:p w:rsidR="002C0F56" w:rsidRDefault="00E67C6E">
      <w:pPr>
        <w:spacing w:after="12"/>
        <w:ind w:left="936" w:right="302" w:firstLine="0"/>
      </w:pPr>
      <w:r>
        <w:t xml:space="preserve">                                               Кс = </w:t>
      </w:r>
      <w:r>
        <w:rPr>
          <w:noProof/>
        </w:rPr>
        <w:drawing>
          <wp:inline distT="0" distB="0" distL="0" distR="0">
            <wp:extent cx="257175" cy="324485"/>
            <wp:effectExtent l="0" t="0" r="0" b="0"/>
            <wp:docPr id="8742" name="Picture 8742"/>
            <wp:cNvGraphicFramePr/>
            <a:graphic xmlns:a="http://schemas.openxmlformats.org/drawingml/2006/main">
              <a:graphicData uri="http://schemas.openxmlformats.org/drawingml/2006/picture">
                <pic:pic xmlns:pic="http://schemas.openxmlformats.org/drawingml/2006/picture">
                  <pic:nvPicPr>
                    <pic:cNvPr id="8742" name="Picture 8742"/>
                    <pic:cNvPicPr/>
                  </pic:nvPicPr>
                  <pic:blipFill>
                    <a:blip r:embed="rId158"/>
                    <a:stretch>
                      <a:fillRect/>
                    </a:stretch>
                  </pic:blipFill>
                  <pic:spPr>
                    <a:xfrm>
                      <a:off x="0" y="0"/>
                      <a:ext cx="257175" cy="324485"/>
                    </a:xfrm>
                    <a:prstGeom prst="rect">
                      <a:avLst/>
                    </a:prstGeom>
                  </pic:spPr>
                </pic:pic>
              </a:graphicData>
            </a:graphic>
          </wp:inline>
        </w:drawing>
      </w:r>
      <w:r>
        <w:t xml:space="preserve">,                            </w:t>
      </w:r>
      <w:r>
        <w:t xml:space="preserve">                             [3] </w:t>
      </w:r>
    </w:p>
    <w:p w:rsidR="002C0F56" w:rsidRDefault="00E67C6E">
      <w:pPr>
        <w:ind w:left="165" w:right="302"/>
      </w:pPr>
      <w:r>
        <w:lastRenderedPageBreak/>
        <w:t xml:space="preserve">Данный коэффициент показывает, какая часть деятельности предприятия финансируется за счет собственных средств.  </w:t>
      </w:r>
    </w:p>
    <w:p w:rsidR="002C0F56" w:rsidRDefault="00E67C6E">
      <w:pPr>
        <w:numPr>
          <w:ilvl w:val="0"/>
          <w:numId w:val="22"/>
        </w:numPr>
        <w:ind w:right="302"/>
      </w:pPr>
      <w:r>
        <w:t xml:space="preserve">Коэффициент обеспеченности собственными оборотными средствами: </w:t>
      </w:r>
    </w:p>
    <w:p w:rsidR="002C0F56" w:rsidRDefault="00E67C6E">
      <w:pPr>
        <w:spacing w:after="12"/>
        <w:ind w:left="744" w:right="302" w:firstLine="0"/>
      </w:pPr>
      <w:r>
        <w:t xml:space="preserve">                                                  Ко = </w:t>
      </w:r>
      <w:r>
        <w:rPr>
          <w:noProof/>
        </w:rPr>
        <w:drawing>
          <wp:inline distT="0" distB="0" distL="0" distR="0">
            <wp:extent cx="325120" cy="351790"/>
            <wp:effectExtent l="0" t="0" r="0" b="0"/>
            <wp:docPr id="8761" name="Picture 8761"/>
            <wp:cNvGraphicFramePr/>
            <a:graphic xmlns:a="http://schemas.openxmlformats.org/drawingml/2006/main">
              <a:graphicData uri="http://schemas.openxmlformats.org/drawingml/2006/picture">
                <pic:pic xmlns:pic="http://schemas.openxmlformats.org/drawingml/2006/picture">
                  <pic:nvPicPr>
                    <pic:cNvPr id="8761" name="Picture 8761"/>
                    <pic:cNvPicPr/>
                  </pic:nvPicPr>
                  <pic:blipFill>
                    <a:blip r:embed="rId159"/>
                    <a:stretch>
                      <a:fillRect/>
                    </a:stretch>
                  </pic:blipFill>
                  <pic:spPr>
                    <a:xfrm>
                      <a:off x="0" y="0"/>
                      <a:ext cx="325120" cy="351790"/>
                    </a:xfrm>
                    <a:prstGeom prst="rect">
                      <a:avLst/>
                    </a:prstGeom>
                  </pic:spPr>
                </pic:pic>
              </a:graphicData>
            </a:graphic>
          </wp:inline>
        </w:drawing>
      </w:r>
      <w:r>
        <w:t xml:space="preserve">,                                                    [4] </w:t>
      </w:r>
    </w:p>
    <w:p w:rsidR="002C0F56" w:rsidRDefault="00E67C6E">
      <w:pPr>
        <w:spacing w:after="24" w:line="259" w:lineRule="auto"/>
        <w:ind w:left="744" w:firstLine="0"/>
        <w:jc w:val="left"/>
      </w:pPr>
      <w:r>
        <w:rPr>
          <w:b/>
        </w:rPr>
        <w:t xml:space="preserve"> </w:t>
      </w:r>
    </w:p>
    <w:p w:rsidR="002C0F56" w:rsidRDefault="00E67C6E">
      <w:pPr>
        <w:ind w:left="744" w:right="3959" w:firstLine="0"/>
      </w:pPr>
      <w:r>
        <w:t xml:space="preserve">где СОС — собственные оборотные средства; ОА — оборотные активы.  </w:t>
      </w:r>
    </w:p>
    <w:p w:rsidR="002C0F56" w:rsidRDefault="00E67C6E">
      <w:pPr>
        <w:numPr>
          <w:ilvl w:val="0"/>
          <w:numId w:val="22"/>
        </w:numPr>
        <w:spacing w:after="12"/>
        <w:ind w:right="302"/>
      </w:pPr>
      <w:r>
        <w:t xml:space="preserve">Коэффициент маневренности:  </w:t>
      </w:r>
    </w:p>
    <w:p w:rsidR="002C0F56" w:rsidRDefault="00E67C6E">
      <w:pPr>
        <w:spacing w:after="12"/>
        <w:ind w:left="744" w:right="302" w:firstLine="0"/>
      </w:pPr>
      <w:r>
        <w:t xml:space="preserve">                                            </w:t>
      </w:r>
      <w:r>
        <w:t xml:space="preserve">      Км = </w:t>
      </w:r>
      <w:r>
        <w:rPr>
          <w:noProof/>
        </w:rPr>
        <w:drawing>
          <wp:inline distT="0" distB="0" distL="0" distR="0">
            <wp:extent cx="325120" cy="351790"/>
            <wp:effectExtent l="0" t="0" r="0" b="0"/>
            <wp:docPr id="8782" name="Picture 8782"/>
            <wp:cNvGraphicFramePr/>
            <a:graphic xmlns:a="http://schemas.openxmlformats.org/drawingml/2006/main">
              <a:graphicData uri="http://schemas.openxmlformats.org/drawingml/2006/picture">
                <pic:pic xmlns:pic="http://schemas.openxmlformats.org/drawingml/2006/picture">
                  <pic:nvPicPr>
                    <pic:cNvPr id="8782" name="Picture 8782"/>
                    <pic:cNvPicPr/>
                  </pic:nvPicPr>
                  <pic:blipFill>
                    <a:blip r:embed="rId160"/>
                    <a:stretch>
                      <a:fillRect/>
                    </a:stretch>
                  </pic:blipFill>
                  <pic:spPr>
                    <a:xfrm>
                      <a:off x="0" y="0"/>
                      <a:ext cx="325120" cy="351790"/>
                    </a:xfrm>
                    <a:prstGeom prst="rect">
                      <a:avLst/>
                    </a:prstGeom>
                  </pic:spPr>
                </pic:pic>
              </a:graphicData>
            </a:graphic>
          </wp:inline>
        </w:drawing>
      </w:r>
      <w:r>
        <w:t xml:space="preserve">,                                                    [2] </w:t>
      </w:r>
    </w:p>
    <w:p w:rsidR="002C0F56" w:rsidRDefault="00E67C6E">
      <w:pPr>
        <w:ind w:left="165" w:right="302"/>
      </w:pPr>
      <w:r>
        <w:t xml:space="preserve">Данный коэффициент показывает долю собственных оборотных средств предприятия в общей величине источников собственных средств. </w:t>
      </w:r>
    </w:p>
    <w:p w:rsidR="002C0F56" w:rsidRDefault="00E67C6E">
      <w:pPr>
        <w:numPr>
          <w:ilvl w:val="0"/>
          <w:numId w:val="22"/>
        </w:numPr>
        <w:spacing w:after="12"/>
        <w:ind w:right="302"/>
      </w:pPr>
      <w:r>
        <w:t xml:space="preserve">Коэффициент финансовой напряженности:  </w:t>
      </w:r>
    </w:p>
    <w:p w:rsidR="002C0F56" w:rsidRDefault="00E67C6E">
      <w:pPr>
        <w:ind w:left="744" w:right="1142" w:firstLine="0"/>
      </w:pPr>
      <w:r>
        <w:t xml:space="preserve">                                                 Кн =</w:t>
      </w:r>
      <w:r>
        <w:rPr>
          <w:noProof/>
        </w:rPr>
        <w:drawing>
          <wp:inline distT="0" distB="0" distL="0" distR="0">
            <wp:extent cx="219075" cy="351790"/>
            <wp:effectExtent l="0" t="0" r="0" b="0"/>
            <wp:docPr id="8801" name="Picture 8801"/>
            <wp:cNvGraphicFramePr/>
            <a:graphic xmlns:a="http://schemas.openxmlformats.org/drawingml/2006/main">
              <a:graphicData uri="http://schemas.openxmlformats.org/drawingml/2006/picture">
                <pic:pic xmlns:pic="http://schemas.openxmlformats.org/drawingml/2006/picture">
                  <pic:nvPicPr>
                    <pic:cNvPr id="8801" name="Picture 8801"/>
                    <pic:cNvPicPr/>
                  </pic:nvPicPr>
                  <pic:blipFill>
                    <a:blip r:embed="rId161"/>
                    <a:stretch>
                      <a:fillRect/>
                    </a:stretch>
                  </pic:blipFill>
                  <pic:spPr>
                    <a:xfrm>
                      <a:off x="0" y="0"/>
                      <a:ext cx="219075" cy="351790"/>
                    </a:xfrm>
                    <a:prstGeom prst="rect">
                      <a:avLst/>
                    </a:prstGeom>
                  </pic:spPr>
                </pic:pic>
              </a:graphicData>
            </a:graphic>
          </wp:inline>
        </w:drawing>
      </w:r>
      <w:r>
        <w:t xml:space="preserve"> ,                                                        [6]  </w:t>
      </w:r>
    </w:p>
    <w:p w:rsidR="002C0F56" w:rsidRDefault="00E67C6E">
      <w:pPr>
        <w:ind w:left="744" w:right="302" w:firstLine="0"/>
      </w:pPr>
      <w:r>
        <w:t xml:space="preserve">Показывает долю заемных средств в валюте баланса.  </w:t>
      </w:r>
    </w:p>
    <w:p w:rsidR="002C0F56" w:rsidRDefault="00E67C6E">
      <w:pPr>
        <w:numPr>
          <w:ilvl w:val="0"/>
          <w:numId w:val="22"/>
        </w:numPr>
        <w:spacing w:after="12"/>
        <w:ind w:right="302"/>
      </w:pPr>
      <w:r>
        <w:t xml:space="preserve">Коэффициент соотношения мобильных и мобилизованных активов:  </w:t>
      </w:r>
    </w:p>
    <w:p w:rsidR="002C0F56" w:rsidRDefault="00E67C6E">
      <w:pPr>
        <w:ind w:left="744" w:right="694" w:firstLine="0"/>
      </w:pPr>
      <w:r>
        <w:t xml:space="preserve">                        </w:t>
      </w:r>
      <w:r>
        <w:t xml:space="preserve">                        Кма =</w:t>
      </w:r>
      <w:r>
        <w:rPr>
          <w:noProof/>
        </w:rPr>
        <w:drawing>
          <wp:inline distT="0" distB="0" distL="0" distR="0">
            <wp:extent cx="210820" cy="352425"/>
            <wp:effectExtent l="0" t="0" r="0" b="0"/>
            <wp:docPr id="8821" name="Picture 8821"/>
            <wp:cNvGraphicFramePr/>
            <a:graphic xmlns:a="http://schemas.openxmlformats.org/drawingml/2006/main">
              <a:graphicData uri="http://schemas.openxmlformats.org/drawingml/2006/picture">
                <pic:pic xmlns:pic="http://schemas.openxmlformats.org/drawingml/2006/picture">
                  <pic:nvPicPr>
                    <pic:cNvPr id="8821" name="Picture 8821"/>
                    <pic:cNvPicPr/>
                  </pic:nvPicPr>
                  <pic:blipFill>
                    <a:blip r:embed="rId162"/>
                    <a:stretch>
                      <a:fillRect/>
                    </a:stretch>
                  </pic:blipFill>
                  <pic:spPr>
                    <a:xfrm>
                      <a:off x="0" y="0"/>
                      <a:ext cx="210820" cy="352425"/>
                    </a:xfrm>
                    <a:prstGeom prst="rect">
                      <a:avLst/>
                    </a:prstGeom>
                  </pic:spPr>
                </pic:pic>
              </a:graphicData>
            </a:graphic>
          </wp:inline>
        </w:drawing>
      </w:r>
      <w:r>
        <w:t xml:space="preserve"> ,                                                        [7] где ОА — оборотные активы;  </w:t>
      </w:r>
    </w:p>
    <w:p w:rsidR="002C0F56" w:rsidRDefault="00E67C6E">
      <w:pPr>
        <w:spacing w:after="12"/>
        <w:ind w:left="744" w:right="302" w:firstLine="0"/>
      </w:pPr>
      <w:r>
        <w:t xml:space="preserve">ВА — внеоборотные активы.  </w:t>
      </w:r>
    </w:p>
    <w:p w:rsidR="002C0F56" w:rsidRDefault="00E67C6E">
      <w:pPr>
        <w:ind w:left="165" w:right="302"/>
      </w:pPr>
      <w:r>
        <w:t xml:space="preserve">Показывает, сколько оборотных активов приходится на каждый рубль внеоборотных активов . </w:t>
      </w:r>
    </w:p>
    <w:p w:rsidR="002C0F56" w:rsidRDefault="00E67C6E">
      <w:pPr>
        <w:numPr>
          <w:ilvl w:val="0"/>
          <w:numId w:val="22"/>
        </w:numPr>
        <w:spacing w:after="12"/>
        <w:ind w:right="302"/>
      </w:pPr>
      <w:r>
        <w:t>Коэффициент имущес</w:t>
      </w:r>
      <w:r>
        <w:t xml:space="preserve">тва производственного назначения: </w:t>
      </w:r>
    </w:p>
    <w:p w:rsidR="002C0F56" w:rsidRDefault="00E67C6E">
      <w:pPr>
        <w:ind w:left="744" w:right="624" w:firstLine="0"/>
      </w:pPr>
      <w:r>
        <w:t xml:space="preserve">                                               Кипн =</w:t>
      </w:r>
      <w:r>
        <w:rPr>
          <w:noProof/>
        </w:rPr>
        <w:drawing>
          <wp:inline distT="0" distB="0" distL="0" distR="0">
            <wp:extent cx="647700" cy="351790"/>
            <wp:effectExtent l="0" t="0" r="0" b="0"/>
            <wp:docPr id="8858" name="Picture 8858"/>
            <wp:cNvGraphicFramePr/>
            <a:graphic xmlns:a="http://schemas.openxmlformats.org/drawingml/2006/main">
              <a:graphicData uri="http://schemas.openxmlformats.org/drawingml/2006/picture">
                <pic:pic xmlns:pic="http://schemas.openxmlformats.org/drawingml/2006/picture">
                  <pic:nvPicPr>
                    <pic:cNvPr id="8858" name="Picture 8858"/>
                    <pic:cNvPicPr/>
                  </pic:nvPicPr>
                  <pic:blipFill>
                    <a:blip r:embed="rId163"/>
                    <a:stretch>
                      <a:fillRect/>
                    </a:stretch>
                  </pic:blipFill>
                  <pic:spPr>
                    <a:xfrm>
                      <a:off x="0" y="0"/>
                      <a:ext cx="647700" cy="351790"/>
                    </a:xfrm>
                    <a:prstGeom prst="rect">
                      <a:avLst/>
                    </a:prstGeom>
                  </pic:spPr>
                </pic:pic>
              </a:graphicData>
            </a:graphic>
          </wp:inline>
        </w:drawing>
      </w:r>
      <w:r>
        <w:t xml:space="preserve"> ,                                              [8] где З — запасы. </w:t>
      </w:r>
    </w:p>
    <w:p w:rsidR="002C0F56" w:rsidRDefault="00E67C6E">
      <w:pPr>
        <w:ind w:left="165" w:right="302"/>
      </w:pPr>
      <w:r>
        <w:t xml:space="preserve">Данный коэффициент показывает долю имущества производственного назначения в активах предприятия[2]. </w:t>
      </w:r>
    </w:p>
    <w:p w:rsidR="002C0F56" w:rsidRDefault="00E67C6E">
      <w:pPr>
        <w:spacing w:after="4"/>
        <w:ind w:left="165" w:right="865"/>
      </w:pPr>
      <w:r>
        <w:t>Таким образом, банкротство является результатом взаимодействия как внешних факторов – нестабильность законодательной базы, несовершенство финансовой и нало</w:t>
      </w:r>
      <w:r>
        <w:t>говой систем, достаточно высокая инфляция, так и внутренних, связанных с неэффективной финансовой, операционной и инвестиционной деятельностью предприятия. На сегодняшний день на финансовое состояние отечественных компаний в большей степени оказывают влиян</w:t>
      </w:r>
      <w:r>
        <w:t xml:space="preserve">ие внешние факторы, поэтому возможность предприятия приспособиться </w:t>
      </w:r>
      <w:r>
        <w:lastRenderedPageBreak/>
        <w:t xml:space="preserve">к изменениям этих факторов является залогом не только выживания, но и его развития. </w:t>
      </w:r>
    </w:p>
    <w:p w:rsidR="002C0F56" w:rsidRDefault="00E67C6E">
      <w:pPr>
        <w:spacing w:after="27"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23"/>
        </w:numPr>
        <w:ind w:right="302"/>
      </w:pPr>
      <w:r>
        <w:t>Быкова Н. Н. Методы прогнозирования банкротства предприятия // Молодой ученый. — 2</w:t>
      </w:r>
      <w:r>
        <w:t xml:space="preserve">016.  </w:t>
      </w:r>
    </w:p>
    <w:p w:rsidR="002C0F56" w:rsidRDefault="00E67C6E">
      <w:pPr>
        <w:numPr>
          <w:ilvl w:val="0"/>
          <w:numId w:val="23"/>
        </w:numPr>
        <w:ind w:right="302"/>
      </w:pPr>
      <w:r>
        <w:t xml:space="preserve">Давыдова Г. В., Беликов А. Ю. Методика количественной оценки риска банкротства предприятий. </w:t>
      </w:r>
    </w:p>
    <w:p w:rsidR="002C0F56" w:rsidRDefault="00E67C6E">
      <w:pPr>
        <w:spacing w:after="0" w:line="259" w:lineRule="auto"/>
        <w:ind w:left="744" w:firstLine="0"/>
        <w:jc w:val="left"/>
      </w:pPr>
      <w:r>
        <w:t xml:space="preserve"> </w:t>
      </w:r>
    </w:p>
    <w:p w:rsidR="002C0F56" w:rsidRDefault="00E67C6E">
      <w:pPr>
        <w:spacing w:after="30" w:line="259" w:lineRule="auto"/>
        <w:ind w:left="744" w:firstLine="0"/>
        <w:jc w:val="left"/>
      </w:pPr>
      <w:r>
        <w:t xml:space="preserve"> </w:t>
      </w:r>
    </w:p>
    <w:p w:rsidR="002C0F56" w:rsidRDefault="00E67C6E">
      <w:pPr>
        <w:pStyle w:val="1"/>
        <w:spacing w:after="25" w:line="259" w:lineRule="auto"/>
        <w:ind w:right="856"/>
        <w:jc w:val="right"/>
      </w:pPr>
      <w:r>
        <w:t xml:space="preserve">Блажко О.В. </w:t>
      </w:r>
      <w:r>
        <w:rPr>
          <w:rFonts w:ascii="Calibri" w:eastAsia="Calibri" w:hAnsi="Calibri" w:cs="Calibri"/>
          <w:color w:val="345A8A"/>
        </w:rPr>
        <w:t xml:space="preserve">     </w:t>
      </w:r>
      <w:r>
        <w:rPr>
          <w:b w:val="0"/>
        </w:rPr>
        <w:t>Научный руководитель: Костанда А.В., к.э.н.,  доц.</w:t>
      </w:r>
      <w:r>
        <w:rPr>
          <w:rFonts w:ascii="Calibri" w:eastAsia="Calibri" w:hAnsi="Calibri" w:cs="Calibri"/>
        </w:rPr>
        <w:t xml:space="preserve"> </w:t>
      </w:r>
      <w:r>
        <w:rPr>
          <w:rFonts w:ascii="Calibri" w:eastAsia="Calibri" w:hAnsi="Calibri" w:cs="Calibri"/>
          <w:color w:val="345A8A"/>
        </w:rPr>
        <w:t xml:space="preserve">                 </w:t>
      </w:r>
    </w:p>
    <w:p w:rsidR="002C0F56" w:rsidRDefault="00E67C6E">
      <w:pPr>
        <w:spacing w:after="5" w:line="269" w:lineRule="auto"/>
        <w:ind w:left="1755" w:hanging="10"/>
        <w:jc w:val="lef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 xml:space="preserve">Михаила Туган-Барановского </w:t>
      </w:r>
    </w:p>
    <w:p w:rsidR="002C0F56" w:rsidRDefault="00E67C6E">
      <w:pPr>
        <w:spacing w:after="30" w:line="259" w:lineRule="auto"/>
        <w:ind w:left="744" w:firstLine="0"/>
        <w:jc w:val="left"/>
      </w:pPr>
      <w:r>
        <w:rPr>
          <w:i/>
        </w:rPr>
        <w:t xml:space="preserve"> </w:t>
      </w:r>
    </w:p>
    <w:p w:rsidR="002C0F56" w:rsidRDefault="00E67C6E">
      <w:pPr>
        <w:pStyle w:val="1"/>
        <w:spacing w:after="15" w:line="271" w:lineRule="auto"/>
        <w:ind w:left="1393" w:right="0"/>
        <w:jc w:val="left"/>
      </w:pPr>
      <w:r>
        <w:t xml:space="preserve">КАПИТАЛ БРЕНДА И ВАЖНОСТЬ ЕГО ИЗМЕРЕНИЯ </w:t>
      </w:r>
    </w:p>
    <w:p w:rsidR="002C0F56" w:rsidRDefault="00E67C6E">
      <w:pPr>
        <w:spacing w:after="25" w:line="259" w:lineRule="auto"/>
        <w:ind w:left="744" w:firstLine="0"/>
        <w:jc w:val="left"/>
      </w:pPr>
      <w:r>
        <w:t xml:space="preserve"> </w:t>
      </w:r>
    </w:p>
    <w:p w:rsidR="002C0F56" w:rsidRDefault="00E67C6E">
      <w:pPr>
        <w:ind w:left="165" w:right="302"/>
      </w:pPr>
      <w:r>
        <w:t xml:space="preserve"> В современном мире на выбор потребителей, а также на стратегическую политику компании большое влияние оказывает бренд.   </w:t>
      </w:r>
    </w:p>
    <w:p w:rsidR="002C0F56" w:rsidRDefault="00E67C6E">
      <w:pPr>
        <w:spacing w:after="14"/>
        <w:ind w:left="165" w:right="867"/>
      </w:pPr>
      <w:r>
        <w:t xml:space="preserve"> Бренд-это определенная торговая марка, которая в сознании п</w:t>
      </w:r>
      <w:r>
        <w:t>окупателей обладает ценными для них свойствами и имеет наибольшие преимущества в виде качества, популярности. Для производителя торговой марки сила бренда их продукции также имеет большое значение, ведь именно бренд позволяет выделить компанию и ее продукт</w:t>
      </w:r>
      <w:r>
        <w:t xml:space="preserve"> в глазах потребителя, то есть бренд становится важным инструментом дифференциации в условиях современной рыночной экономики. Поэтому создание сильного, популярного бренда становится одним из главных и важнейших целей компаний. Также одной из целей создани</w:t>
      </w:r>
      <w:r>
        <w:t xml:space="preserve">я сильного бренда является образование монополии в определенной рыночной отрасли, а также создание монопольного ценообразования.  </w:t>
      </w:r>
    </w:p>
    <w:p w:rsidR="002C0F56" w:rsidRDefault="00E67C6E">
      <w:pPr>
        <w:ind w:left="165" w:right="873"/>
      </w:pPr>
      <w:r>
        <w:t xml:space="preserve"> Бренд может вызвать доверие не только со стороны потребителей, но и со стороны партнеров, он снижает расходы на маркетинг и </w:t>
      </w:r>
      <w:r>
        <w:t xml:space="preserve">рекламу, так как покупатели уже знают что популярно, уникально, востребовано и что им нужно; позволяет увеличить прибыль от реализованной продукции. Бренд является одним из ценных нематериальных активов предприятия. </w:t>
      </w:r>
    </w:p>
    <w:p w:rsidR="002C0F56" w:rsidRDefault="00E67C6E">
      <w:pPr>
        <w:ind w:left="165" w:right="871"/>
      </w:pPr>
      <w:r>
        <w:t xml:space="preserve">  Необходимо помнить, что в эффективную</w:t>
      </w:r>
      <w:r>
        <w:t xml:space="preserve"> маркетинговую стратегию компании кроме создания эффективного бренда, также должно входить понятие измерение стоимости бренда, иными словами - капитал бренда. </w:t>
      </w:r>
    </w:p>
    <w:p w:rsidR="002C0F56" w:rsidRDefault="00E67C6E">
      <w:pPr>
        <w:ind w:left="165" w:right="869"/>
      </w:pPr>
      <w:r>
        <w:t xml:space="preserve"> Первая концепция капитала бренда была разработана в 1980-ых годах американскими специалистами п</w:t>
      </w:r>
      <w:r>
        <w:t xml:space="preserve">о маркетингу. Существует большое количество </w:t>
      </w:r>
      <w:r>
        <w:lastRenderedPageBreak/>
        <w:t xml:space="preserve">определений данного понятия, но всех их можно свести к тому, что капиталом бренда является добавленная стоимость, которой бренд наделяет товар. </w:t>
      </w:r>
    </w:p>
    <w:p w:rsidR="002C0F56" w:rsidRDefault="00E67C6E">
      <w:pPr>
        <w:ind w:left="165" w:right="864"/>
      </w:pPr>
      <w:r>
        <w:t xml:space="preserve"> Капитал бренда характеризуют два параметра: его сила и его ценност</w:t>
      </w:r>
      <w:r>
        <w:t>ь. Второй параметр отражает материальную стоимость бренда, он определяется с помощью изучения добавленной стоимости, которою готов платить потребитель за приобретение продукции бренда. В другом трактовании, ценность бренда - это использование компанией бре</w:t>
      </w:r>
      <w:r>
        <w:t>нда для увеличения прибыли. [6, с.79-81] Сила бренда оценивается на основе ее ценности в глазах потребителя, которая измеряется не в денежном значении, а в предпочтениях. Чем сильнее торговая марка, тем дольше будет сохраняться возможность приобретения доб</w:t>
      </w:r>
      <w:r>
        <w:t>авленной стоимости. Например, проанализировав цены на бензин в республике Татарстан, можно заметить, что одними из наивысших цен обладает компания ПАО «Лукойл». На 14 октября 2015 года в городе Казань цена на бензин АИ 92 в данной компании составляла 33 ру</w:t>
      </w:r>
      <w:r>
        <w:t>бля 50копеек, что является практически самой высокой ценой среди других бензоколонок. [4] Несмотря на это, данная компания пользуется огромной популярностью среди водителей автомобилей, потому что они доверяют данному бренду и уверены в качестве производим</w:t>
      </w:r>
      <w:r>
        <w:t xml:space="preserve">ой продукции. Соответственно потребители готовы платить добавленную стоимость за данную продукцию. </w:t>
      </w:r>
    </w:p>
    <w:p w:rsidR="002C0F56" w:rsidRDefault="00E67C6E">
      <w:pPr>
        <w:ind w:left="165" w:right="874"/>
      </w:pPr>
      <w:r>
        <w:t xml:space="preserve"> По данным 2013 года торговая марка нефтекомпании «Лукойл» стала третьим по стоимости российским брендом и заняла 218 строчку в мировом рейтинге самых дорог</w:t>
      </w:r>
      <w:r>
        <w:t xml:space="preserve">их брендов BrandFinance Global 500, составленном Brand Finance Canada. Brand Finance повысила оценку бренда «Лукойл» с 3,8 миллиарда до 5,1 миллиарда долларов.[5] </w:t>
      </w:r>
    </w:p>
    <w:p w:rsidR="002C0F56" w:rsidRDefault="00E67C6E">
      <w:pPr>
        <w:ind w:left="165" w:right="867"/>
      </w:pPr>
      <w:r>
        <w:t xml:space="preserve"> </w:t>
      </w:r>
      <w:r>
        <w:t>На сегодняшний день бренд перешел в разряд полноценных активов компании, он является одним из самых главных конкурентных преимуществ  производителей, поэтому появляется необходимость в его правильном измерении. Наибольший вклад в развитие данного понятия в</w:t>
      </w:r>
      <w:r>
        <w:t>нес профессор и выдающийся специалист в области маркетинга Д. Аакер. Он считал, что капитал бренда отражает совокупность активов и обязательств, связанных с брендом, выражающих его ценность. В свою очередь, активы и обязательства подразделяются на множеств</w:t>
      </w:r>
      <w:r>
        <w:t xml:space="preserve">о категорий, отражающих образ мышления потребителя, главными из которых являются  лояльность к бренду, осведомленность о нем, воспринимаемое качество, вызываемые ассоциации, другие фирменные активы. Именно они дают бренду конкурентное </w:t>
      </w:r>
    </w:p>
    <w:p w:rsidR="002C0F56" w:rsidRDefault="00E67C6E">
      <w:pPr>
        <w:ind w:left="165" w:right="302" w:firstLine="0"/>
      </w:pPr>
      <w:r>
        <w:t>преимущество среди и</w:t>
      </w:r>
      <w:r>
        <w:t xml:space="preserve">зобилия товаров на современном рынке. [1, с.42-44] </w:t>
      </w:r>
    </w:p>
    <w:p w:rsidR="002C0F56" w:rsidRDefault="00E67C6E">
      <w:pPr>
        <w:spacing w:after="8"/>
        <w:ind w:left="165" w:right="865"/>
      </w:pPr>
      <w:r>
        <w:t xml:space="preserve"> Другим популярным направлением в развитии этого понятия стала точка зрения П. Фелдвика – исполнительного директора по стратегическому планированию BMP DDB, международного директора по </w:t>
      </w:r>
      <w:r>
        <w:lastRenderedPageBreak/>
        <w:t>брендингпланировани</w:t>
      </w:r>
      <w:r>
        <w:t>ю DDB. Он считает, что «бренд – это набор восприятий в воображении потребителя». [3, с.9] По мнению П.Фелдвика, измерение бренда складывается из измерения отношения цены к спросу, измерение лояльности покупателей, их поведения, осведомленности  в отношении</w:t>
      </w:r>
      <w:r>
        <w:t xml:space="preserve"> бренда. К.Келлер считал, что основной идеей всего изобилия различных терминов к определению капитала бренда является сравнение потребителями товаров, принадлежащих к определенному бренду и аналогичных товаров, не примыкающих к данному бренду. Он предполож</w:t>
      </w:r>
      <w:r>
        <w:t xml:space="preserve">ил, что методы измерения капитала бренда можно разделить на прямые и косвенные. [2, с.27]  </w:t>
      </w:r>
    </w:p>
    <w:p w:rsidR="002C0F56" w:rsidRDefault="00E67C6E">
      <w:pPr>
        <w:spacing w:after="0"/>
        <w:ind w:left="165" w:right="872"/>
      </w:pPr>
      <w:r>
        <w:t>К прямым методам можно отнести изучение реакции потребителей на маркетинговые изменения в отношении продукта данного бренда, например, их готовность продолжать покупать продукцию при повышении цены на нее. К косвенным методам относится измерения влияния бр</w:t>
      </w:r>
      <w:r>
        <w:t>енда на сознание потребителей, то есть такие показатели как отношение к бренду, оценка его важности, имидж бренда в глазах потребителей. Все эти данные можно получить с помощью различных опросов и экспериментов. Например, можно производить дегустацию опред</w:t>
      </w:r>
      <w:r>
        <w:t xml:space="preserve">еленных продуктов в торговых центрах, где потребители, не зная названия бренда, торговой марки, оценивают качество, вкус продукта.  </w:t>
      </w:r>
    </w:p>
    <w:p w:rsidR="002C0F56" w:rsidRDefault="00E67C6E">
      <w:pPr>
        <w:ind w:left="165" w:right="870"/>
      </w:pPr>
      <w:r>
        <w:t>Они делают вывод о том, что лучше выбрать, невзирая на популярность торговой марки. Далее можно объявить людям о результата</w:t>
      </w:r>
      <w:r>
        <w:t xml:space="preserve">х дегустации и узнать, последуют ли они принятому решению, купят ли продукт, несмотря на то, что он на самом деле не относится к их любимому бренду. Также можно отметить тот факт, что, если потребитель будет ассоциировать продукт с сильным брендом, то это </w:t>
      </w:r>
      <w:r>
        <w:t xml:space="preserve">может способствовать улучшению его потребительских оценок. Но данный показатель не может быть однозначным, ведь порой мы можем заметить, что качество продукции вовсе не зависит от популярности бренда. </w:t>
      </w:r>
    </w:p>
    <w:p w:rsidR="002C0F56" w:rsidRDefault="00E67C6E">
      <w:pPr>
        <w:spacing w:after="0"/>
        <w:ind w:left="165" w:right="867"/>
      </w:pPr>
      <w:r>
        <w:t xml:space="preserve"> Современные специалисты области бренд - капитала оцен</w:t>
      </w:r>
      <w:r>
        <w:t>ивают стоимость бренда как финансового, нематериального актива компании, который в современном мире является не менее важным, чем средства производства, ведь на сегодняшний день фактор позиционирования различных продуктов в сознании потребителей является т</w:t>
      </w:r>
      <w:r>
        <w:t xml:space="preserve">аким же актуальным, как и ценовая конкуренция. Необходимо отметить, что стоимость бренда компании может составить значительную часть ее рыночной стоимости. </w:t>
      </w:r>
    </w:p>
    <w:p w:rsidR="002C0F56" w:rsidRDefault="00E67C6E">
      <w:pPr>
        <w:ind w:left="165" w:right="302"/>
      </w:pPr>
      <w:r>
        <w:t xml:space="preserve"> Существует большое количество методов расчета капитала бренда, исходя из представления бренда в ка</w:t>
      </w:r>
      <w:r>
        <w:t xml:space="preserve">честве нематериального актива. </w:t>
      </w:r>
    </w:p>
    <w:p w:rsidR="002C0F56" w:rsidRDefault="00E67C6E">
      <w:pPr>
        <w:ind w:left="165" w:right="302"/>
      </w:pPr>
      <w:r>
        <w:rPr>
          <w:i/>
        </w:rPr>
        <w:t>Во-первых</w:t>
      </w:r>
      <w:r>
        <w:t xml:space="preserve">, расчет капитала бренда может производиться за счет учета затрат, которые могли бы быть при замене бренд. </w:t>
      </w:r>
    </w:p>
    <w:p w:rsidR="002C0F56" w:rsidRDefault="00E67C6E">
      <w:pPr>
        <w:ind w:left="165" w:right="302"/>
      </w:pPr>
      <w:r>
        <w:rPr>
          <w:i/>
        </w:rPr>
        <w:lastRenderedPageBreak/>
        <w:t>Во-вторых</w:t>
      </w:r>
      <w:r>
        <w:t>, расчет может осуществляться путем фиксации изменений бренда в результате принятия иных маркетинг</w:t>
      </w:r>
      <w:r>
        <w:t xml:space="preserve">овых решений. </w:t>
      </w:r>
    </w:p>
    <w:p w:rsidR="002C0F56" w:rsidRDefault="00E67C6E">
      <w:pPr>
        <w:ind w:left="165" w:right="874"/>
      </w:pPr>
      <w:r>
        <w:rPr>
          <w:i/>
        </w:rPr>
        <w:t>В-третьих</w:t>
      </w:r>
      <w:r>
        <w:t xml:space="preserve">,  расчет может создаваться с помощью деления всей прибыли предприятия на то, что было получено благодаря выгодам использования бренда, и на то, что получено благодаря иным бизнес-стратегиям. </w:t>
      </w:r>
    </w:p>
    <w:p w:rsidR="002C0F56" w:rsidRDefault="00E67C6E">
      <w:pPr>
        <w:ind w:left="165" w:right="869"/>
      </w:pPr>
      <w:r>
        <w:t xml:space="preserve"> Таким образом, общей чертой различных </w:t>
      </w:r>
      <w:r>
        <w:t>подходов к пониманию капитала бренда и его измерения является понимание того, что в современном мире все бизнес-процессы и стратегии развития строятся вокруг построения сильного бренда. Он способен создавать дополнительные выгоды для обоих субъектов рынка.</w:t>
      </w:r>
      <w:r>
        <w:t xml:space="preserve"> Потребитель всегда знает, что ему нужно, какими качествами наделен необходимый товар, какой продукции он доверяет. Это во многом облегчает процесс поиска информации и принятия решений  о покупке.   </w:t>
      </w:r>
    </w:p>
    <w:p w:rsidR="002C0F56" w:rsidRDefault="00E67C6E">
      <w:pPr>
        <w:spacing w:after="10"/>
        <w:ind w:left="165" w:right="871"/>
      </w:pPr>
      <w:r>
        <w:t xml:space="preserve"> Для производителя  бренд является нематериальным активо</w:t>
      </w:r>
      <w:r>
        <w:t xml:space="preserve">м компании, а также конкурентным преимуществом, наделяющим товар добавленной стоимостью, гарантирующим долгосрочный успех на рынке.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24"/>
        </w:numPr>
        <w:ind w:right="302"/>
      </w:pPr>
      <w:r>
        <w:t xml:space="preserve">Аакер Д. Создание сильных брендов. М., 2003.  </w:t>
      </w:r>
    </w:p>
    <w:p w:rsidR="002C0F56" w:rsidRDefault="00E67C6E">
      <w:pPr>
        <w:numPr>
          <w:ilvl w:val="0"/>
          <w:numId w:val="24"/>
        </w:numPr>
        <w:ind w:right="302"/>
      </w:pPr>
      <w:r>
        <w:t>Келлер, К. Л. Стратегический бренд-</w:t>
      </w:r>
      <w:r>
        <w:t xml:space="preserve">менеджмент: создание, оценка и управление марочным капиталом / К. Л. Келлер. - Вильямс, 2007  </w:t>
      </w:r>
    </w:p>
    <w:p w:rsidR="002C0F56" w:rsidRDefault="00E67C6E">
      <w:pPr>
        <w:numPr>
          <w:ilvl w:val="0"/>
          <w:numId w:val="24"/>
        </w:numPr>
        <w:ind w:right="302"/>
      </w:pPr>
      <w:r>
        <w:t xml:space="preserve">Фелдвик П. Капитал бренда: Действительно ли мы нуждаемся в нем? // Роль рекламы в создании сильных брендов / под ред. Дж. Джоунcа. М., 2005.  </w:t>
      </w:r>
    </w:p>
    <w:p w:rsidR="002C0F56" w:rsidRDefault="00E67C6E">
      <w:pPr>
        <w:numPr>
          <w:ilvl w:val="0"/>
          <w:numId w:val="24"/>
        </w:numPr>
        <w:spacing w:after="12"/>
        <w:ind w:right="302"/>
      </w:pPr>
      <w:r>
        <w:t xml:space="preserve">Brand </w:t>
      </w:r>
      <w:r>
        <w:tab/>
        <w:t xml:space="preserve">finance </w:t>
      </w:r>
      <w:r>
        <w:tab/>
        <w:t>[Э</w:t>
      </w:r>
      <w:r>
        <w:t xml:space="preserve">лектронный </w:t>
      </w:r>
      <w:r>
        <w:tab/>
        <w:t xml:space="preserve">ресурс] </w:t>
      </w:r>
      <w:r>
        <w:tab/>
        <w:t xml:space="preserve">Режим </w:t>
      </w:r>
      <w:r>
        <w:tab/>
        <w:t xml:space="preserve">доступа </w:t>
      </w:r>
    </w:p>
    <w:p w:rsidR="002C0F56" w:rsidRDefault="00E67C6E">
      <w:pPr>
        <w:spacing w:after="12"/>
        <w:ind w:left="165" w:right="302" w:firstLine="0"/>
      </w:pPr>
      <w:r>
        <w:t xml:space="preserve">http://brandfinance.com/  </w:t>
      </w:r>
    </w:p>
    <w:p w:rsidR="002C0F56" w:rsidRDefault="00E67C6E">
      <w:pPr>
        <w:spacing w:after="27" w:line="259" w:lineRule="auto"/>
        <w:ind w:left="180" w:firstLine="0"/>
        <w:jc w:val="left"/>
      </w:pPr>
      <w:r>
        <w:t xml:space="preserve"> </w:t>
      </w:r>
    </w:p>
    <w:p w:rsidR="002C0F56" w:rsidRDefault="00E67C6E">
      <w:pPr>
        <w:pStyle w:val="1"/>
        <w:spacing w:after="11"/>
        <w:ind w:left="3805" w:right="862"/>
        <w:jc w:val="right"/>
      </w:pPr>
      <w:r>
        <w:t xml:space="preserve">Блажко О. </w:t>
      </w:r>
      <w:r>
        <w:rPr>
          <w:b w:val="0"/>
        </w:rPr>
        <w:t xml:space="preserve">Научный руководитель: Ващенко Л.А., к.э.н., доц. </w:t>
      </w:r>
    </w:p>
    <w:p w:rsidR="002C0F56" w:rsidRDefault="00E67C6E">
      <w:pPr>
        <w:spacing w:after="0" w:line="267" w:lineRule="auto"/>
        <w:ind w:left="905" w:right="860" w:hanging="10"/>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 xml:space="preserve">Михаила Туган-Барановского </w:t>
      </w:r>
    </w:p>
    <w:p w:rsidR="002C0F56" w:rsidRDefault="00E67C6E">
      <w:pPr>
        <w:spacing w:after="30" w:line="259" w:lineRule="auto"/>
        <w:ind w:left="744" w:firstLine="0"/>
        <w:jc w:val="left"/>
      </w:pPr>
      <w:r>
        <w:t xml:space="preserve"> </w:t>
      </w:r>
    </w:p>
    <w:p w:rsidR="002C0F56" w:rsidRDefault="00E67C6E">
      <w:pPr>
        <w:pStyle w:val="1"/>
        <w:ind w:left="700" w:right="1380"/>
      </w:pPr>
      <w:r>
        <w:t xml:space="preserve">«ТЕНЕВАЯ ЭКОНОМИКА»: ПОНЯТИЕ И МЕТОДЫ </w:t>
      </w:r>
      <w:r>
        <w:t xml:space="preserve">ОЦЕНКИ  </w:t>
      </w:r>
    </w:p>
    <w:p w:rsidR="002C0F56" w:rsidRDefault="00E67C6E">
      <w:pPr>
        <w:spacing w:after="0" w:line="259" w:lineRule="auto"/>
        <w:ind w:left="744" w:firstLine="0"/>
        <w:jc w:val="left"/>
      </w:pPr>
      <w:r>
        <w:rPr>
          <w:b/>
        </w:rPr>
        <w:t xml:space="preserve"> </w:t>
      </w:r>
    </w:p>
    <w:p w:rsidR="002C0F56" w:rsidRDefault="00E67C6E">
      <w:pPr>
        <w:ind w:left="165" w:right="872"/>
      </w:pPr>
      <w:r>
        <w:t xml:space="preserve">В современных условиях становления государственности Донецкой Народной Республики  с целью построения эффективной системы национальной экономики особо актуально исследовать одну их глобальных проблем всех стран – </w:t>
      </w:r>
      <w:r>
        <w:t xml:space="preserve">теневую экономику, которая негативно влияет  на развитие любого государства и его финансово-экономическое состояние. </w:t>
      </w:r>
    </w:p>
    <w:p w:rsidR="002C0F56" w:rsidRDefault="00E67C6E">
      <w:pPr>
        <w:ind w:left="165" w:right="868"/>
      </w:pPr>
      <w:r>
        <w:lastRenderedPageBreak/>
        <w:t>Нестабильность экономико-политического состояния, военный конфликт, финансово-экономическая блокада создают предпосылки развития неформаль</w:t>
      </w:r>
      <w:r>
        <w:t xml:space="preserve">ной и теневой экономики, что обусловливает актуальность данной работы.  </w:t>
      </w:r>
    </w:p>
    <w:p w:rsidR="002C0F56" w:rsidRDefault="00E67C6E">
      <w:pPr>
        <w:ind w:left="165" w:right="872"/>
      </w:pPr>
      <w:r>
        <w:t>Теневая экономика или же неформальная, скрытая экономика стала объектом научного исследования в конце ХХ века. К данной теме проявляли интерес Ю.Г. Александров, А.Н. Анисимов, Ю.Э. Ап</w:t>
      </w:r>
      <w:r>
        <w:t xml:space="preserve">панова, Е.В. Воякина, Ю.П. Кулик, А.А. Сергеев, Н.Х. Сулейманова, Е.В. Перов, А.М. Яковлев и др.  </w:t>
      </w:r>
    </w:p>
    <w:p w:rsidR="002C0F56" w:rsidRDefault="00E67C6E">
      <w:pPr>
        <w:ind w:left="165" w:right="302"/>
      </w:pPr>
      <w:r>
        <w:t xml:space="preserve">Цель исследования – раскрыть сущность понятия «теневая экономика» и изучить предлагаемые методы ее оценки. </w:t>
      </w:r>
    </w:p>
    <w:p w:rsidR="002C0F56" w:rsidRDefault="00E67C6E">
      <w:pPr>
        <w:spacing w:after="2"/>
        <w:ind w:left="165" w:right="866"/>
      </w:pPr>
      <w:r>
        <w:t>Термин «теневая экономика» появился в начале 1970</w:t>
      </w:r>
      <w:r>
        <w:t>-х гг. для обозначения сокрытия доходов и антиобщественных способов их получения. В отечественной научной литературе использование термина связано с попыткой проанализировать всплеск «теневой» хозяйственной деятельности после введения УК СССР 1961 г. В анг</w:t>
      </w:r>
      <w:r>
        <w:t xml:space="preserve">лоязычных странах это явление называется неофициальная, подпольная, скрытая экономика, во французских изданиях – подземная, скрытая экономика, в Германии – теневая. </w:t>
      </w:r>
    </w:p>
    <w:p w:rsidR="002C0F56" w:rsidRDefault="00E67C6E">
      <w:pPr>
        <w:spacing w:after="2"/>
        <w:ind w:left="165" w:right="872"/>
      </w:pPr>
      <w:r>
        <w:t>На данный момент существует множество трактовок и дефиниций понятия «теневая экономика». Э</w:t>
      </w:r>
      <w:r>
        <w:t>волюцию подходов к определению исследовала Аппанова Ю.Э. и сделала заключение, что на современном этапе теневая экономика – это особая сфера действующей экономической системы, функционирующая вне правового поля, удовлетворяющая потребности и позволяющая по</w:t>
      </w:r>
      <w:r>
        <w:t xml:space="preserve">лучать незаконную прибыль, как в денежной, так и в натуральной формах [1]. </w:t>
      </w:r>
    </w:p>
    <w:p w:rsidR="002C0F56" w:rsidRDefault="00E67C6E">
      <w:pPr>
        <w:spacing w:after="2"/>
        <w:ind w:left="165" w:right="872"/>
      </w:pPr>
      <w:r>
        <w:t xml:space="preserve">Перов Е.В. отметил, что теневая экономика включает скрытое производство, скрытые доходы и скрытые от статистики расходы на конечное потребление и накопление. Производство является </w:t>
      </w:r>
      <w:r>
        <w:t xml:space="preserve">исходным в оценке параметров теневой экономики [2]. </w:t>
      </w:r>
    </w:p>
    <w:p w:rsidR="002C0F56" w:rsidRDefault="00E67C6E">
      <w:pPr>
        <w:spacing w:after="0"/>
        <w:ind w:left="165" w:right="865"/>
      </w:pPr>
      <w:r>
        <w:t>Кулик Ю.П. в своей статье определил, что теневая экономика обусловлена такими факторами, как уход от налогов, бегство капитала за рубеж, двойная бухгалтерия, челночная торговля, скрытая безработица, корр</w:t>
      </w:r>
      <w:r>
        <w:t xml:space="preserve">упция, производство и торговля наркотическими и прочими нелегальными средствами, оружием и людьми [3]. </w:t>
      </w:r>
    </w:p>
    <w:p w:rsidR="002C0F56" w:rsidRDefault="00E67C6E">
      <w:pPr>
        <w:ind w:left="165" w:right="869"/>
      </w:pPr>
      <w:r>
        <w:t>С учетом мнения авторов вышеизложенных дефиниций рекомендуем следующее: теневая экономика – это составляющая часть действующей экономической системы, пр</w:t>
      </w:r>
      <w:r>
        <w:t xml:space="preserve">едставляющая собой экономические взаимоотношения субъектов хозяйствования, осуществляющих нелегальную хозяйственную деятельность с целью удовлетворения своих потребностей и получения незаконного дохода (в денежной и натуральной формах) и/или  дохода </w:t>
      </w:r>
      <w:r>
        <w:lastRenderedPageBreak/>
        <w:t>от про</w:t>
      </w:r>
      <w:r>
        <w:t xml:space="preserve">изводства, распределения, обмена и потребления законных товаров и услуг, или от денежно-кредитных операций, или сделок бартера, а также расходов, которые скрываются от государственного налогообложения. </w:t>
      </w:r>
    </w:p>
    <w:p w:rsidR="002C0F56" w:rsidRDefault="00E67C6E">
      <w:pPr>
        <w:spacing w:after="2"/>
        <w:ind w:left="165" w:right="868"/>
      </w:pPr>
      <w:r>
        <w:t>К сожалению, на данный момент не существует унифициро</w:t>
      </w:r>
      <w:r>
        <w:t>ванной методологической базы оценки теневой экономики, так как она выполняется различными методами в зависимости от решаемых задач в процессе исследования данного явления (фундаментальный теоретический анализ, статистическая оценка, оптимизация социально-э</w:t>
      </w:r>
      <w:r>
        <w:t xml:space="preserve">кономической политики, совершенствование правоохранительной деятельности, обеспечение экономической безопасности).  </w:t>
      </w:r>
    </w:p>
    <w:p w:rsidR="002C0F56" w:rsidRDefault="00E67C6E">
      <w:pPr>
        <w:ind w:left="165" w:right="302"/>
      </w:pPr>
      <w:r>
        <w:t xml:space="preserve">Перова Е.В. привел наиболее полную и точную классификацию методов выявления и оценки параметров теневой экономики (рис. 1).  </w:t>
      </w:r>
    </w:p>
    <w:p w:rsidR="002C0F56" w:rsidRDefault="00E67C6E">
      <w:pPr>
        <w:spacing w:after="62" w:line="259" w:lineRule="auto"/>
        <w:ind w:left="744" w:firstLine="0"/>
        <w:jc w:val="left"/>
      </w:pPr>
      <w:r>
        <w:rPr>
          <w:rFonts w:ascii="Calibri" w:eastAsia="Calibri" w:hAnsi="Calibri" w:cs="Calibri"/>
          <w:noProof/>
          <w:sz w:val="22"/>
        </w:rPr>
        <mc:AlternateContent>
          <mc:Choice Requires="wpg">
            <w:drawing>
              <wp:inline distT="0" distB="0" distL="0" distR="0">
                <wp:extent cx="5729427" cy="4899562"/>
                <wp:effectExtent l="0" t="0" r="0" b="0"/>
                <wp:docPr id="554043" name="Group 554043"/>
                <wp:cNvGraphicFramePr/>
                <a:graphic xmlns:a="http://schemas.openxmlformats.org/drawingml/2006/main">
                  <a:graphicData uri="http://schemas.microsoft.com/office/word/2010/wordprocessingGroup">
                    <wpg:wgp>
                      <wpg:cNvGrpSpPr/>
                      <wpg:grpSpPr>
                        <a:xfrm>
                          <a:off x="0" y="0"/>
                          <a:ext cx="5729427" cy="4899562"/>
                          <a:chOff x="0" y="0"/>
                          <a:chExt cx="5729427" cy="4899562"/>
                        </a:xfrm>
                      </wpg:grpSpPr>
                      <wps:wsp>
                        <wps:cNvPr id="9593" name="Rectangle 9593"/>
                        <wps:cNvSpPr/>
                        <wps:spPr>
                          <a:xfrm>
                            <a:off x="0" y="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594" name="Rectangle 9594"/>
                        <wps:cNvSpPr/>
                        <wps:spPr>
                          <a:xfrm>
                            <a:off x="0" y="20421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595" name="Rectangle 9595"/>
                        <wps:cNvSpPr/>
                        <wps:spPr>
                          <a:xfrm>
                            <a:off x="0" y="408432"/>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596" name="Rectangle 9596"/>
                        <wps:cNvSpPr/>
                        <wps:spPr>
                          <a:xfrm>
                            <a:off x="0" y="613029"/>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597" name="Rectangle 9597"/>
                        <wps:cNvSpPr/>
                        <wps:spPr>
                          <a:xfrm>
                            <a:off x="0" y="81724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598" name="Rectangle 9598"/>
                        <wps:cNvSpPr/>
                        <wps:spPr>
                          <a:xfrm>
                            <a:off x="0" y="102298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599" name="Rectangle 9599"/>
                        <wps:cNvSpPr/>
                        <wps:spPr>
                          <a:xfrm>
                            <a:off x="0" y="1227201"/>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0" name="Rectangle 9600"/>
                        <wps:cNvSpPr/>
                        <wps:spPr>
                          <a:xfrm>
                            <a:off x="0" y="1431417"/>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1" name="Rectangle 9601"/>
                        <wps:cNvSpPr/>
                        <wps:spPr>
                          <a:xfrm>
                            <a:off x="0" y="1635633"/>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2" name="Rectangle 9602"/>
                        <wps:cNvSpPr/>
                        <wps:spPr>
                          <a:xfrm>
                            <a:off x="0" y="1839849"/>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3" name="Rectangle 9603"/>
                        <wps:cNvSpPr/>
                        <wps:spPr>
                          <a:xfrm>
                            <a:off x="0" y="204406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4" name="Rectangle 9604"/>
                        <wps:cNvSpPr/>
                        <wps:spPr>
                          <a:xfrm>
                            <a:off x="0" y="2248281"/>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5" name="Rectangle 9605"/>
                        <wps:cNvSpPr/>
                        <wps:spPr>
                          <a:xfrm>
                            <a:off x="0" y="2454021"/>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6" name="Rectangle 9606"/>
                        <wps:cNvSpPr/>
                        <wps:spPr>
                          <a:xfrm>
                            <a:off x="0" y="2658237"/>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7" name="Rectangle 9607"/>
                        <wps:cNvSpPr/>
                        <wps:spPr>
                          <a:xfrm>
                            <a:off x="0" y="2862453"/>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8" name="Rectangle 9608"/>
                        <wps:cNvSpPr/>
                        <wps:spPr>
                          <a:xfrm>
                            <a:off x="0" y="3066923"/>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09" name="Rectangle 9609"/>
                        <wps:cNvSpPr/>
                        <wps:spPr>
                          <a:xfrm>
                            <a:off x="0" y="3271139"/>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0" name="Rectangle 9610"/>
                        <wps:cNvSpPr/>
                        <wps:spPr>
                          <a:xfrm>
                            <a:off x="0" y="347535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1" name="Rectangle 9611"/>
                        <wps:cNvSpPr/>
                        <wps:spPr>
                          <a:xfrm>
                            <a:off x="0" y="3681095"/>
                            <a:ext cx="59287" cy="262526"/>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2" name="Rectangle 9612"/>
                        <wps:cNvSpPr/>
                        <wps:spPr>
                          <a:xfrm>
                            <a:off x="0" y="3885311"/>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3" name="Rectangle 9613"/>
                        <wps:cNvSpPr/>
                        <wps:spPr>
                          <a:xfrm>
                            <a:off x="0" y="4089527"/>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4" name="Rectangle 9614"/>
                        <wps:cNvSpPr/>
                        <wps:spPr>
                          <a:xfrm>
                            <a:off x="0" y="4293743"/>
                            <a:ext cx="59287" cy="262526"/>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5" name="Rectangle 9615"/>
                        <wps:cNvSpPr/>
                        <wps:spPr>
                          <a:xfrm>
                            <a:off x="0" y="4497960"/>
                            <a:ext cx="59287" cy="262524"/>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16" name="Rectangle 9616"/>
                        <wps:cNvSpPr/>
                        <wps:spPr>
                          <a:xfrm>
                            <a:off x="0" y="470217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632" name="Shape 9632"/>
                        <wps:cNvSpPr/>
                        <wps:spPr>
                          <a:xfrm>
                            <a:off x="312877" y="137156"/>
                            <a:ext cx="2337435" cy="457835"/>
                          </a:xfrm>
                          <a:custGeom>
                            <a:avLst/>
                            <a:gdLst/>
                            <a:ahLst/>
                            <a:cxnLst/>
                            <a:rect l="0" t="0" r="0" b="0"/>
                            <a:pathLst>
                              <a:path w="2337435" h="457835">
                                <a:moveTo>
                                  <a:pt x="0" y="457835"/>
                                </a:moveTo>
                                <a:lnTo>
                                  <a:pt x="2337435" y="457835"/>
                                </a:lnTo>
                                <a:lnTo>
                                  <a:pt x="233743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9633" name="Rectangle 9633"/>
                        <wps:cNvSpPr/>
                        <wps:spPr>
                          <a:xfrm>
                            <a:off x="540969" y="223893"/>
                            <a:ext cx="2550271" cy="184382"/>
                          </a:xfrm>
                          <a:prstGeom prst="rect">
                            <a:avLst/>
                          </a:prstGeom>
                          <a:ln>
                            <a:noFill/>
                          </a:ln>
                        </wps:spPr>
                        <wps:txbx>
                          <w:txbxContent>
                            <w:p w:rsidR="002C0F56" w:rsidRDefault="00E67C6E">
                              <w:pPr>
                                <w:spacing w:after="160" w:line="259" w:lineRule="auto"/>
                                <w:ind w:left="0" w:firstLine="0"/>
                                <w:jc w:val="left"/>
                              </w:pPr>
                              <w:r>
                                <w:rPr>
                                  <w:sz w:val="24"/>
                                </w:rPr>
                                <w:t xml:space="preserve">Методы выявления и оценки </w:t>
                              </w:r>
                            </w:p>
                          </w:txbxContent>
                        </wps:txbx>
                        <wps:bodyPr horzOverflow="overflow" vert="horz" lIns="0" tIns="0" rIns="0" bIns="0" rtlCol="0">
                          <a:noAutofit/>
                        </wps:bodyPr>
                      </wps:wsp>
                      <wps:wsp>
                        <wps:cNvPr id="9634" name="Rectangle 9634"/>
                        <wps:cNvSpPr/>
                        <wps:spPr>
                          <a:xfrm>
                            <a:off x="460197" y="399152"/>
                            <a:ext cx="897115" cy="184382"/>
                          </a:xfrm>
                          <a:prstGeom prst="rect">
                            <a:avLst/>
                          </a:prstGeom>
                          <a:ln>
                            <a:noFill/>
                          </a:ln>
                        </wps:spPr>
                        <wps:txbx>
                          <w:txbxContent>
                            <w:p w:rsidR="002C0F56" w:rsidRDefault="00E67C6E">
                              <w:pPr>
                                <w:spacing w:after="160" w:line="259" w:lineRule="auto"/>
                                <w:ind w:left="0" w:firstLine="0"/>
                                <w:jc w:val="left"/>
                              </w:pPr>
                              <w:r>
                                <w:rPr>
                                  <w:sz w:val="24"/>
                                </w:rPr>
                                <w:t>параметро</w:t>
                              </w:r>
                            </w:p>
                          </w:txbxContent>
                        </wps:txbx>
                        <wps:bodyPr horzOverflow="overflow" vert="horz" lIns="0" tIns="0" rIns="0" bIns="0" rtlCol="0">
                          <a:noAutofit/>
                        </wps:bodyPr>
                      </wps:wsp>
                      <wps:wsp>
                        <wps:cNvPr id="9635" name="Rectangle 9635"/>
                        <wps:cNvSpPr/>
                        <wps:spPr>
                          <a:xfrm>
                            <a:off x="1135329" y="399152"/>
                            <a:ext cx="1820175" cy="184382"/>
                          </a:xfrm>
                          <a:prstGeom prst="rect">
                            <a:avLst/>
                          </a:prstGeom>
                          <a:ln>
                            <a:noFill/>
                          </a:ln>
                        </wps:spPr>
                        <wps:txbx>
                          <w:txbxContent>
                            <w:p w:rsidR="002C0F56" w:rsidRDefault="00E67C6E">
                              <w:pPr>
                                <w:spacing w:after="160" w:line="259" w:lineRule="auto"/>
                                <w:ind w:left="0" w:firstLine="0"/>
                                <w:jc w:val="left"/>
                              </w:pPr>
                              <w:r>
                                <w:rPr>
                                  <w:sz w:val="24"/>
                                </w:rPr>
                                <w:t>в теневой экономики</w:t>
                              </w:r>
                            </w:p>
                          </w:txbxContent>
                        </wps:txbx>
                        <wps:bodyPr horzOverflow="overflow" vert="horz" lIns="0" tIns="0" rIns="0" bIns="0" rtlCol="0">
                          <a:noAutofit/>
                        </wps:bodyPr>
                      </wps:wsp>
                      <wps:wsp>
                        <wps:cNvPr id="9636" name="Rectangle 9636"/>
                        <wps:cNvSpPr/>
                        <wps:spPr>
                          <a:xfrm>
                            <a:off x="2504262" y="369032"/>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38" name="Shape 9638"/>
                        <wps:cNvSpPr/>
                        <wps:spPr>
                          <a:xfrm>
                            <a:off x="2807157" y="948686"/>
                            <a:ext cx="1271270" cy="292100"/>
                          </a:xfrm>
                          <a:custGeom>
                            <a:avLst/>
                            <a:gdLst/>
                            <a:ahLst/>
                            <a:cxnLst/>
                            <a:rect l="0" t="0" r="0" b="0"/>
                            <a:pathLst>
                              <a:path w="1271270" h="292100">
                                <a:moveTo>
                                  <a:pt x="0" y="292100"/>
                                </a:moveTo>
                                <a:lnTo>
                                  <a:pt x="1271270" y="292100"/>
                                </a:lnTo>
                                <a:lnTo>
                                  <a:pt x="127127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9639" name="Rectangle 9639"/>
                        <wps:cNvSpPr/>
                        <wps:spPr>
                          <a:xfrm>
                            <a:off x="2969082" y="1036565"/>
                            <a:ext cx="1264596" cy="184382"/>
                          </a:xfrm>
                          <a:prstGeom prst="rect">
                            <a:avLst/>
                          </a:prstGeom>
                          <a:ln>
                            <a:noFill/>
                          </a:ln>
                        </wps:spPr>
                        <wps:txbx>
                          <w:txbxContent>
                            <w:p w:rsidR="002C0F56" w:rsidRDefault="00E67C6E">
                              <w:pPr>
                                <w:spacing w:after="160" w:line="259" w:lineRule="auto"/>
                                <w:ind w:left="0" w:firstLine="0"/>
                                <w:jc w:val="left"/>
                              </w:pPr>
                              <w:r>
                                <w:rPr>
                                  <w:sz w:val="24"/>
                                </w:rPr>
                                <w:t>бухгалтерский</w:t>
                              </w:r>
                            </w:p>
                          </w:txbxContent>
                        </wps:txbx>
                        <wps:bodyPr horzOverflow="overflow" vert="horz" lIns="0" tIns="0" rIns="0" bIns="0" rtlCol="0">
                          <a:noAutofit/>
                        </wps:bodyPr>
                      </wps:wsp>
                      <wps:wsp>
                        <wps:cNvPr id="9640" name="Rectangle 9640"/>
                        <wps:cNvSpPr/>
                        <wps:spPr>
                          <a:xfrm>
                            <a:off x="3920312" y="100644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42" name="Shape 9642"/>
                        <wps:cNvSpPr/>
                        <wps:spPr>
                          <a:xfrm>
                            <a:off x="2807157" y="1322700"/>
                            <a:ext cx="1271270" cy="292100"/>
                          </a:xfrm>
                          <a:custGeom>
                            <a:avLst/>
                            <a:gdLst/>
                            <a:ahLst/>
                            <a:cxnLst/>
                            <a:rect l="0" t="0" r="0" b="0"/>
                            <a:pathLst>
                              <a:path w="1271270" h="292100">
                                <a:moveTo>
                                  <a:pt x="0" y="292100"/>
                                </a:moveTo>
                                <a:lnTo>
                                  <a:pt x="1271270" y="292100"/>
                                </a:lnTo>
                                <a:lnTo>
                                  <a:pt x="127127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9643" name="Rectangle 9643"/>
                        <wps:cNvSpPr/>
                        <wps:spPr>
                          <a:xfrm>
                            <a:off x="2937078" y="1409945"/>
                            <a:ext cx="1347496" cy="184382"/>
                          </a:xfrm>
                          <a:prstGeom prst="rect">
                            <a:avLst/>
                          </a:prstGeom>
                          <a:ln>
                            <a:noFill/>
                          </a:ln>
                        </wps:spPr>
                        <wps:txbx>
                          <w:txbxContent>
                            <w:p w:rsidR="002C0F56" w:rsidRDefault="00E67C6E">
                              <w:pPr>
                                <w:spacing w:after="160" w:line="259" w:lineRule="auto"/>
                                <w:ind w:left="0" w:firstLine="0"/>
                                <w:jc w:val="left"/>
                              </w:pPr>
                              <w:r>
                                <w:rPr>
                                  <w:sz w:val="24"/>
                                </w:rPr>
                                <w:t>документальны</w:t>
                              </w:r>
                            </w:p>
                          </w:txbxContent>
                        </wps:txbx>
                        <wps:bodyPr horzOverflow="overflow" vert="horz" lIns="0" tIns="0" rIns="0" bIns="0" rtlCol="0">
                          <a:noAutofit/>
                        </wps:bodyPr>
                      </wps:wsp>
                      <wps:wsp>
                        <wps:cNvPr id="9644" name="Rectangle 9644"/>
                        <wps:cNvSpPr/>
                        <wps:spPr>
                          <a:xfrm>
                            <a:off x="3485973" y="155508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46" name="Shape 9646"/>
                        <wps:cNvSpPr/>
                        <wps:spPr>
                          <a:xfrm>
                            <a:off x="2807157" y="1697350"/>
                            <a:ext cx="1271270" cy="292100"/>
                          </a:xfrm>
                          <a:custGeom>
                            <a:avLst/>
                            <a:gdLst/>
                            <a:ahLst/>
                            <a:cxnLst/>
                            <a:rect l="0" t="0" r="0" b="0"/>
                            <a:pathLst>
                              <a:path w="1271270" h="292100">
                                <a:moveTo>
                                  <a:pt x="0" y="292100"/>
                                </a:moveTo>
                                <a:lnTo>
                                  <a:pt x="1271270" y="292100"/>
                                </a:lnTo>
                                <a:lnTo>
                                  <a:pt x="127127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9647" name="Rectangle 9647"/>
                        <wps:cNvSpPr/>
                        <wps:spPr>
                          <a:xfrm>
                            <a:off x="2943174" y="1784850"/>
                            <a:ext cx="1331687" cy="184382"/>
                          </a:xfrm>
                          <a:prstGeom prst="rect">
                            <a:avLst/>
                          </a:prstGeom>
                          <a:ln>
                            <a:noFill/>
                          </a:ln>
                        </wps:spPr>
                        <wps:txbx>
                          <w:txbxContent>
                            <w:p w:rsidR="002C0F56" w:rsidRDefault="00E67C6E">
                              <w:pPr>
                                <w:spacing w:after="160" w:line="259" w:lineRule="auto"/>
                                <w:ind w:left="0" w:firstLine="0"/>
                                <w:jc w:val="left"/>
                              </w:pPr>
                              <w:r>
                                <w:rPr>
                                  <w:sz w:val="24"/>
                                </w:rPr>
                                <w:t>экономический</w:t>
                              </w:r>
                            </w:p>
                          </w:txbxContent>
                        </wps:txbx>
                        <wps:bodyPr horzOverflow="overflow" vert="horz" lIns="0" tIns="0" rIns="0" bIns="0" rtlCol="0">
                          <a:noAutofit/>
                        </wps:bodyPr>
                      </wps:wsp>
                      <wps:wsp>
                        <wps:cNvPr id="9648" name="Rectangle 9648"/>
                        <wps:cNvSpPr/>
                        <wps:spPr>
                          <a:xfrm>
                            <a:off x="3944697" y="1754729"/>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49" name="Shape 9649"/>
                        <wps:cNvSpPr/>
                        <wps:spPr>
                          <a:xfrm>
                            <a:off x="2601418" y="1104895"/>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50" name="Shape 9650"/>
                        <wps:cNvSpPr/>
                        <wps:spPr>
                          <a:xfrm>
                            <a:off x="2601418" y="1847211"/>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51" name="Shape 9651"/>
                        <wps:cNvSpPr/>
                        <wps:spPr>
                          <a:xfrm>
                            <a:off x="2151837" y="1469386"/>
                            <a:ext cx="655320" cy="0"/>
                          </a:xfrm>
                          <a:custGeom>
                            <a:avLst/>
                            <a:gdLst/>
                            <a:ahLst/>
                            <a:cxnLst/>
                            <a:rect l="0" t="0" r="0" b="0"/>
                            <a:pathLst>
                              <a:path w="655320">
                                <a:moveTo>
                                  <a:pt x="0" y="0"/>
                                </a:moveTo>
                                <a:lnTo>
                                  <a:pt x="65532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52" name="Shape 9652"/>
                        <wps:cNvSpPr/>
                        <wps:spPr>
                          <a:xfrm>
                            <a:off x="2601418" y="1104895"/>
                            <a:ext cx="635" cy="742315"/>
                          </a:xfrm>
                          <a:custGeom>
                            <a:avLst/>
                            <a:gdLst/>
                            <a:ahLst/>
                            <a:cxnLst/>
                            <a:rect l="0" t="0" r="0" b="0"/>
                            <a:pathLst>
                              <a:path w="635" h="742315">
                                <a:moveTo>
                                  <a:pt x="0" y="0"/>
                                </a:moveTo>
                                <a:lnTo>
                                  <a:pt x="635" y="742315"/>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54" name="Shape 9654"/>
                        <wps:cNvSpPr/>
                        <wps:spPr>
                          <a:xfrm>
                            <a:off x="645617" y="813430"/>
                            <a:ext cx="1506220" cy="354330"/>
                          </a:xfrm>
                          <a:custGeom>
                            <a:avLst/>
                            <a:gdLst/>
                            <a:ahLst/>
                            <a:cxnLst/>
                            <a:rect l="0" t="0" r="0" b="0"/>
                            <a:pathLst>
                              <a:path w="1506220" h="354330">
                                <a:moveTo>
                                  <a:pt x="0" y="354330"/>
                                </a:moveTo>
                                <a:lnTo>
                                  <a:pt x="1506220" y="354330"/>
                                </a:lnTo>
                                <a:lnTo>
                                  <a:pt x="150622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55" name="Rectangle 9655"/>
                        <wps:cNvSpPr/>
                        <wps:spPr>
                          <a:xfrm>
                            <a:off x="760425" y="900930"/>
                            <a:ext cx="1696938" cy="184382"/>
                          </a:xfrm>
                          <a:prstGeom prst="rect">
                            <a:avLst/>
                          </a:prstGeom>
                          <a:ln>
                            <a:noFill/>
                          </a:ln>
                        </wps:spPr>
                        <wps:txbx>
                          <w:txbxContent>
                            <w:p w:rsidR="002C0F56" w:rsidRDefault="00E67C6E">
                              <w:pPr>
                                <w:spacing w:after="160" w:line="259" w:lineRule="auto"/>
                                <w:ind w:left="0" w:firstLine="0"/>
                                <w:jc w:val="left"/>
                              </w:pPr>
                              <w:r>
                                <w:rPr>
                                  <w:sz w:val="24"/>
                                </w:rPr>
                                <w:t>открытые проверки</w:t>
                              </w:r>
                            </w:p>
                          </w:txbxContent>
                        </wps:txbx>
                        <wps:bodyPr horzOverflow="overflow" vert="horz" lIns="0" tIns="0" rIns="0" bIns="0" rtlCol="0">
                          <a:noAutofit/>
                        </wps:bodyPr>
                      </wps:wsp>
                      <wps:wsp>
                        <wps:cNvPr id="9656" name="Rectangle 9656"/>
                        <wps:cNvSpPr/>
                        <wps:spPr>
                          <a:xfrm>
                            <a:off x="2036394" y="870809"/>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58" name="Shape 9658"/>
                        <wps:cNvSpPr/>
                        <wps:spPr>
                          <a:xfrm>
                            <a:off x="645617" y="1240150"/>
                            <a:ext cx="1506220" cy="447675"/>
                          </a:xfrm>
                          <a:custGeom>
                            <a:avLst/>
                            <a:gdLst/>
                            <a:ahLst/>
                            <a:cxnLst/>
                            <a:rect l="0" t="0" r="0" b="0"/>
                            <a:pathLst>
                              <a:path w="1506220" h="447675">
                                <a:moveTo>
                                  <a:pt x="0" y="447675"/>
                                </a:moveTo>
                                <a:lnTo>
                                  <a:pt x="1506220" y="447675"/>
                                </a:lnTo>
                                <a:lnTo>
                                  <a:pt x="150622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59" name="Rectangle 9659"/>
                        <wps:cNvSpPr/>
                        <wps:spPr>
                          <a:xfrm>
                            <a:off x="1022553" y="1327650"/>
                            <a:ext cx="1050958" cy="184382"/>
                          </a:xfrm>
                          <a:prstGeom prst="rect">
                            <a:avLst/>
                          </a:prstGeom>
                          <a:ln>
                            <a:noFill/>
                          </a:ln>
                        </wps:spPr>
                        <wps:txbx>
                          <w:txbxContent>
                            <w:p w:rsidR="002C0F56" w:rsidRDefault="00E67C6E">
                              <w:pPr>
                                <w:spacing w:after="160" w:line="259" w:lineRule="auto"/>
                                <w:ind w:left="0" w:firstLine="0"/>
                                <w:jc w:val="left"/>
                              </w:pPr>
                              <w:r>
                                <w:rPr>
                                  <w:sz w:val="24"/>
                                </w:rPr>
                                <w:t xml:space="preserve">специально </w:t>
                              </w:r>
                            </w:p>
                          </w:txbxContent>
                        </wps:txbx>
                        <wps:bodyPr horzOverflow="overflow" vert="horz" lIns="0" tIns="0" rIns="0" bIns="0" rtlCol="0">
                          <a:noAutofit/>
                        </wps:bodyPr>
                      </wps:wsp>
                      <wps:wsp>
                        <wps:cNvPr id="9660" name="Rectangle 9660"/>
                        <wps:cNvSpPr/>
                        <wps:spPr>
                          <a:xfrm>
                            <a:off x="1022553" y="1502909"/>
                            <a:ext cx="933802" cy="184382"/>
                          </a:xfrm>
                          <a:prstGeom prst="rect">
                            <a:avLst/>
                          </a:prstGeom>
                          <a:ln>
                            <a:noFill/>
                          </a:ln>
                        </wps:spPr>
                        <wps:txbx>
                          <w:txbxContent>
                            <w:p w:rsidR="002C0F56" w:rsidRDefault="00E67C6E">
                              <w:pPr>
                                <w:spacing w:after="160" w:line="259" w:lineRule="auto"/>
                                <w:ind w:left="0" w:firstLine="0"/>
                                <w:jc w:val="left"/>
                              </w:pPr>
                              <w:r>
                                <w:rPr>
                                  <w:sz w:val="24"/>
                                </w:rPr>
                                <w:t>экономико</w:t>
                              </w:r>
                            </w:p>
                          </w:txbxContent>
                        </wps:txbx>
                        <wps:bodyPr horzOverflow="overflow" vert="horz" lIns="0" tIns="0" rIns="0" bIns="0" rtlCol="0">
                          <a:noAutofit/>
                        </wps:bodyPr>
                      </wps:wsp>
                      <wps:wsp>
                        <wps:cNvPr id="9661" name="Rectangle 9661"/>
                        <wps:cNvSpPr/>
                        <wps:spPr>
                          <a:xfrm>
                            <a:off x="1725498" y="1472789"/>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9663" name="Shape 9663"/>
                        <wps:cNvSpPr/>
                        <wps:spPr>
                          <a:xfrm>
                            <a:off x="645617" y="1761486"/>
                            <a:ext cx="1506220" cy="353695"/>
                          </a:xfrm>
                          <a:custGeom>
                            <a:avLst/>
                            <a:gdLst/>
                            <a:ahLst/>
                            <a:cxnLst/>
                            <a:rect l="0" t="0" r="0" b="0"/>
                            <a:pathLst>
                              <a:path w="1506220" h="353695">
                                <a:moveTo>
                                  <a:pt x="0" y="353695"/>
                                </a:moveTo>
                                <a:lnTo>
                                  <a:pt x="1506220" y="353695"/>
                                </a:lnTo>
                                <a:lnTo>
                                  <a:pt x="150622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64" name="Rectangle 9664"/>
                        <wps:cNvSpPr/>
                        <wps:spPr>
                          <a:xfrm>
                            <a:off x="856437" y="1852596"/>
                            <a:ext cx="1439973" cy="199133"/>
                          </a:xfrm>
                          <a:prstGeom prst="rect">
                            <a:avLst/>
                          </a:prstGeom>
                          <a:ln>
                            <a:noFill/>
                          </a:ln>
                        </wps:spPr>
                        <wps:txbx>
                          <w:txbxContent>
                            <w:p w:rsidR="002C0F56" w:rsidRDefault="00E67C6E">
                              <w:pPr>
                                <w:spacing w:after="160" w:line="259" w:lineRule="auto"/>
                                <w:ind w:left="0" w:firstLine="0"/>
                                <w:jc w:val="left"/>
                              </w:pPr>
                              <w:r>
                                <w:rPr>
                                  <w:sz w:val="26"/>
                                </w:rPr>
                                <w:t>статистические</w:t>
                              </w:r>
                            </w:p>
                          </w:txbxContent>
                        </wps:txbx>
                        <wps:bodyPr horzOverflow="overflow" vert="horz" lIns="0" tIns="0" rIns="0" bIns="0" rtlCol="0">
                          <a:noAutofit/>
                        </wps:bodyPr>
                      </wps:wsp>
                      <wps:wsp>
                        <wps:cNvPr id="9665" name="Rectangle 9665"/>
                        <wps:cNvSpPr/>
                        <wps:spPr>
                          <a:xfrm>
                            <a:off x="1941906" y="1820066"/>
                            <a:ext cx="54727" cy="242330"/>
                          </a:xfrm>
                          <a:prstGeom prst="rect">
                            <a:avLst/>
                          </a:prstGeom>
                          <a:ln>
                            <a:noFill/>
                          </a:ln>
                        </wps:spPr>
                        <wps:txbx>
                          <w:txbxContent>
                            <w:p w:rsidR="002C0F56" w:rsidRDefault="00E67C6E">
                              <w:pPr>
                                <w:spacing w:after="160" w:line="259" w:lineRule="auto"/>
                                <w:ind w:left="0" w:firstLine="0"/>
                                <w:jc w:val="left"/>
                              </w:pPr>
                              <w:r>
                                <w:rPr>
                                  <w:sz w:val="26"/>
                                </w:rPr>
                                <w:t xml:space="preserve"> </w:t>
                              </w:r>
                            </w:p>
                          </w:txbxContent>
                        </wps:txbx>
                        <wps:bodyPr horzOverflow="overflow" vert="horz" lIns="0" tIns="0" rIns="0" bIns="0" rtlCol="0">
                          <a:noAutofit/>
                        </wps:bodyPr>
                      </wps:wsp>
                      <wps:wsp>
                        <wps:cNvPr id="9666" name="Shape 9666"/>
                        <wps:cNvSpPr/>
                        <wps:spPr>
                          <a:xfrm>
                            <a:off x="439877" y="594991"/>
                            <a:ext cx="0" cy="1322070"/>
                          </a:xfrm>
                          <a:custGeom>
                            <a:avLst/>
                            <a:gdLst/>
                            <a:ahLst/>
                            <a:cxnLst/>
                            <a:rect l="0" t="0" r="0" b="0"/>
                            <a:pathLst>
                              <a:path h="1322070">
                                <a:moveTo>
                                  <a:pt x="0" y="0"/>
                                </a:moveTo>
                                <a:lnTo>
                                  <a:pt x="0" y="132207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67" name="Shape 9667"/>
                        <wps:cNvSpPr/>
                        <wps:spPr>
                          <a:xfrm>
                            <a:off x="439877" y="1917061"/>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68" name="Shape 9668"/>
                        <wps:cNvSpPr/>
                        <wps:spPr>
                          <a:xfrm>
                            <a:off x="439877" y="1469386"/>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69" name="Shape 9669"/>
                        <wps:cNvSpPr/>
                        <wps:spPr>
                          <a:xfrm>
                            <a:off x="439877" y="948051"/>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71" name="Shape 9671"/>
                        <wps:cNvSpPr/>
                        <wps:spPr>
                          <a:xfrm>
                            <a:off x="1036777" y="2333620"/>
                            <a:ext cx="1770380" cy="467995"/>
                          </a:xfrm>
                          <a:custGeom>
                            <a:avLst/>
                            <a:gdLst/>
                            <a:ahLst/>
                            <a:cxnLst/>
                            <a:rect l="0" t="0" r="0" b="0"/>
                            <a:pathLst>
                              <a:path w="1770380" h="467995">
                                <a:moveTo>
                                  <a:pt x="0" y="467995"/>
                                </a:moveTo>
                                <a:lnTo>
                                  <a:pt x="1770380" y="467995"/>
                                </a:lnTo>
                                <a:lnTo>
                                  <a:pt x="177038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72" name="Rectangle 9672"/>
                        <wps:cNvSpPr/>
                        <wps:spPr>
                          <a:xfrm>
                            <a:off x="1158189" y="2420357"/>
                            <a:ext cx="1546135" cy="184382"/>
                          </a:xfrm>
                          <a:prstGeom prst="rect">
                            <a:avLst/>
                          </a:prstGeom>
                          <a:ln>
                            <a:noFill/>
                          </a:ln>
                        </wps:spPr>
                        <wps:txbx>
                          <w:txbxContent>
                            <w:p w:rsidR="002C0F56" w:rsidRDefault="00E67C6E">
                              <w:pPr>
                                <w:spacing w:after="160" w:line="259" w:lineRule="auto"/>
                                <w:ind w:left="0" w:firstLine="0"/>
                                <w:jc w:val="left"/>
                              </w:pPr>
                              <w:r>
                                <w:rPr>
                                  <w:sz w:val="24"/>
                                </w:rPr>
                                <w:t>методы специфич</w:t>
                              </w:r>
                            </w:p>
                          </w:txbxContent>
                        </wps:txbx>
                        <wps:bodyPr horzOverflow="overflow" vert="horz" lIns="0" tIns="0" rIns="0" bIns="0" rtlCol="0">
                          <a:noAutofit/>
                        </wps:bodyPr>
                      </wps:wsp>
                      <wps:wsp>
                        <wps:cNvPr id="552585" name="Rectangle 552585"/>
                        <wps:cNvSpPr/>
                        <wps:spPr>
                          <a:xfrm>
                            <a:off x="2321382" y="2420357"/>
                            <a:ext cx="276877" cy="184382"/>
                          </a:xfrm>
                          <a:prstGeom prst="rect">
                            <a:avLst/>
                          </a:prstGeom>
                          <a:ln>
                            <a:noFill/>
                          </a:ln>
                        </wps:spPr>
                        <wps:txbx>
                          <w:txbxContent>
                            <w:p w:rsidR="002C0F56" w:rsidRDefault="00E67C6E">
                              <w:pPr>
                                <w:spacing w:after="160" w:line="259" w:lineRule="auto"/>
                                <w:ind w:left="0" w:firstLine="0"/>
                                <w:jc w:val="left"/>
                              </w:pPr>
                              <w:r>
                                <w:rPr>
                                  <w:sz w:val="24"/>
                                </w:rPr>
                                <w:t>еск</w:t>
                              </w:r>
                            </w:p>
                          </w:txbxContent>
                        </wps:txbx>
                        <wps:bodyPr horzOverflow="overflow" vert="horz" lIns="0" tIns="0" rIns="0" bIns="0" rtlCol="0">
                          <a:noAutofit/>
                        </wps:bodyPr>
                      </wps:wsp>
                      <wps:wsp>
                        <wps:cNvPr id="552586" name="Rectangle 552586"/>
                        <wps:cNvSpPr/>
                        <wps:spPr>
                          <a:xfrm>
                            <a:off x="2530018" y="2420357"/>
                            <a:ext cx="259446" cy="184382"/>
                          </a:xfrm>
                          <a:prstGeom prst="rect">
                            <a:avLst/>
                          </a:prstGeom>
                          <a:ln>
                            <a:noFill/>
                          </a:ln>
                        </wps:spPr>
                        <wps:txbx>
                          <w:txbxContent>
                            <w:p w:rsidR="002C0F56" w:rsidRDefault="00E67C6E">
                              <w:pPr>
                                <w:spacing w:after="160" w:line="259" w:lineRule="auto"/>
                                <w:ind w:left="0" w:firstLine="0"/>
                                <w:jc w:val="left"/>
                              </w:pPr>
                              <w:r>
                                <w:rPr>
                                  <w:sz w:val="24"/>
                                </w:rPr>
                                <w:t xml:space="preserve">их </w:t>
                              </w:r>
                            </w:p>
                          </w:txbxContent>
                        </wps:txbx>
                        <wps:bodyPr horzOverflow="overflow" vert="horz" lIns="0" tIns="0" rIns="0" bIns="0" rtlCol="0">
                          <a:noAutofit/>
                        </wps:bodyPr>
                      </wps:wsp>
                      <wps:wsp>
                        <wps:cNvPr id="9674" name="Rectangle 9674"/>
                        <wps:cNvSpPr/>
                        <wps:spPr>
                          <a:xfrm>
                            <a:off x="1507566" y="2595618"/>
                            <a:ext cx="1105685" cy="184382"/>
                          </a:xfrm>
                          <a:prstGeom prst="rect">
                            <a:avLst/>
                          </a:prstGeom>
                          <a:ln>
                            <a:noFill/>
                          </a:ln>
                        </wps:spPr>
                        <wps:txbx>
                          <w:txbxContent>
                            <w:p w:rsidR="002C0F56" w:rsidRDefault="00E67C6E">
                              <w:pPr>
                                <w:spacing w:after="160" w:line="259" w:lineRule="auto"/>
                                <w:ind w:left="0" w:firstLine="0"/>
                                <w:jc w:val="left"/>
                              </w:pPr>
                              <w:r>
                                <w:rPr>
                                  <w:sz w:val="24"/>
                                </w:rPr>
                                <w:t>индикаторов</w:t>
                              </w:r>
                            </w:p>
                          </w:txbxContent>
                        </wps:txbx>
                        <wps:bodyPr horzOverflow="overflow" vert="horz" lIns="0" tIns="0" rIns="0" bIns="0" rtlCol="0">
                          <a:noAutofit/>
                        </wps:bodyPr>
                      </wps:wsp>
                      <wps:wsp>
                        <wps:cNvPr id="9675" name="Rectangle 9675"/>
                        <wps:cNvSpPr/>
                        <wps:spPr>
                          <a:xfrm>
                            <a:off x="2338146" y="2565497"/>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77" name="Shape 9677"/>
                        <wps:cNvSpPr/>
                        <wps:spPr>
                          <a:xfrm>
                            <a:off x="1036777" y="2874006"/>
                            <a:ext cx="1770380" cy="447675"/>
                          </a:xfrm>
                          <a:custGeom>
                            <a:avLst/>
                            <a:gdLst/>
                            <a:ahLst/>
                            <a:cxnLst/>
                            <a:rect l="0" t="0" r="0" b="0"/>
                            <a:pathLst>
                              <a:path w="1770380" h="447675">
                                <a:moveTo>
                                  <a:pt x="0" y="447675"/>
                                </a:moveTo>
                                <a:lnTo>
                                  <a:pt x="1770380" y="447675"/>
                                </a:lnTo>
                                <a:lnTo>
                                  <a:pt x="177038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78" name="Rectangle 9678"/>
                        <wps:cNvSpPr/>
                        <wps:spPr>
                          <a:xfrm>
                            <a:off x="1400505" y="2961378"/>
                            <a:ext cx="1436681" cy="184382"/>
                          </a:xfrm>
                          <a:prstGeom prst="rect">
                            <a:avLst/>
                          </a:prstGeom>
                          <a:ln>
                            <a:noFill/>
                          </a:ln>
                        </wps:spPr>
                        <wps:txbx>
                          <w:txbxContent>
                            <w:p w:rsidR="002C0F56" w:rsidRDefault="00E67C6E">
                              <w:pPr>
                                <w:spacing w:after="160" w:line="259" w:lineRule="auto"/>
                                <w:ind w:left="0" w:firstLine="0"/>
                                <w:jc w:val="left"/>
                              </w:pPr>
                              <w:r>
                                <w:rPr>
                                  <w:sz w:val="24"/>
                                </w:rPr>
                                <w:t xml:space="preserve">методы мягкого </w:t>
                              </w:r>
                            </w:p>
                          </w:txbxContent>
                        </wps:txbx>
                        <wps:bodyPr horzOverflow="overflow" vert="horz" lIns="0" tIns="0" rIns="0" bIns="0" rtlCol="0">
                          <a:noAutofit/>
                        </wps:bodyPr>
                      </wps:wsp>
                      <wps:wsp>
                        <wps:cNvPr id="9679" name="Rectangle 9679"/>
                        <wps:cNvSpPr/>
                        <wps:spPr>
                          <a:xfrm>
                            <a:off x="1421841" y="3136892"/>
                            <a:ext cx="1331079" cy="184382"/>
                          </a:xfrm>
                          <a:prstGeom prst="rect">
                            <a:avLst/>
                          </a:prstGeom>
                          <a:ln>
                            <a:noFill/>
                          </a:ln>
                        </wps:spPr>
                        <wps:txbx>
                          <w:txbxContent>
                            <w:p w:rsidR="002C0F56" w:rsidRDefault="00E67C6E">
                              <w:pPr>
                                <w:spacing w:after="160" w:line="259" w:lineRule="auto"/>
                                <w:ind w:left="0" w:firstLine="0"/>
                                <w:jc w:val="left"/>
                              </w:pPr>
                              <w:r>
                                <w:rPr>
                                  <w:sz w:val="24"/>
                                </w:rPr>
                                <w:t>моделирования</w:t>
                              </w:r>
                            </w:p>
                          </w:txbxContent>
                        </wps:txbx>
                        <wps:bodyPr horzOverflow="overflow" vert="horz" lIns="0" tIns="0" rIns="0" bIns="0" rtlCol="0">
                          <a:noAutofit/>
                        </wps:bodyPr>
                      </wps:wsp>
                      <wps:wsp>
                        <wps:cNvPr id="9680" name="Rectangle 9680"/>
                        <wps:cNvSpPr/>
                        <wps:spPr>
                          <a:xfrm>
                            <a:off x="2423490" y="3106771"/>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82" name="Shape 9682"/>
                        <wps:cNvSpPr/>
                        <wps:spPr>
                          <a:xfrm>
                            <a:off x="1036777" y="3384545"/>
                            <a:ext cx="1770380" cy="353695"/>
                          </a:xfrm>
                          <a:custGeom>
                            <a:avLst/>
                            <a:gdLst/>
                            <a:ahLst/>
                            <a:cxnLst/>
                            <a:rect l="0" t="0" r="0" b="0"/>
                            <a:pathLst>
                              <a:path w="1770380" h="353695">
                                <a:moveTo>
                                  <a:pt x="0" y="353695"/>
                                </a:moveTo>
                                <a:lnTo>
                                  <a:pt x="1770380" y="353695"/>
                                </a:lnTo>
                                <a:lnTo>
                                  <a:pt x="177038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552584" name="Rectangle 552584"/>
                        <wps:cNvSpPr/>
                        <wps:spPr>
                          <a:xfrm>
                            <a:off x="2523023" y="3475910"/>
                            <a:ext cx="111424" cy="199133"/>
                          </a:xfrm>
                          <a:prstGeom prst="rect">
                            <a:avLst/>
                          </a:prstGeom>
                          <a:ln>
                            <a:noFill/>
                          </a:ln>
                        </wps:spPr>
                        <wps:txbx>
                          <w:txbxContent>
                            <w:p w:rsidR="002C0F56" w:rsidRDefault="00E67C6E">
                              <w:pPr>
                                <w:spacing w:after="160" w:line="259" w:lineRule="auto"/>
                                <w:ind w:left="0" w:firstLine="0"/>
                                <w:jc w:val="left"/>
                              </w:pPr>
                              <w:r>
                                <w:rPr>
                                  <w:sz w:val="26"/>
                                </w:rPr>
                                <w:t>д</w:t>
                              </w:r>
                            </w:p>
                          </w:txbxContent>
                        </wps:txbx>
                        <wps:bodyPr horzOverflow="overflow" vert="horz" lIns="0" tIns="0" rIns="0" bIns="0" rtlCol="0">
                          <a:noAutofit/>
                        </wps:bodyPr>
                      </wps:wsp>
                      <wps:wsp>
                        <wps:cNvPr id="552583" name="Rectangle 552583"/>
                        <wps:cNvSpPr/>
                        <wps:spPr>
                          <a:xfrm>
                            <a:off x="1235913" y="3475910"/>
                            <a:ext cx="1711856" cy="199133"/>
                          </a:xfrm>
                          <a:prstGeom prst="rect">
                            <a:avLst/>
                          </a:prstGeom>
                          <a:ln>
                            <a:noFill/>
                          </a:ln>
                        </wps:spPr>
                        <wps:txbx>
                          <w:txbxContent>
                            <w:p w:rsidR="002C0F56" w:rsidRDefault="00E67C6E">
                              <w:pPr>
                                <w:spacing w:after="160" w:line="259" w:lineRule="auto"/>
                                <w:ind w:left="0" w:firstLine="0"/>
                                <w:jc w:val="left"/>
                              </w:pPr>
                              <w:r>
                                <w:rPr>
                                  <w:sz w:val="26"/>
                                </w:rPr>
                                <w:t>структурный мето</w:t>
                              </w:r>
                            </w:p>
                          </w:txbxContent>
                        </wps:txbx>
                        <wps:bodyPr horzOverflow="overflow" vert="horz" lIns="0" tIns="0" rIns="0" bIns="0" rtlCol="0">
                          <a:noAutofit/>
                        </wps:bodyPr>
                      </wps:wsp>
                      <wps:wsp>
                        <wps:cNvPr id="9684" name="Rectangle 9684"/>
                        <wps:cNvSpPr/>
                        <wps:spPr>
                          <a:xfrm>
                            <a:off x="2609418" y="3443380"/>
                            <a:ext cx="54727" cy="242330"/>
                          </a:xfrm>
                          <a:prstGeom prst="rect">
                            <a:avLst/>
                          </a:prstGeom>
                          <a:ln>
                            <a:noFill/>
                          </a:ln>
                        </wps:spPr>
                        <wps:txbx>
                          <w:txbxContent>
                            <w:p w:rsidR="002C0F56" w:rsidRDefault="00E67C6E">
                              <w:pPr>
                                <w:spacing w:after="160" w:line="259" w:lineRule="auto"/>
                                <w:ind w:left="0" w:firstLine="0"/>
                                <w:jc w:val="left"/>
                              </w:pPr>
                              <w:r>
                                <w:rPr>
                                  <w:sz w:val="26"/>
                                </w:rPr>
                                <w:t xml:space="preserve"> </w:t>
                              </w:r>
                            </w:p>
                          </w:txbxContent>
                        </wps:txbx>
                        <wps:bodyPr horzOverflow="overflow" vert="horz" lIns="0" tIns="0" rIns="0" bIns="0" rtlCol="0">
                          <a:noAutofit/>
                        </wps:bodyPr>
                      </wps:wsp>
                      <wps:wsp>
                        <wps:cNvPr id="9686" name="Shape 9686"/>
                        <wps:cNvSpPr/>
                        <wps:spPr>
                          <a:xfrm>
                            <a:off x="1036777" y="3811265"/>
                            <a:ext cx="1770380" cy="353695"/>
                          </a:xfrm>
                          <a:custGeom>
                            <a:avLst/>
                            <a:gdLst/>
                            <a:ahLst/>
                            <a:cxnLst/>
                            <a:rect l="0" t="0" r="0" b="0"/>
                            <a:pathLst>
                              <a:path w="1770380" h="353695">
                                <a:moveTo>
                                  <a:pt x="0" y="353695"/>
                                </a:moveTo>
                                <a:lnTo>
                                  <a:pt x="1770380" y="353695"/>
                                </a:lnTo>
                                <a:lnTo>
                                  <a:pt x="177038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87" name="Rectangle 9687"/>
                        <wps:cNvSpPr/>
                        <wps:spPr>
                          <a:xfrm>
                            <a:off x="1278585" y="3902630"/>
                            <a:ext cx="1708134" cy="199133"/>
                          </a:xfrm>
                          <a:prstGeom prst="rect">
                            <a:avLst/>
                          </a:prstGeom>
                          <a:ln>
                            <a:noFill/>
                          </a:ln>
                        </wps:spPr>
                        <wps:txbx>
                          <w:txbxContent>
                            <w:p w:rsidR="002C0F56" w:rsidRDefault="00E67C6E">
                              <w:pPr>
                                <w:spacing w:after="160" w:line="259" w:lineRule="auto"/>
                                <w:ind w:left="0" w:firstLine="0"/>
                                <w:jc w:val="left"/>
                              </w:pPr>
                              <w:r>
                                <w:rPr>
                                  <w:sz w:val="26"/>
                                </w:rPr>
                                <w:t>экспертный метод</w:t>
                              </w:r>
                            </w:p>
                          </w:txbxContent>
                        </wps:txbx>
                        <wps:bodyPr horzOverflow="overflow" vert="horz" lIns="0" tIns="0" rIns="0" bIns="0" rtlCol="0">
                          <a:noAutofit/>
                        </wps:bodyPr>
                      </wps:wsp>
                      <wps:wsp>
                        <wps:cNvPr id="9688" name="Rectangle 9688"/>
                        <wps:cNvSpPr/>
                        <wps:spPr>
                          <a:xfrm>
                            <a:off x="2565222" y="3870100"/>
                            <a:ext cx="54727" cy="242330"/>
                          </a:xfrm>
                          <a:prstGeom prst="rect">
                            <a:avLst/>
                          </a:prstGeom>
                          <a:ln>
                            <a:noFill/>
                          </a:ln>
                        </wps:spPr>
                        <wps:txbx>
                          <w:txbxContent>
                            <w:p w:rsidR="002C0F56" w:rsidRDefault="00E67C6E">
                              <w:pPr>
                                <w:spacing w:after="160" w:line="259" w:lineRule="auto"/>
                                <w:ind w:left="0" w:firstLine="0"/>
                                <w:jc w:val="left"/>
                              </w:pPr>
                              <w:r>
                                <w:rPr>
                                  <w:sz w:val="26"/>
                                </w:rPr>
                                <w:t xml:space="preserve"> </w:t>
                              </w:r>
                            </w:p>
                          </w:txbxContent>
                        </wps:txbx>
                        <wps:bodyPr horzOverflow="overflow" vert="horz" lIns="0" tIns="0" rIns="0" bIns="0" rtlCol="0">
                          <a:noAutofit/>
                        </wps:bodyPr>
                      </wps:wsp>
                      <wps:wsp>
                        <wps:cNvPr id="9689" name="Shape 9689"/>
                        <wps:cNvSpPr/>
                        <wps:spPr>
                          <a:xfrm>
                            <a:off x="832307" y="2115181"/>
                            <a:ext cx="0" cy="1810385"/>
                          </a:xfrm>
                          <a:custGeom>
                            <a:avLst/>
                            <a:gdLst/>
                            <a:ahLst/>
                            <a:cxnLst/>
                            <a:rect l="0" t="0" r="0" b="0"/>
                            <a:pathLst>
                              <a:path h="1810385">
                                <a:moveTo>
                                  <a:pt x="0" y="0"/>
                                </a:moveTo>
                                <a:lnTo>
                                  <a:pt x="0" y="1810385"/>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90" name="Shape 9690"/>
                        <wps:cNvSpPr/>
                        <wps:spPr>
                          <a:xfrm>
                            <a:off x="831037" y="3540120"/>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91" name="Shape 9691"/>
                        <wps:cNvSpPr/>
                        <wps:spPr>
                          <a:xfrm>
                            <a:off x="831037" y="3092445"/>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92" name="Shape 9692"/>
                        <wps:cNvSpPr/>
                        <wps:spPr>
                          <a:xfrm>
                            <a:off x="831037" y="2571745"/>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93" name="Shape 9693"/>
                        <wps:cNvSpPr/>
                        <wps:spPr>
                          <a:xfrm>
                            <a:off x="831037" y="3936361"/>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695" name="Shape 9695"/>
                        <wps:cNvSpPr/>
                        <wps:spPr>
                          <a:xfrm>
                            <a:off x="3207207" y="2280916"/>
                            <a:ext cx="1350645" cy="261620"/>
                          </a:xfrm>
                          <a:custGeom>
                            <a:avLst/>
                            <a:gdLst/>
                            <a:ahLst/>
                            <a:cxnLst/>
                            <a:rect l="0" t="0" r="0" b="0"/>
                            <a:pathLst>
                              <a:path w="1350645" h="261620">
                                <a:moveTo>
                                  <a:pt x="0" y="261620"/>
                                </a:moveTo>
                                <a:lnTo>
                                  <a:pt x="1350645" y="261620"/>
                                </a:lnTo>
                                <a:lnTo>
                                  <a:pt x="135064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696" name="Rectangle 9696"/>
                        <wps:cNvSpPr/>
                        <wps:spPr>
                          <a:xfrm>
                            <a:off x="3373197" y="2368542"/>
                            <a:ext cx="1353983" cy="184382"/>
                          </a:xfrm>
                          <a:prstGeom prst="rect">
                            <a:avLst/>
                          </a:prstGeom>
                          <a:ln>
                            <a:noFill/>
                          </a:ln>
                        </wps:spPr>
                        <wps:txbx>
                          <w:txbxContent>
                            <w:p w:rsidR="002C0F56" w:rsidRDefault="00E67C6E">
                              <w:pPr>
                                <w:spacing w:after="160" w:line="259" w:lineRule="auto"/>
                                <w:ind w:left="0" w:firstLine="0"/>
                                <w:jc w:val="left"/>
                              </w:pPr>
                              <w:r>
                                <w:rPr>
                                  <w:sz w:val="24"/>
                                </w:rPr>
                                <w:t>прямые методы</w:t>
                              </w:r>
                            </w:p>
                          </w:txbxContent>
                        </wps:txbx>
                        <wps:bodyPr horzOverflow="overflow" vert="horz" lIns="0" tIns="0" rIns="0" bIns="0" rtlCol="0">
                          <a:noAutofit/>
                        </wps:bodyPr>
                      </wps:wsp>
                      <wps:wsp>
                        <wps:cNvPr id="9697" name="Rectangle 9697"/>
                        <wps:cNvSpPr/>
                        <wps:spPr>
                          <a:xfrm>
                            <a:off x="4392752" y="2338421"/>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9699" name="Shape 9699"/>
                        <wps:cNvSpPr/>
                        <wps:spPr>
                          <a:xfrm>
                            <a:off x="3207207" y="2591431"/>
                            <a:ext cx="1350645" cy="250825"/>
                          </a:xfrm>
                          <a:custGeom>
                            <a:avLst/>
                            <a:gdLst/>
                            <a:ahLst/>
                            <a:cxnLst/>
                            <a:rect l="0" t="0" r="0" b="0"/>
                            <a:pathLst>
                              <a:path w="1350645" h="250825">
                                <a:moveTo>
                                  <a:pt x="0" y="250825"/>
                                </a:moveTo>
                                <a:lnTo>
                                  <a:pt x="1350645" y="250825"/>
                                </a:lnTo>
                                <a:lnTo>
                                  <a:pt x="135064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00" name="Rectangle 9700"/>
                        <wps:cNvSpPr/>
                        <wps:spPr>
                          <a:xfrm>
                            <a:off x="3537788" y="2679438"/>
                            <a:ext cx="968260" cy="184382"/>
                          </a:xfrm>
                          <a:prstGeom prst="rect">
                            <a:avLst/>
                          </a:prstGeom>
                          <a:ln>
                            <a:noFill/>
                          </a:ln>
                        </wps:spPr>
                        <wps:txbx>
                          <w:txbxContent>
                            <w:p w:rsidR="002C0F56" w:rsidRDefault="00E67C6E">
                              <w:pPr>
                                <w:spacing w:after="160" w:line="259" w:lineRule="auto"/>
                                <w:ind w:left="0" w:firstLine="0"/>
                                <w:jc w:val="left"/>
                              </w:pPr>
                              <w:r>
                                <w:rPr>
                                  <w:sz w:val="24"/>
                                </w:rPr>
                                <w:t xml:space="preserve">косвенные </w:t>
                              </w:r>
                            </w:p>
                          </w:txbxContent>
                        </wps:txbx>
                        <wps:bodyPr horzOverflow="overflow" vert="horz" lIns="0" tIns="0" rIns="0" bIns="0" rtlCol="0">
                          <a:noAutofit/>
                        </wps:bodyPr>
                      </wps:wsp>
                      <wps:wsp>
                        <wps:cNvPr id="9701" name="Shape 9701"/>
                        <wps:cNvSpPr/>
                        <wps:spPr>
                          <a:xfrm>
                            <a:off x="3001468" y="2705731"/>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02" name="Shape 9702"/>
                        <wps:cNvSpPr/>
                        <wps:spPr>
                          <a:xfrm>
                            <a:off x="3001468" y="2395850"/>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03" name="Shape 9703"/>
                        <wps:cNvSpPr/>
                        <wps:spPr>
                          <a:xfrm>
                            <a:off x="3002102" y="2395850"/>
                            <a:ext cx="0" cy="309880"/>
                          </a:xfrm>
                          <a:custGeom>
                            <a:avLst/>
                            <a:gdLst/>
                            <a:ahLst/>
                            <a:cxnLst/>
                            <a:rect l="0" t="0" r="0" b="0"/>
                            <a:pathLst>
                              <a:path h="309880">
                                <a:moveTo>
                                  <a:pt x="0" y="0"/>
                                </a:moveTo>
                                <a:lnTo>
                                  <a:pt x="0" y="30988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04" name="Shape 9704"/>
                        <wps:cNvSpPr/>
                        <wps:spPr>
                          <a:xfrm>
                            <a:off x="2807157" y="2542536"/>
                            <a:ext cx="205740" cy="0"/>
                          </a:xfrm>
                          <a:custGeom>
                            <a:avLst/>
                            <a:gdLst/>
                            <a:ahLst/>
                            <a:cxnLst/>
                            <a:rect l="0" t="0" r="0" b="0"/>
                            <a:pathLst>
                              <a:path w="205740">
                                <a:moveTo>
                                  <a:pt x="0" y="0"/>
                                </a:moveTo>
                                <a:lnTo>
                                  <a:pt x="20574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06" name="Shape 9706"/>
                        <wps:cNvSpPr/>
                        <wps:spPr>
                          <a:xfrm>
                            <a:off x="3656787" y="2922900"/>
                            <a:ext cx="2072640" cy="238125"/>
                          </a:xfrm>
                          <a:custGeom>
                            <a:avLst/>
                            <a:gdLst/>
                            <a:ahLst/>
                            <a:cxnLst/>
                            <a:rect l="0" t="0" r="0" b="0"/>
                            <a:pathLst>
                              <a:path w="2072640" h="238125">
                                <a:moveTo>
                                  <a:pt x="0" y="238125"/>
                                </a:moveTo>
                                <a:lnTo>
                                  <a:pt x="2072640" y="238125"/>
                                </a:lnTo>
                                <a:lnTo>
                                  <a:pt x="207264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07" name="Rectangle 9707"/>
                        <wps:cNvSpPr/>
                        <wps:spPr>
                          <a:xfrm>
                            <a:off x="3953840" y="3005249"/>
                            <a:ext cx="2009223" cy="153037"/>
                          </a:xfrm>
                          <a:prstGeom prst="rect">
                            <a:avLst/>
                          </a:prstGeom>
                          <a:ln>
                            <a:noFill/>
                          </a:ln>
                        </wps:spPr>
                        <wps:txbx>
                          <w:txbxContent>
                            <w:p w:rsidR="002C0F56" w:rsidRDefault="00E67C6E">
                              <w:pPr>
                                <w:spacing w:after="160" w:line="259" w:lineRule="auto"/>
                                <w:ind w:left="0" w:firstLine="0"/>
                                <w:jc w:val="left"/>
                              </w:pPr>
                              <w:r>
                                <w:rPr>
                                  <w:sz w:val="20"/>
                                </w:rPr>
                                <w:t xml:space="preserve">метод сравнения доходов и </w:t>
                              </w:r>
                            </w:p>
                          </w:txbxContent>
                        </wps:txbx>
                        <wps:bodyPr horzOverflow="overflow" vert="horz" lIns="0" tIns="0" rIns="0" bIns="0" rtlCol="0">
                          <a:noAutofit/>
                        </wps:bodyPr>
                      </wps:wsp>
                      <wps:wsp>
                        <wps:cNvPr id="9709" name="Shape 9709"/>
                        <wps:cNvSpPr/>
                        <wps:spPr>
                          <a:xfrm>
                            <a:off x="3647898" y="3259450"/>
                            <a:ext cx="2081530" cy="267970"/>
                          </a:xfrm>
                          <a:custGeom>
                            <a:avLst/>
                            <a:gdLst/>
                            <a:ahLst/>
                            <a:cxnLst/>
                            <a:rect l="0" t="0" r="0" b="0"/>
                            <a:pathLst>
                              <a:path w="2081530" h="267970">
                                <a:moveTo>
                                  <a:pt x="0" y="267970"/>
                                </a:moveTo>
                                <a:lnTo>
                                  <a:pt x="2081530" y="267970"/>
                                </a:lnTo>
                                <a:lnTo>
                                  <a:pt x="208153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10" name="Rectangle 9710"/>
                        <wps:cNvSpPr/>
                        <wps:spPr>
                          <a:xfrm>
                            <a:off x="3967556" y="3342307"/>
                            <a:ext cx="1960435" cy="153037"/>
                          </a:xfrm>
                          <a:prstGeom prst="rect">
                            <a:avLst/>
                          </a:prstGeom>
                          <a:ln>
                            <a:noFill/>
                          </a:ln>
                        </wps:spPr>
                        <wps:txbx>
                          <w:txbxContent>
                            <w:p w:rsidR="002C0F56" w:rsidRDefault="00E67C6E">
                              <w:pPr>
                                <w:spacing w:after="160" w:line="259" w:lineRule="auto"/>
                                <w:ind w:left="0" w:firstLine="0"/>
                                <w:jc w:val="left"/>
                              </w:pPr>
                              <w:r>
                                <w:rPr>
                                  <w:sz w:val="20"/>
                                </w:rPr>
                                <w:t xml:space="preserve">методы физических затрат </w:t>
                              </w:r>
                            </w:p>
                          </w:txbxContent>
                        </wps:txbx>
                        <wps:bodyPr horzOverflow="overflow" vert="horz" lIns="0" tIns="0" rIns="0" bIns="0" rtlCol="0">
                          <a:noAutofit/>
                        </wps:bodyPr>
                      </wps:wsp>
                      <wps:wsp>
                        <wps:cNvPr id="9711" name="Rectangle 9711"/>
                        <wps:cNvSpPr/>
                        <wps:spPr>
                          <a:xfrm>
                            <a:off x="4931105" y="3463611"/>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9713" name="Shape 9713"/>
                        <wps:cNvSpPr/>
                        <wps:spPr>
                          <a:xfrm>
                            <a:off x="3647898" y="3609970"/>
                            <a:ext cx="2081530" cy="382270"/>
                          </a:xfrm>
                          <a:custGeom>
                            <a:avLst/>
                            <a:gdLst/>
                            <a:ahLst/>
                            <a:cxnLst/>
                            <a:rect l="0" t="0" r="0" b="0"/>
                            <a:pathLst>
                              <a:path w="2081530" h="382270">
                                <a:moveTo>
                                  <a:pt x="0" y="382270"/>
                                </a:moveTo>
                                <a:lnTo>
                                  <a:pt x="2081530" y="382270"/>
                                </a:lnTo>
                                <a:lnTo>
                                  <a:pt x="208153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14" name="Rectangle 9714"/>
                        <wps:cNvSpPr/>
                        <wps:spPr>
                          <a:xfrm>
                            <a:off x="3866973" y="3692827"/>
                            <a:ext cx="2227255" cy="153037"/>
                          </a:xfrm>
                          <a:prstGeom prst="rect">
                            <a:avLst/>
                          </a:prstGeom>
                          <a:ln>
                            <a:noFill/>
                          </a:ln>
                        </wps:spPr>
                        <wps:txbx>
                          <w:txbxContent>
                            <w:p w:rsidR="002C0F56" w:rsidRDefault="00E67C6E">
                              <w:pPr>
                                <w:spacing w:after="160" w:line="259" w:lineRule="auto"/>
                                <w:ind w:left="0" w:firstLine="0"/>
                                <w:jc w:val="left"/>
                              </w:pPr>
                              <w:r>
                                <w:rPr>
                                  <w:sz w:val="20"/>
                                </w:rPr>
                                <w:t xml:space="preserve">методы оценки по показателю </w:t>
                              </w:r>
                            </w:p>
                          </w:txbxContent>
                        </wps:txbx>
                        <wps:bodyPr horzOverflow="overflow" vert="horz" lIns="0" tIns="0" rIns="0" bIns="0" rtlCol="0">
                          <a:noAutofit/>
                        </wps:bodyPr>
                      </wps:wsp>
                      <wps:wsp>
                        <wps:cNvPr id="9715" name="Rectangle 9715"/>
                        <wps:cNvSpPr/>
                        <wps:spPr>
                          <a:xfrm>
                            <a:off x="4424757" y="3839132"/>
                            <a:ext cx="746961" cy="153037"/>
                          </a:xfrm>
                          <a:prstGeom prst="rect">
                            <a:avLst/>
                          </a:prstGeom>
                          <a:ln>
                            <a:noFill/>
                          </a:ln>
                        </wps:spPr>
                        <wps:txbx>
                          <w:txbxContent>
                            <w:p w:rsidR="002C0F56" w:rsidRDefault="00E67C6E">
                              <w:pPr>
                                <w:spacing w:after="160" w:line="259" w:lineRule="auto"/>
                                <w:ind w:left="0" w:firstLine="0"/>
                                <w:jc w:val="left"/>
                              </w:pPr>
                              <w:r>
                                <w:rPr>
                                  <w:sz w:val="20"/>
                                </w:rPr>
                                <w:t xml:space="preserve">занятости </w:t>
                              </w:r>
                            </w:p>
                          </w:txbxContent>
                        </wps:txbx>
                        <wps:bodyPr horzOverflow="overflow" vert="horz" lIns="0" tIns="0" rIns="0" bIns="0" rtlCol="0">
                          <a:noAutofit/>
                        </wps:bodyPr>
                      </wps:wsp>
                      <wps:wsp>
                        <wps:cNvPr id="9716" name="Rectangle 9716"/>
                        <wps:cNvSpPr/>
                        <wps:spPr>
                          <a:xfrm>
                            <a:off x="4989017" y="3814132"/>
                            <a:ext cx="42058" cy="186235"/>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9718" name="Shape 9718"/>
                        <wps:cNvSpPr/>
                        <wps:spPr>
                          <a:xfrm>
                            <a:off x="3647898" y="4034785"/>
                            <a:ext cx="2081530" cy="256541"/>
                          </a:xfrm>
                          <a:custGeom>
                            <a:avLst/>
                            <a:gdLst/>
                            <a:ahLst/>
                            <a:cxnLst/>
                            <a:rect l="0" t="0" r="0" b="0"/>
                            <a:pathLst>
                              <a:path w="2081530" h="256541">
                                <a:moveTo>
                                  <a:pt x="0" y="256541"/>
                                </a:moveTo>
                                <a:lnTo>
                                  <a:pt x="2081530" y="256541"/>
                                </a:lnTo>
                                <a:lnTo>
                                  <a:pt x="208153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19" name="Rectangle 9719"/>
                        <wps:cNvSpPr/>
                        <wps:spPr>
                          <a:xfrm>
                            <a:off x="4180916" y="4118023"/>
                            <a:ext cx="1349576" cy="153038"/>
                          </a:xfrm>
                          <a:prstGeom prst="rect">
                            <a:avLst/>
                          </a:prstGeom>
                          <a:ln>
                            <a:noFill/>
                          </a:ln>
                        </wps:spPr>
                        <wps:txbx>
                          <w:txbxContent>
                            <w:p w:rsidR="002C0F56" w:rsidRDefault="00E67C6E">
                              <w:pPr>
                                <w:spacing w:after="160" w:line="259" w:lineRule="auto"/>
                                <w:ind w:left="0" w:firstLine="0"/>
                                <w:jc w:val="left"/>
                              </w:pPr>
                              <w:r>
                                <w:rPr>
                                  <w:sz w:val="20"/>
                                </w:rPr>
                                <w:t>монетарный метод</w:t>
                              </w:r>
                            </w:p>
                          </w:txbxContent>
                        </wps:txbx>
                        <wps:bodyPr horzOverflow="overflow" vert="horz" lIns="0" tIns="0" rIns="0" bIns="0" rtlCol="0">
                          <a:noAutofit/>
                        </wps:bodyPr>
                      </wps:wsp>
                      <wps:wsp>
                        <wps:cNvPr id="9720" name="Rectangle 9720"/>
                        <wps:cNvSpPr/>
                        <wps:spPr>
                          <a:xfrm>
                            <a:off x="5197805" y="4093023"/>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9722" name="Shape 9722"/>
                        <wps:cNvSpPr/>
                        <wps:spPr>
                          <a:xfrm>
                            <a:off x="3647898" y="4351015"/>
                            <a:ext cx="2081530" cy="238761"/>
                          </a:xfrm>
                          <a:custGeom>
                            <a:avLst/>
                            <a:gdLst/>
                            <a:ahLst/>
                            <a:cxnLst/>
                            <a:rect l="0" t="0" r="0" b="0"/>
                            <a:pathLst>
                              <a:path w="2081530" h="238761">
                                <a:moveTo>
                                  <a:pt x="0" y="238761"/>
                                </a:moveTo>
                                <a:lnTo>
                                  <a:pt x="2081530" y="238761"/>
                                </a:lnTo>
                                <a:lnTo>
                                  <a:pt x="208153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23" name="Rectangle 9723"/>
                        <wps:cNvSpPr/>
                        <wps:spPr>
                          <a:xfrm>
                            <a:off x="3886785" y="4433491"/>
                            <a:ext cx="2078872" cy="153038"/>
                          </a:xfrm>
                          <a:prstGeom prst="rect">
                            <a:avLst/>
                          </a:prstGeom>
                          <a:ln>
                            <a:noFill/>
                          </a:ln>
                        </wps:spPr>
                        <wps:txbx>
                          <w:txbxContent>
                            <w:p w:rsidR="002C0F56" w:rsidRDefault="00E67C6E">
                              <w:pPr>
                                <w:spacing w:after="160" w:line="259" w:lineRule="auto"/>
                                <w:ind w:left="0" w:firstLine="0"/>
                                <w:jc w:val="left"/>
                              </w:pPr>
                              <w:r>
                                <w:rPr>
                                  <w:sz w:val="20"/>
                                </w:rPr>
                                <w:t>трансактный (операционный</w:t>
                              </w:r>
                            </w:p>
                          </w:txbxContent>
                        </wps:txbx>
                        <wps:bodyPr horzOverflow="overflow" vert="horz" lIns="0" tIns="0" rIns="0" bIns="0" rtlCol="0">
                          <a:noAutofit/>
                        </wps:bodyPr>
                      </wps:wsp>
                      <wps:wsp>
                        <wps:cNvPr id="9724" name="Rectangle 9724"/>
                        <wps:cNvSpPr/>
                        <wps:spPr>
                          <a:xfrm>
                            <a:off x="5450789" y="4408491"/>
                            <a:ext cx="56024"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9725" name="Rectangle 9725"/>
                        <wps:cNvSpPr/>
                        <wps:spPr>
                          <a:xfrm>
                            <a:off x="5493461" y="4408491"/>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9727" name="Shape 9727"/>
                        <wps:cNvSpPr/>
                        <wps:spPr>
                          <a:xfrm>
                            <a:off x="3647898" y="4650101"/>
                            <a:ext cx="2081530" cy="228600"/>
                          </a:xfrm>
                          <a:custGeom>
                            <a:avLst/>
                            <a:gdLst/>
                            <a:ahLst/>
                            <a:cxnLst/>
                            <a:rect l="0" t="0" r="0" b="0"/>
                            <a:pathLst>
                              <a:path w="2081530" h="228600">
                                <a:moveTo>
                                  <a:pt x="0" y="228600"/>
                                </a:moveTo>
                                <a:lnTo>
                                  <a:pt x="2081530" y="228600"/>
                                </a:lnTo>
                                <a:lnTo>
                                  <a:pt x="208153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9728" name="Rectangle 9728"/>
                        <wps:cNvSpPr/>
                        <wps:spPr>
                          <a:xfrm>
                            <a:off x="4022420" y="4732195"/>
                            <a:ext cx="1772853" cy="153038"/>
                          </a:xfrm>
                          <a:prstGeom prst="rect">
                            <a:avLst/>
                          </a:prstGeom>
                          <a:ln>
                            <a:noFill/>
                          </a:ln>
                        </wps:spPr>
                        <wps:txbx>
                          <w:txbxContent>
                            <w:p w:rsidR="002C0F56" w:rsidRDefault="00E67C6E">
                              <w:pPr>
                                <w:spacing w:after="160" w:line="259" w:lineRule="auto"/>
                                <w:ind w:left="0" w:firstLine="0"/>
                                <w:jc w:val="left"/>
                              </w:pPr>
                              <w:r>
                                <w:rPr>
                                  <w:sz w:val="20"/>
                                </w:rPr>
                                <w:t>метод товарных потоков</w:t>
                              </w:r>
                            </w:p>
                          </w:txbxContent>
                        </wps:txbx>
                        <wps:bodyPr horzOverflow="overflow" vert="horz" lIns="0" tIns="0" rIns="0" bIns="0" rtlCol="0">
                          <a:noAutofit/>
                        </wps:bodyPr>
                      </wps:wsp>
                      <wps:wsp>
                        <wps:cNvPr id="9729" name="Rectangle 9729"/>
                        <wps:cNvSpPr/>
                        <wps:spPr>
                          <a:xfrm>
                            <a:off x="5357825" y="4707195"/>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9730" name="Shape 9730"/>
                        <wps:cNvSpPr/>
                        <wps:spPr>
                          <a:xfrm>
                            <a:off x="3383737" y="2842256"/>
                            <a:ext cx="0" cy="1905635"/>
                          </a:xfrm>
                          <a:custGeom>
                            <a:avLst/>
                            <a:gdLst/>
                            <a:ahLst/>
                            <a:cxnLst/>
                            <a:rect l="0" t="0" r="0" b="0"/>
                            <a:pathLst>
                              <a:path h="1905635">
                                <a:moveTo>
                                  <a:pt x="0" y="0"/>
                                </a:moveTo>
                                <a:lnTo>
                                  <a:pt x="0" y="1905635"/>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31" name="Shape 9731"/>
                        <wps:cNvSpPr/>
                        <wps:spPr>
                          <a:xfrm>
                            <a:off x="3392627" y="4747890"/>
                            <a:ext cx="264160" cy="0"/>
                          </a:xfrm>
                          <a:custGeom>
                            <a:avLst/>
                            <a:gdLst/>
                            <a:ahLst/>
                            <a:cxnLst/>
                            <a:rect l="0" t="0" r="0" b="0"/>
                            <a:pathLst>
                              <a:path w="264160">
                                <a:moveTo>
                                  <a:pt x="0" y="0"/>
                                </a:moveTo>
                                <a:lnTo>
                                  <a:pt x="26416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32" name="Shape 9732"/>
                        <wps:cNvSpPr/>
                        <wps:spPr>
                          <a:xfrm>
                            <a:off x="3392627" y="4477381"/>
                            <a:ext cx="264160" cy="0"/>
                          </a:xfrm>
                          <a:custGeom>
                            <a:avLst/>
                            <a:gdLst/>
                            <a:ahLst/>
                            <a:cxnLst/>
                            <a:rect l="0" t="0" r="0" b="0"/>
                            <a:pathLst>
                              <a:path w="264160">
                                <a:moveTo>
                                  <a:pt x="0" y="0"/>
                                </a:moveTo>
                                <a:lnTo>
                                  <a:pt x="26416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33" name="Shape 9733"/>
                        <wps:cNvSpPr/>
                        <wps:spPr>
                          <a:xfrm>
                            <a:off x="3383737" y="3787770"/>
                            <a:ext cx="264160" cy="0"/>
                          </a:xfrm>
                          <a:custGeom>
                            <a:avLst/>
                            <a:gdLst/>
                            <a:ahLst/>
                            <a:cxnLst/>
                            <a:rect l="0" t="0" r="0" b="0"/>
                            <a:pathLst>
                              <a:path w="264160">
                                <a:moveTo>
                                  <a:pt x="0" y="0"/>
                                </a:moveTo>
                                <a:lnTo>
                                  <a:pt x="26416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34" name="Shape 9734"/>
                        <wps:cNvSpPr/>
                        <wps:spPr>
                          <a:xfrm>
                            <a:off x="3392627" y="3391531"/>
                            <a:ext cx="321310" cy="635"/>
                          </a:xfrm>
                          <a:custGeom>
                            <a:avLst/>
                            <a:gdLst/>
                            <a:ahLst/>
                            <a:cxnLst/>
                            <a:rect l="0" t="0" r="0" b="0"/>
                            <a:pathLst>
                              <a:path w="321310" h="635">
                                <a:moveTo>
                                  <a:pt x="0" y="0"/>
                                </a:moveTo>
                                <a:lnTo>
                                  <a:pt x="321310" y="635"/>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35" name="Shape 9735"/>
                        <wps:cNvSpPr/>
                        <wps:spPr>
                          <a:xfrm>
                            <a:off x="3392627" y="3042281"/>
                            <a:ext cx="264160" cy="0"/>
                          </a:xfrm>
                          <a:custGeom>
                            <a:avLst/>
                            <a:gdLst/>
                            <a:ahLst/>
                            <a:cxnLst/>
                            <a:rect l="0" t="0" r="0" b="0"/>
                            <a:pathLst>
                              <a:path w="264160">
                                <a:moveTo>
                                  <a:pt x="0" y="0"/>
                                </a:moveTo>
                                <a:lnTo>
                                  <a:pt x="264160" y="0"/>
                                </a:lnTo>
                              </a:path>
                            </a:pathLst>
                          </a:custGeom>
                          <a:ln w="31750" cap="flat">
                            <a:round/>
                          </a:ln>
                        </wps:spPr>
                        <wps:style>
                          <a:lnRef idx="1">
                            <a:srgbClr val="000000"/>
                          </a:lnRef>
                          <a:fillRef idx="0">
                            <a:srgbClr val="000000">
                              <a:alpha val="0"/>
                            </a:srgbClr>
                          </a:fillRef>
                          <a:effectRef idx="0">
                            <a:scrgbClr r="0" g="0" b="0"/>
                          </a:effectRef>
                          <a:fontRef idx="none"/>
                        </wps:style>
                        <wps:bodyPr/>
                      </wps:wsp>
                      <wps:wsp>
                        <wps:cNvPr id="9736" name="Shape 9736"/>
                        <wps:cNvSpPr/>
                        <wps:spPr>
                          <a:xfrm>
                            <a:off x="3392627" y="4164961"/>
                            <a:ext cx="264160" cy="0"/>
                          </a:xfrm>
                          <a:custGeom>
                            <a:avLst/>
                            <a:gdLst/>
                            <a:ahLst/>
                            <a:cxnLst/>
                            <a:rect l="0" t="0" r="0" b="0"/>
                            <a:pathLst>
                              <a:path w="264160">
                                <a:moveTo>
                                  <a:pt x="0" y="0"/>
                                </a:moveTo>
                                <a:lnTo>
                                  <a:pt x="264160" y="0"/>
                                </a:lnTo>
                              </a:path>
                            </a:pathLst>
                          </a:custGeom>
                          <a:ln w="3175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54043" style="width:451.136pt;height:385.792pt;mso-position-horizontal-relative:char;mso-position-vertical-relative:line" coordsize="57294,48995">
                <v:rect id="Rectangle 9593" style="position:absolute;width:592;height:2625;left:0;top:0;" filled="f" stroked="f">
                  <v:textbox inset="0,0,0,0">
                    <w:txbxContent>
                      <w:p>
                        <w:pPr>
                          <w:spacing w:before="0" w:after="160" w:line="259" w:lineRule="auto"/>
                          <w:ind w:left="0" w:firstLine="0"/>
                          <w:jc w:val="left"/>
                        </w:pPr>
                        <w:r>
                          <w:rPr/>
                          <w:t xml:space="preserve"> </w:t>
                        </w:r>
                      </w:p>
                    </w:txbxContent>
                  </v:textbox>
                </v:rect>
                <v:rect id="Rectangle 9594" style="position:absolute;width:592;height:2625;left:0;top:2042;" filled="f" stroked="f">
                  <v:textbox inset="0,0,0,0">
                    <w:txbxContent>
                      <w:p>
                        <w:pPr>
                          <w:spacing w:before="0" w:after="160" w:line="259" w:lineRule="auto"/>
                          <w:ind w:left="0" w:firstLine="0"/>
                          <w:jc w:val="left"/>
                        </w:pPr>
                        <w:r>
                          <w:rPr/>
                          <w:t xml:space="preserve"> </w:t>
                        </w:r>
                      </w:p>
                    </w:txbxContent>
                  </v:textbox>
                </v:rect>
                <v:rect id="Rectangle 9595" style="position:absolute;width:592;height:2625;left:0;top:4084;" filled="f" stroked="f">
                  <v:textbox inset="0,0,0,0">
                    <w:txbxContent>
                      <w:p>
                        <w:pPr>
                          <w:spacing w:before="0" w:after="160" w:line="259" w:lineRule="auto"/>
                          <w:ind w:left="0" w:firstLine="0"/>
                          <w:jc w:val="left"/>
                        </w:pPr>
                        <w:r>
                          <w:rPr/>
                          <w:t xml:space="preserve"> </w:t>
                        </w:r>
                      </w:p>
                    </w:txbxContent>
                  </v:textbox>
                </v:rect>
                <v:rect id="Rectangle 9596" style="position:absolute;width:592;height:2625;left:0;top:6130;" filled="f" stroked="f">
                  <v:textbox inset="0,0,0,0">
                    <w:txbxContent>
                      <w:p>
                        <w:pPr>
                          <w:spacing w:before="0" w:after="160" w:line="259" w:lineRule="auto"/>
                          <w:ind w:left="0" w:firstLine="0"/>
                          <w:jc w:val="left"/>
                        </w:pPr>
                        <w:r>
                          <w:rPr/>
                          <w:t xml:space="preserve"> </w:t>
                        </w:r>
                      </w:p>
                    </w:txbxContent>
                  </v:textbox>
                </v:rect>
                <v:rect id="Rectangle 9597" style="position:absolute;width:592;height:2625;left:0;top:8172;" filled="f" stroked="f">
                  <v:textbox inset="0,0,0,0">
                    <w:txbxContent>
                      <w:p>
                        <w:pPr>
                          <w:spacing w:before="0" w:after="160" w:line="259" w:lineRule="auto"/>
                          <w:ind w:left="0" w:firstLine="0"/>
                          <w:jc w:val="left"/>
                        </w:pPr>
                        <w:r>
                          <w:rPr/>
                          <w:t xml:space="preserve"> </w:t>
                        </w:r>
                      </w:p>
                    </w:txbxContent>
                  </v:textbox>
                </v:rect>
                <v:rect id="Rectangle 9598" style="position:absolute;width:592;height:2625;left:0;top:10229;" filled="f" stroked="f">
                  <v:textbox inset="0,0,0,0">
                    <w:txbxContent>
                      <w:p>
                        <w:pPr>
                          <w:spacing w:before="0" w:after="160" w:line="259" w:lineRule="auto"/>
                          <w:ind w:left="0" w:firstLine="0"/>
                          <w:jc w:val="left"/>
                        </w:pPr>
                        <w:r>
                          <w:rPr/>
                          <w:t xml:space="preserve"> </w:t>
                        </w:r>
                      </w:p>
                    </w:txbxContent>
                  </v:textbox>
                </v:rect>
                <v:rect id="Rectangle 9599" style="position:absolute;width:592;height:2625;left:0;top:12272;" filled="f" stroked="f">
                  <v:textbox inset="0,0,0,0">
                    <w:txbxContent>
                      <w:p>
                        <w:pPr>
                          <w:spacing w:before="0" w:after="160" w:line="259" w:lineRule="auto"/>
                          <w:ind w:left="0" w:firstLine="0"/>
                          <w:jc w:val="left"/>
                        </w:pPr>
                        <w:r>
                          <w:rPr/>
                          <w:t xml:space="preserve"> </w:t>
                        </w:r>
                      </w:p>
                    </w:txbxContent>
                  </v:textbox>
                </v:rect>
                <v:rect id="Rectangle 9600" style="position:absolute;width:592;height:2625;left:0;top:14314;" filled="f" stroked="f">
                  <v:textbox inset="0,0,0,0">
                    <w:txbxContent>
                      <w:p>
                        <w:pPr>
                          <w:spacing w:before="0" w:after="160" w:line="259" w:lineRule="auto"/>
                          <w:ind w:left="0" w:firstLine="0"/>
                          <w:jc w:val="left"/>
                        </w:pPr>
                        <w:r>
                          <w:rPr/>
                          <w:t xml:space="preserve"> </w:t>
                        </w:r>
                      </w:p>
                    </w:txbxContent>
                  </v:textbox>
                </v:rect>
                <v:rect id="Rectangle 9601" style="position:absolute;width:592;height:2625;left:0;top:16356;" filled="f" stroked="f">
                  <v:textbox inset="0,0,0,0">
                    <w:txbxContent>
                      <w:p>
                        <w:pPr>
                          <w:spacing w:before="0" w:after="160" w:line="259" w:lineRule="auto"/>
                          <w:ind w:left="0" w:firstLine="0"/>
                          <w:jc w:val="left"/>
                        </w:pPr>
                        <w:r>
                          <w:rPr/>
                          <w:t xml:space="preserve"> </w:t>
                        </w:r>
                      </w:p>
                    </w:txbxContent>
                  </v:textbox>
                </v:rect>
                <v:rect id="Rectangle 9602" style="position:absolute;width:592;height:2625;left:0;top:18398;" filled="f" stroked="f">
                  <v:textbox inset="0,0,0,0">
                    <w:txbxContent>
                      <w:p>
                        <w:pPr>
                          <w:spacing w:before="0" w:after="160" w:line="259" w:lineRule="auto"/>
                          <w:ind w:left="0" w:firstLine="0"/>
                          <w:jc w:val="left"/>
                        </w:pPr>
                        <w:r>
                          <w:rPr/>
                          <w:t xml:space="preserve"> </w:t>
                        </w:r>
                      </w:p>
                    </w:txbxContent>
                  </v:textbox>
                </v:rect>
                <v:rect id="Rectangle 9603" style="position:absolute;width:592;height:2625;left:0;top:20440;" filled="f" stroked="f">
                  <v:textbox inset="0,0,0,0">
                    <w:txbxContent>
                      <w:p>
                        <w:pPr>
                          <w:spacing w:before="0" w:after="160" w:line="259" w:lineRule="auto"/>
                          <w:ind w:left="0" w:firstLine="0"/>
                          <w:jc w:val="left"/>
                        </w:pPr>
                        <w:r>
                          <w:rPr/>
                          <w:t xml:space="preserve"> </w:t>
                        </w:r>
                      </w:p>
                    </w:txbxContent>
                  </v:textbox>
                </v:rect>
                <v:rect id="Rectangle 9604" style="position:absolute;width:592;height:2625;left:0;top:22482;" filled="f" stroked="f">
                  <v:textbox inset="0,0,0,0">
                    <w:txbxContent>
                      <w:p>
                        <w:pPr>
                          <w:spacing w:before="0" w:after="160" w:line="259" w:lineRule="auto"/>
                          <w:ind w:left="0" w:firstLine="0"/>
                          <w:jc w:val="left"/>
                        </w:pPr>
                        <w:r>
                          <w:rPr/>
                          <w:t xml:space="preserve"> </w:t>
                        </w:r>
                      </w:p>
                    </w:txbxContent>
                  </v:textbox>
                </v:rect>
                <v:rect id="Rectangle 9605" style="position:absolute;width:592;height:2625;left:0;top:24540;" filled="f" stroked="f">
                  <v:textbox inset="0,0,0,0">
                    <w:txbxContent>
                      <w:p>
                        <w:pPr>
                          <w:spacing w:before="0" w:after="160" w:line="259" w:lineRule="auto"/>
                          <w:ind w:left="0" w:firstLine="0"/>
                          <w:jc w:val="left"/>
                        </w:pPr>
                        <w:r>
                          <w:rPr/>
                          <w:t xml:space="preserve"> </w:t>
                        </w:r>
                      </w:p>
                    </w:txbxContent>
                  </v:textbox>
                </v:rect>
                <v:rect id="Rectangle 9606" style="position:absolute;width:592;height:2625;left:0;top:26582;" filled="f" stroked="f">
                  <v:textbox inset="0,0,0,0">
                    <w:txbxContent>
                      <w:p>
                        <w:pPr>
                          <w:spacing w:before="0" w:after="160" w:line="259" w:lineRule="auto"/>
                          <w:ind w:left="0" w:firstLine="0"/>
                          <w:jc w:val="left"/>
                        </w:pPr>
                        <w:r>
                          <w:rPr/>
                          <w:t xml:space="preserve"> </w:t>
                        </w:r>
                      </w:p>
                    </w:txbxContent>
                  </v:textbox>
                </v:rect>
                <v:rect id="Rectangle 9607" style="position:absolute;width:592;height:2625;left:0;top:28624;" filled="f" stroked="f">
                  <v:textbox inset="0,0,0,0">
                    <w:txbxContent>
                      <w:p>
                        <w:pPr>
                          <w:spacing w:before="0" w:after="160" w:line="259" w:lineRule="auto"/>
                          <w:ind w:left="0" w:firstLine="0"/>
                          <w:jc w:val="left"/>
                        </w:pPr>
                        <w:r>
                          <w:rPr/>
                          <w:t xml:space="preserve"> </w:t>
                        </w:r>
                      </w:p>
                    </w:txbxContent>
                  </v:textbox>
                </v:rect>
                <v:rect id="Rectangle 9608" style="position:absolute;width:592;height:2625;left:0;top:30669;" filled="f" stroked="f">
                  <v:textbox inset="0,0,0,0">
                    <w:txbxContent>
                      <w:p>
                        <w:pPr>
                          <w:spacing w:before="0" w:after="160" w:line="259" w:lineRule="auto"/>
                          <w:ind w:left="0" w:firstLine="0"/>
                          <w:jc w:val="left"/>
                        </w:pPr>
                        <w:r>
                          <w:rPr/>
                          <w:t xml:space="preserve"> </w:t>
                        </w:r>
                      </w:p>
                    </w:txbxContent>
                  </v:textbox>
                </v:rect>
                <v:rect id="Rectangle 9609" style="position:absolute;width:592;height:2625;left:0;top:32711;" filled="f" stroked="f">
                  <v:textbox inset="0,0,0,0">
                    <w:txbxContent>
                      <w:p>
                        <w:pPr>
                          <w:spacing w:before="0" w:after="160" w:line="259" w:lineRule="auto"/>
                          <w:ind w:left="0" w:firstLine="0"/>
                          <w:jc w:val="left"/>
                        </w:pPr>
                        <w:r>
                          <w:rPr/>
                          <w:t xml:space="preserve"> </w:t>
                        </w:r>
                      </w:p>
                    </w:txbxContent>
                  </v:textbox>
                </v:rect>
                <v:rect id="Rectangle 9610" style="position:absolute;width:592;height:2625;left:0;top:34753;" filled="f" stroked="f">
                  <v:textbox inset="0,0,0,0">
                    <w:txbxContent>
                      <w:p>
                        <w:pPr>
                          <w:spacing w:before="0" w:after="160" w:line="259" w:lineRule="auto"/>
                          <w:ind w:left="0" w:firstLine="0"/>
                          <w:jc w:val="left"/>
                        </w:pPr>
                        <w:r>
                          <w:rPr/>
                          <w:t xml:space="preserve"> </w:t>
                        </w:r>
                      </w:p>
                    </w:txbxContent>
                  </v:textbox>
                </v:rect>
                <v:rect id="Rectangle 9611" style="position:absolute;width:592;height:2625;left:0;top:36810;" filled="f" stroked="f">
                  <v:textbox inset="0,0,0,0">
                    <w:txbxContent>
                      <w:p>
                        <w:pPr>
                          <w:spacing w:before="0" w:after="160" w:line="259" w:lineRule="auto"/>
                          <w:ind w:left="0" w:firstLine="0"/>
                          <w:jc w:val="left"/>
                        </w:pPr>
                        <w:r>
                          <w:rPr/>
                          <w:t xml:space="preserve"> </w:t>
                        </w:r>
                      </w:p>
                    </w:txbxContent>
                  </v:textbox>
                </v:rect>
                <v:rect id="Rectangle 9612" style="position:absolute;width:592;height:2625;left:0;top:38853;" filled="f" stroked="f">
                  <v:textbox inset="0,0,0,0">
                    <w:txbxContent>
                      <w:p>
                        <w:pPr>
                          <w:spacing w:before="0" w:after="160" w:line="259" w:lineRule="auto"/>
                          <w:ind w:left="0" w:firstLine="0"/>
                          <w:jc w:val="left"/>
                        </w:pPr>
                        <w:r>
                          <w:rPr/>
                          <w:t xml:space="preserve"> </w:t>
                        </w:r>
                      </w:p>
                    </w:txbxContent>
                  </v:textbox>
                </v:rect>
                <v:rect id="Rectangle 9613" style="position:absolute;width:592;height:2625;left:0;top:40895;" filled="f" stroked="f">
                  <v:textbox inset="0,0,0,0">
                    <w:txbxContent>
                      <w:p>
                        <w:pPr>
                          <w:spacing w:before="0" w:after="160" w:line="259" w:lineRule="auto"/>
                          <w:ind w:left="0" w:firstLine="0"/>
                          <w:jc w:val="left"/>
                        </w:pPr>
                        <w:r>
                          <w:rPr/>
                          <w:t xml:space="preserve"> </w:t>
                        </w:r>
                      </w:p>
                    </w:txbxContent>
                  </v:textbox>
                </v:rect>
                <v:rect id="Rectangle 9614" style="position:absolute;width:592;height:2625;left:0;top:42937;" filled="f" stroked="f">
                  <v:textbox inset="0,0,0,0">
                    <w:txbxContent>
                      <w:p>
                        <w:pPr>
                          <w:spacing w:before="0" w:after="160" w:line="259" w:lineRule="auto"/>
                          <w:ind w:left="0" w:firstLine="0"/>
                          <w:jc w:val="left"/>
                        </w:pPr>
                        <w:r>
                          <w:rPr/>
                          <w:t xml:space="preserve"> </w:t>
                        </w:r>
                      </w:p>
                    </w:txbxContent>
                  </v:textbox>
                </v:rect>
                <v:rect id="Rectangle 9615" style="position:absolute;width:592;height:2625;left:0;top:44979;" filled="f" stroked="f">
                  <v:textbox inset="0,0,0,0">
                    <w:txbxContent>
                      <w:p>
                        <w:pPr>
                          <w:spacing w:before="0" w:after="160" w:line="259" w:lineRule="auto"/>
                          <w:ind w:left="0" w:firstLine="0"/>
                          <w:jc w:val="left"/>
                        </w:pPr>
                        <w:r>
                          <w:rPr/>
                          <w:t xml:space="preserve"> </w:t>
                        </w:r>
                      </w:p>
                    </w:txbxContent>
                  </v:textbox>
                </v:rect>
                <v:rect id="Rectangle 9616" style="position:absolute;width:592;height:2625;left:0;top:47021;" filled="f" stroked="f">
                  <v:textbox inset="0,0,0,0">
                    <w:txbxContent>
                      <w:p>
                        <w:pPr>
                          <w:spacing w:before="0" w:after="160" w:line="259" w:lineRule="auto"/>
                          <w:ind w:left="0" w:firstLine="0"/>
                          <w:jc w:val="left"/>
                        </w:pPr>
                        <w:r>
                          <w:rPr/>
                          <w:t xml:space="preserve"> </w:t>
                        </w:r>
                      </w:p>
                    </w:txbxContent>
                  </v:textbox>
                </v:rect>
                <v:shape id="Shape 9632" style="position:absolute;width:23374;height:4578;left:3128;top:1371;" coordsize="2337435,457835" path="m0,457835l2337435,457835l2337435,0l0,0x">
                  <v:stroke weight="0.75pt" endcap="round" joinstyle="miter" miterlimit="10" on="true" color="#000000"/>
                  <v:fill on="false" color="#000000" opacity="0"/>
                </v:shape>
                <v:rect id="Rectangle 9633" style="position:absolute;width:25502;height:1843;left:5409;top:2238;" filled="f" stroked="f">
                  <v:textbox inset="0,0,0,0">
                    <w:txbxContent>
                      <w:p>
                        <w:pPr>
                          <w:spacing w:before="0" w:after="160" w:line="259" w:lineRule="auto"/>
                          <w:ind w:left="0" w:firstLine="0"/>
                          <w:jc w:val="left"/>
                        </w:pPr>
                        <w:r>
                          <w:rPr>
                            <w:sz w:val="24"/>
                          </w:rPr>
                          <w:t xml:space="preserve">Методы выявления и оценки </w:t>
                        </w:r>
                      </w:p>
                    </w:txbxContent>
                  </v:textbox>
                </v:rect>
                <v:rect id="Rectangle 9634" style="position:absolute;width:8971;height:1843;left:4601;top:3991;" filled="f" stroked="f">
                  <v:textbox inset="0,0,0,0">
                    <w:txbxContent>
                      <w:p>
                        <w:pPr>
                          <w:spacing w:before="0" w:after="160" w:line="259" w:lineRule="auto"/>
                          <w:ind w:left="0" w:firstLine="0"/>
                          <w:jc w:val="left"/>
                        </w:pPr>
                        <w:r>
                          <w:rPr>
                            <w:sz w:val="24"/>
                          </w:rPr>
                          <w:t xml:space="preserve">параметро</w:t>
                        </w:r>
                      </w:p>
                    </w:txbxContent>
                  </v:textbox>
                </v:rect>
                <v:rect id="Rectangle 9635" style="position:absolute;width:18201;height:1843;left:11353;top:3991;" filled="f" stroked="f">
                  <v:textbox inset="0,0,0,0">
                    <w:txbxContent>
                      <w:p>
                        <w:pPr>
                          <w:spacing w:before="0" w:after="160" w:line="259" w:lineRule="auto"/>
                          <w:ind w:left="0" w:firstLine="0"/>
                          <w:jc w:val="left"/>
                        </w:pPr>
                        <w:r>
                          <w:rPr>
                            <w:sz w:val="24"/>
                          </w:rPr>
                          <w:t xml:space="preserve">в теневой экономики</w:t>
                        </w:r>
                      </w:p>
                    </w:txbxContent>
                  </v:textbox>
                </v:rect>
                <v:rect id="Rectangle 9636" style="position:absolute;width:506;height:2243;left:25042;top:3690;" filled="f" stroked="f">
                  <v:textbox inset="0,0,0,0">
                    <w:txbxContent>
                      <w:p>
                        <w:pPr>
                          <w:spacing w:before="0" w:after="160" w:line="259" w:lineRule="auto"/>
                          <w:ind w:left="0" w:firstLine="0"/>
                          <w:jc w:val="left"/>
                        </w:pPr>
                        <w:r>
                          <w:rPr>
                            <w:sz w:val="24"/>
                          </w:rPr>
                          <w:t xml:space="preserve"> </w:t>
                        </w:r>
                      </w:p>
                    </w:txbxContent>
                  </v:textbox>
                </v:rect>
                <v:shape id="Shape 9638" style="position:absolute;width:12712;height:2921;left:28071;top:9486;" coordsize="1271270,292100" path="m0,292100l1271270,292100l1271270,0l0,0x">
                  <v:stroke weight="0.75pt" endcap="round" joinstyle="miter" miterlimit="10" on="true" color="#000000"/>
                  <v:fill on="false" color="#000000" opacity="0"/>
                </v:shape>
                <v:rect id="Rectangle 9639" style="position:absolute;width:12645;height:1843;left:29690;top:10365;" filled="f" stroked="f">
                  <v:textbox inset="0,0,0,0">
                    <w:txbxContent>
                      <w:p>
                        <w:pPr>
                          <w:spacing w:before="0" w:after="160" w:line="259" w:lineRule="auto"/>
                          <w:ind w:left="0" w:firstLine="0"/>
                          <w:jc w:val="left"/>
                        </w:pPr>
                        <w:r>
                          <w:rPr>
                            <w:sz w:val="24"/>
                          </w:rPr>
                          <w:t xml:space="preserve">бухгалтерский</w:t>
                        </w:r>
                      </w:p>
                    </w:txbxContent>
                  </v:textbox>
                </v:rect>
                <v:rect id="Rectangle 9640" style="position:absolute;width:506;height:2243;left:39203;top:10064;" filled="f" stroked="f">
                  <v:textbox inset="0,0,0,0">
                    <w:txbxContent>
                      <w:p>
                        <w:pPr>
                          <w:spacing w:before="0" w:after="160" w:line="259" w:lineRule="auto"/>
                          <w:ind w:left="0" w:firstLine="0"/>
                          <w:jc w:val="left"/>
                        </w:pPr>
                        <w:r>
                          <w:rPr>
                            <w:sz w:val="24"/>
                          </w:rPr>
                          <w:t xml:space="preserve"> </w:t>
                        </w:r>
                      </w:p>
                    </w:txbxContent>
                  </v:textbox>
                </v:rect>
                <v:shape id="Shape 9642" style="position:absolute;width:12712;height:2921;left:28071;top:13227;" coordsize="1271270,292100" path="m0,292100l1271270,292100l1271270,0l0,0x">
                  <v:stroke weight="0.75pt" endcap="round" joinstyle="miter" miterlimit="10" on="true" color="#000000"/>
                  <v:fill on="false" color="#000000" opacity="0"/>
                </v:shape>
                <v:rect id="Rectangle 9643" style="position:absolute;width:13474;height:1843;left:29370;top:14099;" filled="f" stroked="f">
                  <v:textbox inset="0,0,0,0">
                    <w:txbxContent>
                      <w:p>
                        <w:pPr>
                          <w:spacing w:before="0" w:after="160" w:line="259" w:lineRule="auto"/>
                          <w:ind w:left="0" w:firstLine="0"/>
                          <w:jc w:val="left"/>
                        </w:pPr>
                        <w:r>
                          <w:rPr>
                            <w:sz w:val="24"/>
                          </w:rPr>
                          <w:t xml:space="preserve">документальны</w:t>
                        </w:r>
                      </w:p>
                    </w:txbxContent>
                  </v:textbox>
                </v:rect>
                <v:rect id="Rectangle 9644" style="position:absolute;width:506;height:2243;left:34859;top:15550;" filled="f" stroked="f">
                  <v:textbox inset="0,0,0,0">
                    <w:txbxContent>
                      <w:p>
                        <w:pPr>
                          <w:spacing w:before="0" w:after="160" w:line="259" w:lineRule="auto"/>
                          <w:ind w:left="0" w:firstLine="0"/>
                          <w:jc w:val="left"/>
                        </w:pPr>
                        <w:r>
                          <w:rPr>
                            <w:sz w:val="24"/>
                          </w:rPr>
                          <w:t xml:space="preserve"> </w:t>
                        </w:r>
                      </w:p>
                    </w:txbxContent>
                  </v:textbox>
                </v:rect>
                <v:shape id="Shape 9646" style="position:absolute;width:12712;height:2921;left:28071;top:16973;" coordsize="1271270,292100" path="m0,292100l1271270,292100l1271270,0l0,0x">
                  <v:stroke weight="0.75pt" endcap="round" joinstyle="miter" miterlimit="10" on="true" color="#000000"/>
                  <v:fill on="false" color="#000000" opacity="0"/>
                </v:shape>
                <v:rect id="Rectangle 9647" style="position:absolute;width:13316;height:1843;left:29431;top:17848;" filled="f" stroked="f">
                  <v:textbox inset="0,0,0,0">
                    <w:txbxContent>
                      <w:p>
                        <w:pPr>
                          <w:spacing w:before="0" w:after="160" w:line="259" w:lineRule="auto"/>
                          <w:ind w:left="0" w:firstLine="0"/>
                          <w:jc w:val="left"/>
                        </w:pPr>
                        <w:r>
                          <w:rPr>
                            <w:sz w:val="24"/>
                          </w:rPr>
                          <w:t xml:space="preserve">экономический</w:t>
                        </w:r>
                      </w:p>
                    </w:txbxContent>
                  </v:textbox>
                </v:rect>
                <v:rect id="Rectangle 9648" style="position:absolute;width:506;height:2243;left:39446;top:17547;" filled="f" stroked="f">
                  <v:textbox inset="0,0,0,0">
                    <w:txbxContent>
                      <w:p>
                        <w:pPr>
                          <w:spacing w:before="0" w:after="160" w:line="259" w:lineRule="auto"/>
                          <w:ind w:left="0" w:firstLine="0"/>
                          <w:jc w:val="left"/>
                        </w:pPr>
                        <w:r>
                          <w:rPr>
                            <w:sz w:val="24"/>
                          </w:rPr>
                          <w:t xml:space="preserve"> </w:t>
                        </w:r>
                      </w:p>
                    </w:txbxContent>
                  </v:textbox>
                </v:rect>
                <v:shape id="Shape 9649" style="position:absolute;width:2057;height:0;left:26014;top:11048;" coordsize="205740,0" path="m0,0l205740,0">
                  <v:stroke weight="2.5pt" endcap="flat" joinstyle="round" on="true" color="#000000"/>
                  <v:fill on="false" color="#000000" opacity="0"/>
                </v:shape>
                <v:shape id="Shape 9650" style="position:absolute;width:2057;height:0;left:26014;top:18472;" coordsize="205740,0" path="m0,0l205740,0">
                  <v:stroke weight="2.5pt" endcap="flat" joinstyle="round" on="true" color="#000000"/>
                  <v:fill on="false" color="#000000" opacity="0"/>
                </v:shape>
                <v:shape id="Shape 9651" style="position:absolute;width:6553;height:0;left:21518;top:14693;" coordsize="655320,0" path="m0,0l655320,0">
                  <v:stroke weight="2.5pt" endcap="flat" joinstyle="round" on="true" color="#000000"/>
                  <v:fill on="false" color="#000000" opacity="0"/>
                </v:shape>
                <v:shape id="Shape 9652" style="position:absolute;width:6;height:7423;left:26014;top:11048;" coordsize="635,742315" path="m0,0l635,742315">
                  <v:stroke weight="2.5pt" endcap="flat" joinstyle="round" on="true" color="#000000"/>
                  <v:fill on="false" color="#000000" opacity="0"/>
                </v:shape>
                <v:shape id="Shape 9654" style="position:absolute;width:15062;height:3543;left:6456;top:8134;" coordsize="1506220,354330" path="m0,354330l1506220,354330l1506220,0l0,0x">
                  <v:stroke weight="0.75pt" endcap="round" joinstyle="miter" miterlimit="8" on="true" color="#000000"/>
                  <v:fill on="false" color="#000000" opacity="0"/>
                </v:shape>
                <v:rect id="Rectangle 9655" style="position:absolute;width:16969;height:1843;left:7604;top:9009;" filled="f" stroked="f">
                  <v:textbox inset="0,0,0,0">
                    <w:txbxContent>
                      <w:p>
                        <w:pPr>
                          <w:spacing w:before="0" w:after="160" w:line="259" w:lineRule="auto"/>
                          <w:ind w:left="0" w:firstLine="0"/>
                          <w:jc w:val="left"/>
                        </w:pPr>
                        <w:r>
                          <w:rPr>
                            <w:sz w:val="24"/>
                          </w:rPr>
                          <w:t xml:space="preserve">открытые проверки</w:t>
                        </w:r>
                      </w:p>
                    </w:txbxContent>
                  </v:textbox>
                </v:rect>
                <v:rect id="Rectangle 9656" style="position:absolute;width:506;height:2243;left:20363;top:8708;" filled="f" stroked="f">
                  <v:textbox inset="0,0,0,0">
                    <w:txbxContent>
                      <w:p>
                        <w:pPr>
                          <w:spacing w:before="0" w:after="160" w:line="259" w:lineRule="auto"/>
                          <w:ind w:left="0" w:firstLine="0"/>
                          <w:jc w:val="left"/>
                        </w:pPr>
                        <w:r>
                          <w:rPr>
                            <w:sz w:val="24"/>
                          </w:rPr>
                          <w:t xml:space="preserve"> </w:t>
                        </w:r>
                      </w:p>
                    </w:txbxContent>
                  </v:textbox>
                </v:rect>
                <v:shape id="Shape 9658" style="position:absolute;width:15062;height:4476;left:6456;top:12401;" coordsize="1506220,447675" path="m0,447675l1506220,447675l1506220,0l0,0x">
                  <v:stroke weight="0.75pt" endcap="round" joinstyle="miter" miterlimit="8" on="true" color="#000000"/>
                  <v:fill on="false" color="#000000" opacity="0"/>
                </v:shape>
                <v:rect id="Rectangle 9659" style="position:absolute;width:10509;height:1843;left:10225;top:13276;" filled="f" stroked="f">
                  <v:textbox inset="0,0,0,0">
                    <w:txbxContent>
                      <w:p>
                        <w:pPr>
                          <w:spacing w:before="0" w:after="160" w:line="259" w:lineRule="auto"/>
                          <w:ind w:left="0" w:firstLine="0"/>
                          <w:jc w:val="left"/>
                        </w:pPr>
                        <w:r>
                          <w:rPr>
                            <w:sz w:val="24"/>
                          </w:rPr>
                          <w:t xml:space="preserve">специально </w:t>
                        </w:r>
                      </w:p>
                    </w:txbxContent>
                  </v:textbox>
                </v:rect>
                <v:rect id="Rectangle 9660" style="position:absolute;width:9338;height:1843;left:10225;top:15029;" filled="f" stroked="f">
                  <v:textbox inset="0,0,0,0">
                    <w:txbxContent>
                      <w:p>
                        <w:pPr>
                          <w:spacing w:before="0" w:after="160" w:line="259" w:lineRule="auto"/>
                          <w:ind w:left="0" w:firstLine="0"/>
                          <w:jc w:val="left"/>
                        </w:pPr>
                        <w:r>
                          <w:rPr>
                            <w:sz w:val="24"/>
                          </w:rPr>
                          <w:t xml:space="preserve">экономико</w:t>
                        </w:r>
                      </w:p>
                    </w:txbxContent>
                  </v:textbox>
                </v:rect>
                <v:rect id="Rectangle 9661" style="position:absolute;width:674;height:2243;left:17254;top:14727;" filled="f" stroked="f">
                  <v:textbox inset="0,0,0,0">
                    <w:txbxContent>
                      <w:p>
                        <w:pPr>
                          <w:spacing w:before="0" w:after="160" w:line="259" w:lineRule="auto"/>
                          <w:ind w:left="0" w:firstLine="0"/>
                          <w:jc w:val="left"/>
                        </w:pPr>
                        <w:r>
                          <w:rPr>
                            <w:sz w:val="24"/>
                          </w:rPr>
                          <w:t xml:space="preserve">-</w:t>
                        </w:r>
                      </w:p>
                    </w:txbxContent>
                  </v:textbox>
                </v:rect>
                <v:shape id="Shape 9663" style="position:absolute;width:15062;height:3536;left:6456;top:17614;" coordsize="1506220,353695" path="m0,353695l1506220,353695l1506220,0l0,0x">
                  <v:stroke weight="0.75pt" endcap="round" joinstyle="miter" miterlimit="8" on="true" color="#000000"/>
                  <v:fill on="false" color="#000000" opacity="0"/>
                </v:shape>
                <v:rect id="Rectangle 9664" style="position:absolute;width:14399;height:1991;left:8564;top:18525;" filled="f" stroked="f">
                  <v:textbox inset="0,0,0,0">
                    <w:txbxContent>
                      <w:p>
                        <w:pPr>
                          <w:spacing w:before="0" w:after="160" w:line="259" w:lineRule="auto"/>
                          <w:ind w:left="0" w:firstLine="0"/>
                          <w:jc w:val="left"/>
                        </w:pPr>
                        <w:r>
                          <w:rPr>
                            <w:sz w:val="26"/>
                          </w:rPr>
                          <w:t xml:space="preserve">статистические</w:t>
                        </w:r>
                      </w:p>
                    </w:txbxContent>
                  </v:textbox>
                </v:rect>
                <v:rect id="Rectangle 9665" style="position:absolute;width:547;height:2423;left:19419;top:18200;" filled="f" stroked="f">
                  <v:textbox inset="0,0,0,0">
                    <w:txbxContent>
                      <w:p>
                        <w:pPr>
                          <w:spacing w:before="0" w:after="160" w:line="259" w:lineRule="auto"/>
                          <w:ind w:left="0" w:firstLine="0"/>
                          <w:jc w:val="left"/>
                        </w:pPr>
                        <w:r>
                          <w:rPr>
                            <w:sz w:val="26"/>
                          </w:rPr>
                          <w:t xml:space="preserve"> </w:t>
                        </w:r>
                      </w:p>
                    </w:txbxContent>
                  </v:textbox>
                </v:rect>
                <v:shape id="Shape 9666" style="position:absolute;width:0;height:13220;left:4398;top:5949;" coordsize="0,1322070" path="m0,0l0,1322070">
                  <v:stroke weight="2.5pt" endcap="flat" joinstyle="round" on="true" color="#000000"/>
                  <v:fill on="false" color="#000000" opacity="0"/>
                </v:shape>
                <v:shape id="Shape 9667" style="position:absolute;width:2057;height:0;left:4398;top:19170;" coordsize="205740,0" path="m0,0l205740,0">
                  <v:stroke weight="2.5pt" endcap="flat" joinstyle="round" on="true" color="#000000"/>
                  <v:fill on="false" color="#000000" opacity="0"/>
                </v:shape>
                <v:shape id="Shape 9668" style="position:absolute;width:2057;height:0;left:4398;top:14693;" coordsize="205740,0" path="m0,0l205740,0">
                  <v:stroke weight="2.5pt" endcap="flat" joinstyle="round" on="true" color="#000000"/>
                  <v:fill on="false" color="#000000" opacity="0"/>
                </v:shape>
                <v:shape id="Shape 9669" style="position:absolute;width:2057;height:0;left:4398;top:9480;" coordsize="205740,0" path="m0,0l205740,0">
                  <v:stroke weight="2.5pt" endcap="flat" joinstyle="round" on="true" color="#000000"/>
                  <v:fill on="false" color="#000000" opacity="0"/>
                </v:shape>
                <v:shape id="Shape 9671" style="position:absolute;width:17703;height:4679;left:10367;top:23336;" coordsize="1770380,467995" path="m0,467995l1770380,467995l1770380,0l0,0x">
                  <v:stroke weight="0.75pt" endcap="round" joinstyle="miter" miterlimit="8" on="true" color="#000000"/>
                  <v:fill on="false" color="#000000" opacity="0"/>
                </v:shape>
                <v:rect id="Rectangle 9672" style="position:absolute;width:15461;height:1843;left:11581;top:24203;" filled="f" stroked="f">
                  <v:textbox inset="0,0,0,0">
                    <w:txbxContent>
                      <w:p>
                        <w:pPr>
                          <w:spacing w:before="0" w:after="160" w:line="259" w:lineRule="auto"/>
                          <w:ind w:left="0" w:firstLine="0"/>
                          <w:jc w:val="left"/>
                        </w:pPr>
                        <w:r>
                          <w:rPr>
                            <w:sz w:val="24"/>
                          </w:rPr>
                          <w:t xml:space="preserve">методы специфич</w:t>
                        </w:r>
                      </w:p>
                    </w:txbxContent>
                  </v:textbox>
                </v:rect>
                <v:rect id="Rectangle 552585" style="position:absolute;width:2768;height:1843;left:23213;top:24203;" filled="f" stroked="f">
                  <v:textbox inset="0,0,0,0">
                    <w:txbxContent>
                      <w:p>
                        <w:pPr>
                          <w:spacing w:before="0" w:after="160" w:line="259" w:lineRule="auto"/>
                          <w:ind w:left="0" w:firstLine="0"/>
                          <w:jc w:val="left"/>
                        </w:pPr>
                        <w:r>
                          <w:rPr>
                            <w:sz w:val="24"/>
                          </w:rPr>
                          <w:t xml:space="preserve">еск</w:t>
                        </w:r>
                      </w:p>
                    </w:txbxContent>
                  </v:textbox>
                </v:rect>
                <v:rect id="Rectangle 552586" style="position:absolute;width:2594;height:1843;left:25300;top:24203;" filled="f" stroked="f">
                  <v:textbox inset="0,0,0,0">
                    <w:txbxContent>
                      <w:p>
                        <w:pPr>
                          <w:spacing w:before="0" w:after="160" w:line="259" w:lineRule="auto"/>
                          <w:ind w:left="0" w:firstLine="0"/>
                          <w:jc w:val="left"/>
                        </w:pPr>
                        <w:r>
                          <w:rPr>
                            <w:sz w:val="24"/>
                          </w:rPr>
                          <w:t xml:space="preserve">их </w:t>
                        </w:r>
                      </w:p>
                    </w:txbxContent>
                  </v:textbox>
                </v:rect>
                <v:rect id="Rectangle 9674" style="position:absolute;width:11056;height:1843;left:15075;top:25956;" filled="f" stroked="f">
                  <v:textbox inset="0,0,0,0">
                    <w:txbxContent>
                      <w:p>
                        <w:pPr>
                          <w:spacing w:before="0" w:after="160" w:line="259" w:lineRule="auto"/>
                          <w:ind w:left="0" w:firstLine="0"/>
                          <w:jc w:val="left"/>
                        </w:pPr>
                        <w:r>
                          <w:rPr>
                            <w:sz w:val="24"/>
                          </w:rPr>
                          <w:t xml:space="preserve">индикаторов</w:t>
                        </w:r>
                      </w:p>
                    </w:txbxContent>
                  </v:textbox>
                </v:rect>
                <v:rect id="Rectangle 9675" style="position:absolute;width:506;height:2243;left:23381;top:25654;" filled="f" stroked="f">
                  <v:textbox inset="0,0,0,0">
                    <w:txbxContent>
                      <w:p>
                        <w:pPr>
                          <w:spacing w:before="0" w:after="160" w:line="259" w:lineRule="auto"/>
                          <w:ind w:left="0" w:firstLine="0"/>
                          <w:jc w:val="left"/>
                        </w:pPr>
                        <w:r>
                          <w:rPr>
                            <w:sz w:val="24"/>
                          </w:rPr>
                          <w:t xml:space="preserve"> </w:t>
                        </w:r>
                      </w:p>
                    </w:txbxContent>
                  </v:textbox>
                </v:rect>
                <v:shape id="Shape 9677" style="position:absolute;width:17703;height:4476;left:10367;top:28740;" coordsize="1770380,447675" path="m0,447675l1770380,447675l1770380,0l0,0x">
                  <v:stroke weight="0.75pt" endcap="round" joinstyle="miter" miterlimit="8" on="true" color="#000000"/>
                  <v:fill on="false" color="#000000" opacity="0"/>
                </v:shape>
                <v:rect id="Rectangle 9678" style="position:absolute;width:14366;height:1843;left:14005;top:29613;" filled="f" stroked="f">
                  <v:textbox inset="0,0,0,0">
                    <w:txbxContent>
                      <w:p>
                        <w:pPr>
                          <w:spacing w:before="0" w:after="160" w:line="259" w:lineRule="auto"/>
                          <w:ind w:left="0" w:firstLine="0"/>
                          <w:jc w:val="left"/>
                        </w:pPr>
                        <w:r>
                          <w:rPr>
                            <w:sz w:val="24"/>
                          </w:rPr>
                          <w:t xml:space="preserve">методы мягкого </w:t>
                        </w:r>
                      </w:p>
                    </w:txbxContent>
                  </v:textbox>
                </v:rect>
                <v:rect id="Rectangle 9679" style="position:absolute;width:13310;height:1843;left:14218;top:31368;" filled="f" stroked="f">
                  <v:textbox inset="0,0,0,0">
                    <w:txbxContent>
                      <w:p>
                        <w:pPr>
                          <w:spacing w:before="0" w:after="160" w:line="259" w:lineRule="auto"/>
                          <w:ind w:left="0" w:firstLine="0"/>
                          <w:jc w:val="left"/>
                        </w:pPr>
                        <w:r>
                          <w:rPr>
                            <w:sz w:val="24"/>
                          </w:rPr>
                          <w:t xml:space="preserve">моделирования</w:t>
                        </w:r>
                      </w:p>
                    </w:txbxContent>
                  </v:textbox>
                </v:rect>
                <v:rect id="Rectangle 9680" style="position:absolute;width:506;height:2243;left:24234;top:31067;" filled="f" stroked="f">
                  <v:textbox inset="0,0,0,0">
                    <w:txbxContent>
                      <w:p>
                        <w:pPr>
                          <w:spacing w:before="0" w:after="160" w:line="259" w:lineRule="auto"/>
                          <w:ind w:left="0" w:firstLine="0"/>
                          <w:jc w:val="left"/>
                        </w:pPr>
                        <w:r>
                          <w:rPr>
                            <w:sz w:val="24"/>
                          </w:rPr>
                          <w:t xml:space="preserve"> </w:t>
                        </w:r>
                      </w:p>
                    </w:txbxContent>
                  </v:textbox>
                </v:rect>
                <v:shape id="Shape 9682" style="position:absolute;width:17703;height:3536;left:10367;top:33845;" coordsize="1770380,353695" path="m0,353695l1770380,353695l1770380,0l0,0x">
                  <v:stroke weight="0.75pt" endcap="round" joinstyle="miter" miterlimit="8" on="true" color="#000000"/>
                  <v:fill on="false" color="#000000" opacity="0"/>
                </v:shape>
                <v:rect id="Rectangle 552584" style="position:absolute;width:1114;height:1991;left:25230;top:34759;" filled="f" stroked="f">
                  <v:textbox inset="0,0,0,0">
                    <w:txbxContent>
                      <w:p>
                        <w:pPr>
                          <w:spacing w:before="0" w:after="160" w:line="259" w:lineRule="auto"/>
                          <w:ind w:left="0" w:firstLine="0"/>
                          <w:jc w:val="left"/>
                        </w:pPr>
                        <w:r>
                          <w:rPr>
                            <w:sz w:val="26"/>
                          </w:rPr>
                          <w:t xml:space="preserve">д</w:t>
                        </w:r>
                      </w:p>
                    </w:txbxContent>
                  </v:textbox>
                </v:rect>
                <v:rect id="Rectangle 552583" style="position:absolute;width:17118;height:1991;left:12359;top:34759;" filled="f" stroked="f">
                  <v:textbox inset="0,0,0,0">
                    <w:txbxContent>
                      <w:p>
                        <w:pPr>
                          <w:spacing w:before="0" w:after="160" w:line="259" w:lineRule="auto"/>
                          <w:ind w:left="0" w:firstLine="0"/>
                          <w:jc w:val="left"/>
                        </w:pPr>
                        <w:r>
                          <w:rPr>
                            <w:sz w:val="26"/>
                          </w:rPr>
                          <w:t xml:space="preserve">структурный мето</w:t>
                        </w:r>
                      </w:p>
                    </w:txbxContent>
                  </v:textbox>
                </v:rect>
                <v:rect id="Rectangle 9684" style="position:absolute;width:547;height:2423;left:26094;top:34433;" filled="f" stroked="f">
                  <v:textbox inset="0,0,0,0">
                    <w:txbxContent>
                      <w:p>
                        <w:pPr>
                          <w:spacing w:before="0" w:after="160" w:line="259" w:lineRule="auto"/>
                          <w:ind w:left="0" w:firstLine="0"/>
                          <w:jc w:val="left"/>
                        </w:pPr>
                        <w:r>
                          <w:rPr>
                            <w:sz w:val="26"/>
                          </w:rPr>
                          <w:t xml:space="preserve"> </w:t>
                        </w:r>
                      </w:p>
                    </w:txbxContent>
                  </v:textbox>
                </v:rect>
                <v:shape id="Shape 9686" style="position:absolute;width:17703;height:3536;left:10367;top:38112;" coordsize="1770380,353695" path="m0,353695l1770380,353695l1770380,0l0,0x">
                  <v:stroke weight="0.75pt" endcap="round" joinstyle="miter" miterlimit="8" on="true" color="#000000"/>
                  <v:fill on="false" color="#000000" opacity="0"/>
                </v:shape>
                <v:rect id="Rectangle 9687" style="position:absolute;width:17081;height:1991;left:12785;top:39026;" filled="f" stroked="f">
                  <v:textbox inset="0,0,0,0">
                    <w:txbxContent>
                      <w:p>
                        <w:pPr>
                          <w:spacing w:before="0" w:after="160" w:line="259" w:lineRule="auto"/>
                          <w:ind w:left="0" w:firstLine="0"/>
                          <w:jc w:val="left"/>
                        </w:pPr>
                        <w:r>
                          <w:rPr>
                            <w:sz w:val="26"/>
                          </w:rPr>
                          <w:t xml:space="preserve">экспертный метод</w:t>
                        </w:r>
                      </w:p>
                    </w:txbxContent>
                  </v:textbox>
                </v:rect>
                <v:rect id="Rectangle 9688" style="position:absolute;width:547;height:2423;left:25652;top:38701;" filled="f" stroked="f">
                  <v:textbox inset="0,0,0,0">
                    <w:txbxContent>
                      <w:p>
                        <w:pPr>
                          <w:spacing w:before="0" w:after="160" w:line="259" w:lineRule="auto"/>
                          <w:ind w:left="0" w:firstLine="0"/>
                          <w:jc w:val="left"/>
                        </w:pPr>
                        <w:r>
                          <w:rPr>
                            <w:sz w:val="26"/>
                          </w:rPr>
                          <w:t xml:space="preserve"> </w:t>
                        </w:r>
                      </w:p>
                    </w:txbxContent>
                  </v:textbox>
                </v:rect>
                <v:shape id="Shape 9689" style="position:absolute;width:0;height:18103;left:8323;top:21151;" coordsize="0,1810385" path="m0,0l0,1810385">
                  <v:stroke weight="2.5pt" endcap="flat" joinstyle="round" on="true" color="#000000"/>
                  <v:fill on="false" color="#000000" opacity="0"/>
                </v:shape>
                <v:shape id="Shape 9690" style="position:absolute;width:2057;height:0;left:8310;top:35401;" coordsize="205740,0" path="m0,0l205740,0">
                  <v:stroke weight="2.5pt" endcap="flat" joinstyle="round" on="true" color="#000000"/>
                  <v:fill on="false" color="#000000" opacity="0"/>
                </v:shape>
                <v:shape id="Shape 9691" style="position:absolute;width:2057;height:0;left:8310;top:30924;" coordsize="205740,0" path="m0,0l205740,0">
                  <v:stroke weight="2.5pt" endcap="flat" joinstyle="round" on="true" color="#000000"/>
                  <v:fill on="false" color="#000000" opacity="0"/>
                </v:shape>
                <v:shape id="Shape 9692" style="position:absolute;width:2057;height:0;left:8310;top:25717;" coordsize="205740,0" path="m0,0l205740,0">
                  <v:stroke weight="2.5pt" endcap="flat" joinstyle="round" on="true" color="#000000"/>
                  <v:fill on="false" color="#000000" opacity="0"/>
                </v:shape>
                <v:shape id="Shape 9693" style="position:absolute;width:2057;height:0;left:8310;top:39363;" coordsize="205740,0" path="m0,0l205740,0">
                  <v:stroke weight="2.5pt" endcap="flat" joinstyle="round" on="true" color="#000000"/>
                  <v:fill on="false" color="#000000" opacity="0"/>
                </v:shape>
                <v:shape id="Shape 9695" style="position:absolute;width:13506;height:2616;left:32072;top:22809;" coordsize="1350645,261620" path="m0,261620l1350645,261620l1350645,0l0,0x">
                  <v:stroke weight="0.75pt" endcap="round" joinstyle="miter" miterlimit="8" on="true" color="#000000"/>
                  <v:fill on="false" color="#000000" opacity="0"/>
                </v:shape>
                <v:rect id="Rectangle 9696" style="position:absolute;width:13539;height:1843;left:33731;top:23685;" filled="f" stroked="f">
                  <v:textbox inset="0,0,0,0">
                    <w:txbxContent>
                      <w:p>
                        <w:pPr>
                          <w:spacing w:before="0" w:after="160" w:line="259" w:lineRule="auto"/>
                          <w:ind w:left="0" w:firstLine="0"/>
                          <w:jc w:val="left"/>
                        </w:pPr>
                        <w:r>
                          <w:rPr>
                            <w:sz w:val="24"/>
                          </w:rPr>
                          <w:t xml:space="preserve">прямые методы</w:t>
                        </w:r>
                      </w:p>
                    </w:txbxContent>
                  </v:textbox>
                </v:rect>
                <v:rect id="Rectangle 9697" style="position:absolute;width:506;height:2243;left:43927;top:23384;" filled="f" stroked="f">
                  <v:textbox inset="0,0,0,0">
                    <w:txbxContent>
                      <w:p>
                        <w:pPr>
                          <w:spacing w:before="0" w:after="160" w:line="259" w:lineRule="auto"/>
                          <w:ind w:left="0" w:firstLine="0"/>
                          <w:jc w:val="left"/>
                        </w:pPr>
                        <w:r>
                          <w:rPr>
                            <w:sz w:val="24"/>
                          </w:rPr>
                          <w:t xml:space="preserve"> </w:t>
                        </w:r>
                      </w:p>
                    </w:txbxContent>
                  </v:textbox>
                </v:rect>
                <v:shape id="Shape 9699" style="position:absolute;width:13506;height:2508;left:32072;top:25914;" coordsize="1350645,250825" path="m0,250825l1350645,250825l1350645,0l0,0x">
                  <v:stroke weight="0.75pt" endcap="round" joinstyle="miter" miterlimit="8" on="true" color="#000000"/>
                  <v:fill on="false" color="#000000" opacity="0"/>
                </v:shape>
                <v:rect id="Rectangle 9700" style="position:absolute;width:9682;height:1843;left:35377;top:26794;" filled="f" stroked="f">
                  <v:textbox inset="0,0,0,0">
                    <w:txbxContent>
                      <w:p>
                        <w:pPr>
                          <w:spacing w:before="0" w:after="160" w:line="259" w:lineRule="auto"/>
                          <w:ind w:left="0" w:firstLine="0"/>
                          <w:jc w:val="left"/>
                        </w:pPr>
                        <w:r>
                          <w:rPr>
                            <w:sz w:val="24"/>
                          </w:rPr>
                          <w:t xml:space="preserve">косвенные </w:t>
                        </w:r>
                      </w:p>
                    </w:txbxContent>
                  </v:textbox>
                </v:rect>
                <v:shape id="Shape 9701" style="position:absolute;width:2057;height:0;left:30014;top:27057;" coordsize="205740,0" path="m0,0l205740,0">
                  <v:stroke weight="2.5pt" endcap="flat" joinstyle="round" on="true" color="#000000"/>
                  <v:fill on="false" color="#000000" opacity="0"/>
                </v:shape>
                <v:shape id="Shape 9702" style="position:absolute;width:2057;height:0;left:30014;top:23958;" coordsize="205740,0" path="m0,0l205740,0">
                  <v:stroke weight="2.5pt" endcap="flat" joinstyle="round" on="true" color="#000000"/>
                  <v:fill on="false" color="#000000" opacity="0"/>
                </v:shape>
                <v:shape id="Shape 9703" style="position:absolute;width:0;height:3098;left:30021;top:23958;" coordsize="0,309880" path="m0,0l0,309880">
                  <v:stroke weight="2.5pt" endcap="flat" joinstyle="round" on="true" color="#000000"/>
                  <v:fill on="false" color="#000000" opacity="0"/>
                </v:shape>
                <v:shape id="Shape 9704" style="position:absolute;width:2057;height:0;left:28071;top:25425;" coordsize="205740,0" path="m0,0l205740,0">
                  <v:stroke weight="2.5pt" endcap="flat" joinstyle="round" on="true" color="#000000"/>
                  <v:fill on="false" color="#000000" opacity="0"/>
                </v:shape>
                <v:shape id="Shape 9706" style="position:absolute;width:20726;height:2381;left:36567;top:29229;" coordsize="2072640,238125" path="m0,238125l2072640,238125l2072640,0l0,0x">
                  <v:stroke weight="0.75pt" endcap="round" joinstyle="miter" miterlimit="8" on="true" color="#000000"/>
                  <v:fill on="false" color="#000000" opacity="0"/>
                </v:shape>
                <v:rect id="Rectangle 9707" style="position:absolute;width:20092;height:1530;left:39538;top:30052;" filled="f" stroked="f">
                  <v:textbox inset="0,0,0,0">
                    <w:txbxContent>
                      <w:p>
                        <w:pPr>
                          <w:spacing w:before="0" w:after="160" w:line="259" w:lineRule="auto"/>
                          <w:ind w:left="0" w:firstLine="0"/>
                          <w:jc w:val="left"/>
                        </w:pPr>
                        <w:r>
                          <w:rPr>
                            <w:sz w:val="20"/>
                          </w:rPr>
                          <w:t xml:space="preserve">метод сравнения доходов и </w:t>
                        </w:r>
                      </w:p>
                    </w:txbxContent>
                  </v:textbox>
                </v:rect>
                <v:shape id="Shape 9709" style="position:absolute;width:20815;height:2679;left:36478;top:32594;" coordsize="2081530,267970" path="m0,267970l2081530,267970l2081530,0l0,0x">
                  <v:stroke weight="0.75pt" endcap="round" joinstyle="miter" miterlimit="8" on="true" color="#000000"/>
                  <v:fill on="false" color="#000000" opacity="0"/>
                </v:shape>
                <v:rect id="Rectangle 9710" style="position:absolute;width:19604;height:1530;left:39675;top:33423;" filled="f" stroked="f">
                  <v:textbox inset="0,0,0,0">
                    <w:txbxContent>
                      <w:p>
                        <w:pPr>
                          <w:spacing w:before="0" w:after="160" w:line="259" w:lineRule="auto"/>
                          <w:ind w:left="0" w:firstLine="0"/>
                          <w:jc w:val="left"/>
                        </w:pPr>
                        <w:r>
                          <w:rPr>
                            <w:sz w:val="20"/>
                          </w:rPr>
                          <w:t xml:space="preserve">методы физических затрат </w:t>
                        </w:r>
                      </w:p>
                    </w:txbxContent>
                  </v:textbox>
                </v:rect>
                <v:rect id="Rectangle 9711" style="position:absolute;width:420;height:1862;left:49311;top:34636;" filled="f" stroked="f">
                  <v:textbox inset="0,0,0,0">
                    <w:txbxContent>
                      <w:p>
                        <w:pPr>
                          <w:spacing w:before="0" w:after="160" w:line="259" w:lineRule="auto"/>
                          <w:ind w:left="0" w:firstLine="0"/>
                          <w:jc w:val="left"/>
                        </w:pPr>
                        <w:r>
                          <w:rPr>
                            <w:sz w:val="20"/>
                          </w:rPr>
                          <w:t xml:space="preserve"> </w:t>
                        </w:r>
                      </w:p>
                    </w:txbxContent>
                  </v:textbox>
                </v:rect>
                <v:shape id="Shape 9713" style="position:absolute;width:20815;height:3822;left:36478;top:36099;" coordsize="2081530,382270" path="m0,382270l2081530,382270l2081530,0l0,0x">
                  <v:stroke weight="0.75pt" endcap="round" joinstyle="miter" miterlimit="8" on="true" color="#000000"/>
                  <v:fill on="false" color="#000000" opacity="0"/>
                </v:shape>
                <v:rect id="Rectangle 9714" style="position:absolute;width:22272;height:1530;left:38669;top:36928;" filled="f" stroked="f">
                  <v:textbox inset="0,0,0,0">
                    <w:txbxContent>
                      <w:p>
                        <w:pPr>
                          <w:spacing w:before="0" w:after="160" w:line="259" w:lineRule="auto"/>
                          <w:ind w:left="0" w:firstLine="0"/>
                          <w:jc w:val="left"/>
                        </w:pPr>
                        <w:r>
                          <w:rPr>
                            <w:sz w:val="20"/>
                          </w:rPr>
                          <w:t xml:space="preserve">методы оценки по показателю </w:t>
                        </w:r>
                      </w:p>
                    </w:txbxContent>
                  </v:textbox>
                </v:rect>
                <v:rect id="Rectangle 9715" style="position:absolute;width:7469;height:1530;left:44247;top:38391;" filled="f" stroked="f">
                  <v:textbox inset="0,0,0,0">
                    <w:txbxContent>
                      <w:p>
                        <w:pPr>
                          <w:spacing w:before="0" w:after="160" w:line="259" w:lineRule="auto"/>
                          <w:ind w:left="0" w:firstLine="0"/>
                          <w:jc w:val="left"/>
                        </w:pPr>
                        <w:r>
                          <w:rPr>
                            <w:sz w:val="20"/>
                          </w:rPr>
                          <w:t xml:space="preserve">занятости </w:t>
                        </w:r>
                      </w:p>
                    </w:txbxContent>
                  </v:textbox>
                </v:rect>
                <v:rect id="Rectangle 9716" style="position:absolute;width:420;height:1862;left:49890;top:38141;" filled="f" stroked="f">
                  <v:textbox inset="0,0,0,0">
                    <w:txbxContent>
                      <w:p>
                        <w:pPr>
                          <w:spacing w:before="0" w:after="160" w:line="259" w:lineRule="auto"/>
                          <w:ind w:left="0" w:firstLine="0"/>
                          <w:jc w:val="left"/>
                        </w:pPr>
                        <w:r>
                          <w:rPr>
                            <w:sz w:val="20"/>
                          </w:rPr>
                          <w:t xml:space="preserve"> </w:t>
                        </w:r>
                      </w:p>
                    </w:txbxContent>
                  </v:textbox>
                </v:rect>
                <v:shape id="Shape 9718" style="position:absolute;width:20815;height:2565;left:36478;top:40347;" coordsize="2081530,256541" path="m0,256541l2081530,256541l2081530,0l0,0x">
                  <v:stroke weight="0.75pt" endcap="round" joinstyle="miter" miterlimit="8" on="true" color="#000000"/>
                  <v:fill on="false" color="#000000" opacity="0"/>
                </v:shape>
                <v:rect id="Rectangle 9719" style="position:absolute;width:13495;height:1530;left:41809;top:41180;" filled="f" stroked="f">
                  <v:textbox inset="0,0,0,0">
                    <w:txbxContent>
                      <w:p>
                        <w:pPr>
                          <w:spacing w:before="0" w:after="160" w:line="259" w:lineRule="auto"/>
                          <w:ind w:left="0" w:firstLine="0"/>
                          <w:jc w:val="left"/>
                        </w:pPr>
                        <w:r>
                          <w:rPr>
                            <w:sz w:val="20"/>
                          </w:rPr>
                          <w:t xml:space="preserve">монетарный метод</w:t>
                        </w:r>
                      </w:p>
                    </w:txbxContent>
                  </v:textbox>
                </v:rect>
                <v:rect id="Rectangle 9720" style="position:absolute;width:420;height:1862;left:51978;top:40930;" filled="f" stroked="f">
                  <v:textbox inset="0,0,0,0">
                    <w:txbxContent>
                      <w:p>
                        <w:pPr>
                          <w:spacing w:before="0" w:after="160" w:line="259" w:lineRule="auto"/>
                          <w:ind w:left="0" w:firstLine="0"/>
                          <w:jc w:val="left"/>
                        </w:pPr>
                        <w:r>
                          <w:rPr>
                            <w:sz w:val="20"/>
                          </w:rPr>
                          <w:t xml:space="preserve"> </w:t>
                        </w:r>
                      </w:p>
                    </w:txbxContent>
                  </v:textbox>
                </v:rect>
                <v:shape id="Shape 9722" style="position:absolute;width:20815;height:2387;left:36478;top:43510;" coordsize="2081530,238761" path="m0,238761l2081530,238761l2081530,0l0,0x">
                  <v:stroke weight="0.75pt" endcap="round" joinstyle="miter" miterlimit="8" on="true" color="#000000"/>
                  <v:fill on="false" color="#000000" opacity="0"/>
                </v:shape>
                <v:rect id="Rectangle 9723" style="position:absolute;width:20788;height:1530;left:38867;top:44334;" filled="f" stroked="f">
                  <v:textbox inset="0,0,0,0">
                    <w:txbxContent>
                      <w:p>
                        <w:pPr>
                          <w:spacing w:before="0" w:after="160" w:line="259" w:lineRule="auto"/>
                          <w:ind w:left="0" w:firstLine="0"/>
                          <w:jc w:val="left"/>
                        </w:pPr>
                        <w:r>
                          <w:rPr>
                            <w:sz w:val="20"/>
                          </w:rPr>
                          <w:t xml:space="preserve">трансактный (операционный</w:t>
                        </w:r>
                      </w:p>
                    </w:txbxContent>
                  </v:textbox>
                </v:rect>
                <v:rect id="Rectangle 9724" style="position:absolute;width:560;height:1862;left:54507;top:44084;" filled="f" stroked="f">
                  <v:textbox inset="0,0,0,0">
                    <w:txbxContent>
                      <w:p>
                        <w:pPr>
                          <w:spacing w:before="0" w:after="160" w:line="259" w:lineRule="auto"/>
                          <w:ind w:left="0" w:firstLine="0"/>
                          <w:jc w:val="left"/>
                        </w:pPr>
                        <w:r>
                          <w:rPr>
                            <w:sz w:val="20"/>
                          </w:rPr>
                          <w:t xml:space="preserve">)</w:t>
                        </w:r>
                      </w:p>
                    </w:txbxContent>
                  </v:textbox>
                </v:rect>
                <v:rect id="Rectangle 9725" style="position:absolute;width:420;height:1862;left:54934;top:44084;" filled="f" stroked="f">
                  <v:textbox inset="0,0,0,0">
                    <w:txbxContent>
                      <w:p>
                        <w:pPr>
                          <w:spacing w:before="0" w:after="160" w:line="259" w:lineRule="auto"/>
                          <w:ind w:left="0" w:firstLine="0"/>
                          <w:jc w:val="left"/>
                        </w:pPr>
                        <w:r>
                          <w:rPr>
                            <w:sz w:val="20"/>
                          </w:rPr>
                          <w:t xml:space="preserve"> </w:t>
                        </w:r>
                      </w:p>
                    </w:txbxContent>
                  </v:textbox>
                </v:rect>
                <v:shape id="Shape 9727" style="position:absolute;width:20815;height:2286;left:36478;top:46501;" coordsize="2081530,228600" path="m0,228600l2081530,228600l2081530,0l0,0x">
                  <v:stroke weight="0.75pt" endcap="round" joinstyle="miter" miterlimit="8" on="true" color="#000000"/>
                  <v:fill on="false" color="#000000" opacity="0"/>
                </v:shape>
                <v:rect id="Rectangle 9728" style="position:absolute;width:17728;height:1530;left:40224;top:47321;" filled="f" stroked="f">
                  <v:textbox inset="0,0,0,0">
                    <w:txbxContent>
                      <w:p>
                        <w:pPr>
                          <w:spacing w:before="0" w:after="160" w:line="259" w:lineRule="auto"/>
                          <w:ind w:left="0" w:firstLine="0"/>
                          <w:jc w:val="left"/>
                        </w:pPr>
                        <w:r>
                          <w:rPr>
                            <w:sz w:val="20"/>
                          </w:rPr>
                          <w:t xml:space="preserve">метод товарных потоков</w:t>
                        </w:r>
                      </w:p>
                    </w:txbxContent>
                  </v:textbox>
                </v:rect>
                <v:rect id="Rectangle 9729" style="position:absolute;width:420;height:1862;left:53578;top:47071;" filled="f" stroked="f">
                  <v:textbox inset="0,0,0,0">
                    <w:txbxContent>
                      <w:p>
                        <w:pPr>
                          <w:spacing w:before="0" w:after="160" w:line="259" w:lineRule="auto"/>
                          <w:ind w:left="0" w:firstLine="0"/>
                          <w:jc w:val="left"/>
                        </w:pPr>
                        <w:r>
                          <w:rPr>
                            <w:sz w:val="20"/>
                          </w:rPr>
                          <w:t xml:space="preserve"> </w:t>
                        </w:r>
                      </w:p>
                    </w:txbxContent>
                  </v:textbox>
                </v:rect>
                <v:shape id="Shape 9730" style="position:absolute;width:0;height:19056;left:33837;top:28422;" coordsize="0,1905635" path="m0,0l0,1905635">
                  <v:stroke weight="2.5pt" endcap="flat" joinstyle="round" on="true" color="#000000"/>
                  <v:fill on="false" color="#000000" opacity="0"/>
                </v:shape>
                <v:shape id="Shape 9731" style="position:absolute;width:2641;height:0;left:33926;top:47478;" coordsize="264160,0" path="m0,0l264160,0">
                  <v:stroke weight="2.5pt" endcap="flat" joinstyle="round" on="true" color="#000000"/>
                  <v:fill on="false" color="#000000" opacity="0"/>
                </v:shape>
                <v:shape id="Shape 9732" style="position:absolute;width:2641;height:0;left:33926;top:44773;" coordsize="264160,0" path="m0,0l264160,0">
                  <v:stroke weight="2.5pt" endcap="flat" joinstyle="round" on="true" color="#000000"/>
                  <v:fill on="false" color="#000000" opacity="0"/>
                </v:shape>
                <v:shape id="Shape 9733" style="position:absolute;width:2641;height:0;left:33837;top:37877;" coordsize="264160,0" path="m0,0l264160,0">
                  <v:stroke weight="2.5pt" endcap="flat" joinstyle="round" on="true" color="#000000"/>
                  <v:fill on="false" color="#000000" opacity="0"/>
                </v:shape>
                <v:shape id="Shape 9734" style="position:absolute;width:3213;height:6;left:33926;top:33915;" coordsize="321310,635" path="m0,0l321310,635">
                  <v:stroke weight="2.5pt" endcap="flat" joinstyle="round" on="true" color="#000000"/>
                  <v:fill on="false" color="#000000" opacity="0"/>
                </v:shape>
                <v:shape id="Shape 9735" style="position:absolute;width:2641;height:0;left:33926;top:30422;" coordsize="264160,0" path="m0,0l264160,0">
                  <v:stroke weight="2.5pt" endcap="flat" joinstyle="round" on="true" color="#000000"/>
                  <v:fill on="false" color="#000000" opacity="0"/>
                </v:shape>
                <v:shape id="Shape 9736" style="position:absolute;width:2641;height:0;left:33926;top:41649;" coordsize="264160,0" path="m0,0l264160,0">
                  <v:stroke weight="2.5pt" endcap="flat" joinstyle="round" on="true" color="#000000"/>
                  <v:fill on="false" color="#000000" opacity="0"/>
                </v:shape>
              </v:group>
            </w:pict>
          </mc:Fallback>
        </mc:AlternateContent>
      </w:r>
    </w:p>
    <w:p w:rsidR="002C0F56" w:rsidRDefault="00E67C6E">
      <w:pPr>
        <w:spacing w:after="5" w:line="271" w:lineRule="auto"/>
        <w:ind w:left="1345" w:right="396" w:hanging="10"/>
        <w:jc w:val="left"/>
      </w:pPr>
      <w:r>
        <w:rPr>
          <w:b/>
          <w:sz w:val="24"/>
        </w:rPr>
        <w:t xml:space="preserve">Рис. 1. Методы выявления и оценки параметров теневой экономики [2] </w:t>
      </w:r>
    </w:p>
    <w:p w:rsidR="002C0F56" w:rsidRDefault="00E67C6E">
      <w:pPr>
        <w:spacing w:after="0" w:line="259" w:lineRule="auto"/>
        <w:ind w:left="744" w:firstLine="0"/>
        <w:jc w:val="left"/>
      </w:pPr>
      <w:r>
        <w:t xml:space="preserve"> </w:t>
      </w:r>
    </w:p>
    <w:p w:rsidR="002C0F56" w:rsidRDefault="00E67C6E">
      <w:pPr>
        <w:ind w:left="165" w:right="871"/>
      </w:pPr>
      <w:r>
        <w:t xml:space="preserve">В своих исследованиях Аппанова Ю. Э., Воякина Е. В., Казанцева С.С., Сулейманова Н. Х., Чернова И. С. и ряд других ученых достаточно полно </w:t>
      </w:r>
      <w:r>
        <w:lastRenderedPageBreak/>
        <w:t>раскрыли сущность вышеуказанных методов, а также провели сравнительный анализ их недостатков и преимуществ [4]. Однак</w:t>
      </w:r>
      <w:r>
        <w:t xml:space="preserve">о, каждый из ученых исследовали частично методы, исходя из решаемых задач и целей исследования.  </w:t>
      </w:r>
    </w:p>
    <w:p w:rsidR="002C0F56" w:rsidRDefault="00E67C6E">
      <w:pPr>
        <w:spacing w:after="11"/>
        <w:ind w:left="165" w:right="872"/>
      </w:pPr>
      <w:r>
        <w:t>Следовательно, возникает необходимость в анализе и обобщении существующих методов оценки величины теневой экономики, которая разработана авторами и представле</w:t>
      </w:r>
      <w:r>
        <w:t xml:space="preserve">на в таблице 1.  </w:t>
      </w:r>
    </w:p>
    <w:p w:rsidR="002C0F56" w:rsidRDefault="00E67C6E">
      <w:pPr>
        <w:spacing w:after="0" w:line="259" w:lineRule="auto"/>
        <w:ind w:left="744" w:firstLine="0"/>
        <w:jc w:val="left"/>
      </w:pPr>
      <w:r>
        <w:t xml:space="preserve"> </w:t>
      </w:r>
    </w:p>
    <w:p w:rsidR="002C0F56" w:rsidRDefault="00E67C6E">
      <w:pPr>
        <w:pStyle w:val="4"/>
        <w:ind w:left="1181" w:right="1861"/>
      </w:pPr>
      <w:r>
        <w:rPr>
          <w:b w:val="0"/>
          <w:i/>
        </w:rPr>
        <w:t>Таблица 1</w:t>
      </w:r>
      <w:r>
        <w:rPr>
          <w:b w:val="0"/>
        </w:rPr>
        <w:t xml:space="preserve"> – </w:t>
      </w:r>
      <w:r>
        <w:t xml:space="preserve">Методы оценки величины теневой экономики </w:t>
      </w:r>
    </w:p>
    <w:tbl>
      <w:tblPr>
        <w:tblStyle w:val="TableGrid"/>
        <w:tblW w:w="9748" w:type="dxa"/>
        <w:tblInd w:w="72" w:type="dxa"/>
        <w:tblCellMar>
          <w:top w:w="17" w:type="dxa"/>
          <w:left w:w="108" w:type="dxa"/>
          <w:bottom w:w="0" w:type="dxa"/>
          <w:right w:w="46" w:type="dxa"/>
        </w:tblCellMar>
        <w:tblLook w:val="04A0" w:firstRow="1" w:lastRow="0" w:firstColumn="1" w:lastColumn="0" w:noHBand="0" w:noVBand="1"/>
      </w:tblPr>
      <w:tblGrid>
        <w:gridCol w:w="2660"/>
        <w:gridCol w:w="3546"/>
        <w:gridCol w:w="3542"/>
      </w:tblGrid>
      <w:tr w:rsidR="002C0F56">
        <w:trPr>
          <w:trHeight w:val="840"/>
        </w:trPr>
        <w:tc>
          <w:tcPr>
            <w:tcW w:w="2660" w:type="dxa"/>
            <w:tcBorders>
              <w:top w:val="single" w:sz="4" w:space="0" w:color="000000"/>
              <w:left w:val="single" w:sz="4" w:space="0" w:color="000000"/>
              <w:bottom w:val="single" w:sz="6" w:space="0" w:color="000000"/>
              <w:right w:val="single" w:sz="6" w:space="0" w:color="000000"/>
            </w:tcBorders>
          </w:tcPr>
          <w:p w:rsidR="002C0F56" w:rsidRDefault="00E67C6E">
            <w:pPr>
              <w:spacing w:after="0" w:line="259" w:lineRule="auto"/>
              <w:ind w:left="0" w:firstLine="0"/>
              <w:jc w:val="center"/>
            </w:pPr>
            <w:r>
              <w:rPr>
                <w:sz w:val="24"/>
              </w:rPr>
              <w:t xml:space="preserve">Методы оценки величины теневой экономики </w:t>
            </w:r>
          </w:p>
        </w:tc>
        <w:tc>
          <w:tcPr>
            <w:tcW w:w="3546" w:type="dxa"/>
            <w:tcBorders>
              <w:top w:val="single" w:sz="4"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0" w:right="60" w:firstLine="0"/>
              <w:jc w:val="center"/>
            </w:pPr>
            <w:r>
              <w:rPr>
                <w:sz w:val="24"/>
              </w:rPr>
              <w:t xml:space="preserve">Преимущества </w:t>
            </w:r>
          </w:p>
        </w:tc>
        <w:tc>
          <w:tcPr>
            <w:tcW w:w="3543" w:type="dxa"/>
            <w:tcBorders>
              <w:top w:val="single" w:sz="4" w:space="0" w:color="000000"/>
              <w:left w:val="single" w:sz="6" w:space="0" w:color="000000"/>
              <w:bottom w:val="single" w:sz="6" w:space="0" w:color="000000"/>
              <w:right w:val="single" w:sz="4" w:space="0" w:color="000000"/>
            </w:tcBorders>
            <w:vAlign w:val="center"/>
          </w:tcPr>
          <w:p w:rsidR="002C0F56" w:rsidRDefault="00E67C6E">
            <w:pPr>
              <w:spacing w:after="0" w:line="259" w:lineRule="auto"/>
              <w:ind w:left="0" w:right="60" w:firstLine="0"/>
              <w:jc w:val="center"/>
            </w:pPr>
            <w:r>
              <w:rPr>
                <w:sz w:val="24"/>
              </w:rPr>
              <w:t xml:space="preserve">Недостатки </w:t>
            </w:r>
          </w:p>
        </w:tc>
      </w:tr>
      <w:tr w:rsidR="002C0F56">
        <w:trPr>
          <w:trHeight w:val="288"/>
        </w:trPr>
        <w:tc>
          <w:tcPr>
            <w:tcW w:w="2660" w:type="dxa"/>
            <w:tcBorders>
              <w:top w:val="single" w:sz="6" w:space="0" w:color="000000"/>
              <w:left w:val="single" w:sz="4" w:space="0" w:color="000000"/>
              <w:bottom w:val="single" w:sz="4" w:space="0" w:color="000000"/>
              <w:right w:val="single" w:sz="6" w:space="0" w:color="000000"/>
            </w:tcBorders>
          </w:tcPr>
          <w:p w:rsidR="002C0F56" w:rsidRDefault="00E67C6E">
            <w:pPr>
              <w:spacing w:after="0" w:line="259" w:lineRule="auto"/>
              <w:ind w:left="0" w:right="62" w:firstLine="0"/>
              <w:jc w:val="center"/>
            </w:pPr>
            <w:r>
              <w:rPr>
                <w:sz w:val="24"/>
              </w:rPr>
              <w:t xml:space="preserve">1 </w:t>
            </w:r>
          </w:p>
        </w:tc>
        <w:tc>
          <w:tcPr>
            <w:tcW w:w="3546" w:type="dxa"/>
            <w:tcBorders>
              <w:top w:val="single" w:sz="6" w:space="0" w:color="000000"/>
              <w:left w:val="single" w:sz="6" w:space="0" w:color="000000"/>
              <w:bottom w:val="single" w:sz="4" w:space="0" w:color="000000"/>
              <w:right w:val="single" w:sz="6" w:space="0" w:color="000000"/>
            </w:tcBorders>
          </w:tcPr>
          <w:p w:rsidR="002C0F56" w:rsidRDefault="00E67C6E">
            <w:pPr>
              <w:spacing w:after="0" w:line="259" w:lineRule="auto"/>
              <w:ind w:left="0" w:right="60" w:firstLine="0"/>
              <w:jc w:val="center"/>
            </w:pPr>
            <w:r>
              <w:rPr>
                <w:sz w:val="24"/>
              </w:rPr>
              <w:t xml:space="preserve">2 </w:t>
            </w:r>
          </w:p>
        </w:tc>
        <w:tc>
          <w:tcPr>
            <w:tcW w:w="3543" w:type="dxa"/>
            <w:tcBorders>
              <w:top w:val="single" w:sz="6" w:space="0" w:color="000000"/>
              <w:left w:val="single" w:sz="6"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3 </w:t>
            </w:r>
          </w:p>
        </w:tc>
      </w:tr>
      <w:tr w:rsidR="002C0F56">
        <w:trPr>
          <w:trHeight w:val="564"/>
        </w:trPr>
        <w:tc>
          <w:tcPr>
            <w:tcW w:w="26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i/>
                <w:sz w:val="24"/>
              </w:rPr>
              <w:t xml:space="preserve">Специальные методы </w:t>
            </w:r>
          </w:p>
        </w:tc>
        <w:tc>
          <w:tcPr>
            <w:tcW w:w="35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i/>
                <w:sz w:val="24"/>
              </w:rPr>
              <w:t xml:space="preserve">Отвечают целям деятельности контролирующих органов. </w:t>
            </w:r>
          </w:p>
        </w:tc>
        <w:tc>
          <w:tcPr>
            <w:tcW w:w="354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i/>
                <w:sz w:val="24"/>
              </w:rPr>
              <w:t xml:space="preserve">Не предназначены для </w:t>
            </w:r>
            <w:r>
              <w:rPr>
                <w:i/>
                <w:sz w:val="24"/>
              </w:rPr>
              <w:t xml:space="preserve">широкого использования. </w:t>
            </w:r>
            <w:r>
              <w:rPr>
                <w:i/>
                <w:sz w:val="24"/>
              </w:rPr>
              <w:tab/>
              <w:t xml:space="preserve"> </w:t>
            </w:r>
          </w:p>
        </w:tc>
      </w:tr>
      <w:tr w:rsidR="002C0F56">
        <w:trPr>
          <w:trHeight w:val="838"/>
        </w:trPr>
        <w:tc>
          <w:tcPr>
            <w:tcW w:w="2660"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2506"/>
              </w:tabs>
              <w:spacing w:after="28" w:line="259" w:lineRule="auto"/>
              <w:ind w:left="0" w:firstLine="0"/>
              <w:jc w:val="left"/>
            </w:pPr>
            <w:r>
              <w:rPr>
                <w:sz w:val="24"/>
              </w:rPr>
              <w:t xml:space="preserve">- </w:t>
            </w:r>
            <w:r>
              <w:rPr>
                <w:sz w:val="24"/>
              </w:rPr>
              <w:tab/>
              <w:t xml:space="preserve">Методы </w:t>
            </w:r>
          </w:p>
          <w:p w:rsidR="002C0F56" w:rsidRDefault="00E67C6E">
            <w:pPr>
              <w:spacing w:after="0" w:line="259" w:lineRule="auto"/>
              <w:ind w:left="0" w:firstLine="0"/>
              <w:jc w:val="left"/>
            </w:pPr>
            <w:r>
              <w:rPr>
                <w:sz w:val="24"/>
              </w:rPr>
              <w:t xml:space="preserve">бухгалтерского учета </w:t>
            </w:r>
          </w:p>
        </w:tc>
        <w:tc>
          <w:tcPr>
            <w:tcW w:w="35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Позволяет выявить суммы скрытых налогов.  </w:t>
            </w:r>
          </w:p>
        </w:tc>
        <w:tc>
          <w:tcPr>
            <w:tcW w:w="354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4" w:firstLine="0"/>
            </w:pPr>
            <w:r>
              <w:rPr>
                <w:sz w:val="24"/>
              </w:rPr>
              <w:t xml:space="preserve">Выявляет ошибки при ведении бухгалтерского учета, а не теневую экономику. </w:t>
            </w:r>
          </w:p>
        </w:tc>
      </w:tr>
      <w:tr w:rsidR="002C0F56">
        <w:trPr>
          <w:trHeight w:val="838"/>
        </w:trPr>
        <w:tc>
          <w:tcPr>
            <w:tcW w:w="26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r>
              <w:rPr>
                <w:sz w:val="24"/>
              </w:rPr>
              <w:tab/>
              <w:t xml:space="preserve">Методы документального анализа </w:t>
            </w:r>
          </w:p>
        </w:tc>
        <w:tc>
          <w:tcPr>
            <w:tcW w:w="35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Высокая эффективность при проведении ревизии.  </w:t>
            </w:r>
          </w:p>
        </w:tc>
        <w:tc>
          <w:tcPr>
            <w:tcW w:w="354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Не могут быть применены при оценке теневого оборота на территории. </w:t>
            </w:r>
          </w:p>
        </w:tc>
      </w:tr>
      <w:tr w:rsidR="002C0F56">
        <w:trPr>
          <w:trHeight w:val="1114"/>
        </w:trPr>
        <w:tc>
          <w:tcPr>
            <w:tcW w:w="26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r>
              <w:rPr>
                <w:sz w:val="24"/>
              </w:rPr>
              <w:tab/>
              <w:t xml:space="preserve">Методы экономического анализа </w:t>
            </w:r>
          </w:p>
        </w:tc>
        <w:tc>
          <w:tcPr>
            <w:tcW w:w="35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right="63" w:firstLine="0"/>
            </w:pPr>
            <w:r>
              <w:rPr>
                <w:sz w:val="24"/>
              </w:rPr>
              <w:t xml:space="preserve">Дают экономическое обоснование возможным проявлениям теневой экономики.  </w:t>
            </w:r>
          </w:p>
        </w:tc>
        <w:tc>
          <w:tcPr>
            <w:tcW w:w="354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Не служат доказательством ведения теневой деятельности. </w:t>
            </w:r>
          </w:p>
        </w:tc>
      </w:tr>
      <w:tr w:rsidR="002C0F56">
        <w:trPr>
          <w:trHeight w:val="1116"/>
        </w:trPr>
        <w:tc>
          <w:tcPr>
            <w:tcW w:w="2660" w:type="dxa"/>
            <w:tcBorders>
              <w:top w:val="single" w:sz="4" w:space="0" w:color="000000"/>
              <w:left w:val="single" w:sz="4" w:space="0" w:color="000000"/>
              <w:bottom w:val="single" w:sz="6" w:space="0" w:color="000000"/>
              <w:right w:val="single" w:sz="6" w:space="0" w:color="000000"/>
            </w:tcBorders>
          </w:tcPr>
          <w:p w:rsidR="002C0F56" w:rsidRDefault="00E67C6E">
            <w:pPr>
              <w:spacing w:after="0" w:line="259" w:lineRule="auto"/>
              <w:ind w:left="0" w:firstLine="0"/>
              <w:jc w:val="left"/>
            </w:pPr>
            <w:r>
              <w:rPr>
                <w:i/>
                <w:sz w:val="24"/>
              </w:rPr>
              <w:t xml:space="preserve">Статистические методы </w:t>
            </w:r>
          </w:p>
        </w:tc>
        <w:tc>
          <w:tcPr>
            <w:tcW w:w="3546" w:type="dxa"/>
            <w:tcBorders>
              <w:top w:val="single" w:sz="4" w:space="0" w:color="000000"/>
              <w:left w:val="single" w:sz="6" w:space="0" w:color="000000"/>
              <w:bottom w:val="single" w:sz="6" w:space="0" w:color="000000"/>
              <w:right w:val="single" w:sz="6" w:space="0" w:color="000000"/>
            </w:tcBorders>
          </w:tcPr>
          <w:p w:rsidR="002C0F56" w:rsidRDefault="00E67C6E">
            <w:pPr>
              <w:spacing w:after="0" w:line="259" w:lineRule="auto"/>
              <w:ind w:left="2" w:firstLine="0"/>
              <w:jc w:val="left"/>
            </w:pPr>
            <w:r>
              <w:rPr>
                <w:i/>
                <w:sz w:val="24"/>
              </w:rPr>
              <w:t xml:space="preserve">Возможность количественной оценки </w:t>
            </w:r>
            <w:r>
              <w:rPr>
                <w:i/>
                <w:sz w:val="24"/>
              </w:rPr>
              <w:tab/>
              <w:t xml:space="preserve">скрытой </w:t>
            </w:r>
            <w:r>
              <w:rPr>
                <w:i/>
                <w:sz w:val="24"/>
              </w:rPr>
              <w:tab/>
              <w:t xml:space="preserve">части производительной экономической деятельности.  </w:t>
            </w:r>
          </w:p>
        </w:tc>
        <w:tc>
          <w:tcPr>
            <w:tcW w:w="3543" w:type="dxa"/>
            <w:tcBorders>
              <w:top w:val="single" w:sz="4" w:space="0" w:color="000000"/>
              <w:left w:val="single" w:sz="6" w:space="0" w:color="000000"/>
              <w:bottom w:val="single" w:sz="6" w:space="0" w:color="000000"/>
              <w:right w:val="single" w:sz="4" w:space="0" w:color="000000"/>
            </w:tcBorders>
          </w:tcPr>
          <w:p w:rsidR="002C0F56" w:rsidRDefault="00E67C6E">
            <w:pPr>
              <w:spacing w:after="0" w:line="259" w:lineRule="auto"/>
              <w:ind w:left="2" w:right="60" w:firstLine="0"/>
            </w:pPr>
            <w:r>
              <w:rPr>
                <w:i/>
                <w:sz w:val="24"/>
              </w:rPr>
              <w:t xml:space="preserve">Невозможность дать количественную оценку криминальной деятельности. </w:t>
            </w:r>
          </w:p>
        </w:tc>
      </w:tr>
      <w:tr w:rsidR="002C0F56">
        <w:trPr>
          <w:trHeight w:val="3879"/>
        </w:trPr>
        <w:tc>
          <w:tcPr>
            <w:tcW w:w="2660" w:type="dxa"/>
            <w:tcBorders>
              <w:top w:val="single" w:sz="6" w:space="0" w:color="000000"/>
              <w:left w:val="single" w:sz="4" w:space="0" w:color="000000"/>
              <w:bottom w:val="single" w:sz="6" w:space="0" w:color="000000"/>
              <w:right w:val="single" w:sz="6" w:space="0" w:color="000000"/>
            </w:tcBorders>
          </w:tcPr>
          <w:p w:rsidR="002C0F56" w:rsidRDefault="00E67C6E">
            <w:pPr>
              <w:spacing w:after="0" w:line="259" w:lineRule="auto"/>
              <w:ind w:left="0" w:firstLine="0"/>
              <w:jc w:val="left"/>
            </w:pPr>
            <w:r>
              <w:rPr>
                <w:sz w:val="24"/>
              </w:rPr>
              <w:t xml:space="preserve">- </w:t>
            </w:r>
            <w:r>
              <w:rPr>
                <w:sz w:val="24"/>
              </w:rPr>
              <w:tab/>
            </w:r>
            <w:r>
              <w:rPr>
                <w:sz w:val="24"/>
              </w:rPr>
              <w:t xml:space="preserve">Метод специфических индикаторов </w:t>
            </w:r>
          </w:p>
        </w:tc>
        <w:tc>
          <w:tcPr>
            <w:tcW w:w="3546"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46" w:lineRule="auto"/>
              <w:ind w:left="2" w:right="59" w:firstLine="0"/>
            </w:pPr>
            <w:r>
              <w:rPr>
                <w:sz w:val="24"/>
              </w:rPr>
              <w:t xml:space="preserve">Косвенные методы эффективны при невозможности непосредственной прямой фиксации исследуемых параметров. Их отличие в достоверности исходных данных. При составлении программ обследования прямые методы дают возможность учесть </w:t>
            </w:r>
            <w:r>
              <w:rPr>
                <w:sz w:val="24"/>
              </w:rPr>
              <w:t xml:space="preserve">все нюансы исследуемого объекта. </w:t>
            </w:r>
          </w:p>
          <w:p w:rsidR="002C0F56" w:rsidRDefault="00E67C6E">
            <w:pPr>
              <w:spacing w:after="0" w:line="259" w:lineRule="auto"/>
              <w:ind w:left="2" w:firstLine="0"/>
              <w:jc w:val="left"/>
            </w:pPr>
            <w:r>
              <w:rPr>
                <w:sz w:val="24"/>
              </w:rPr>
              <w:t xml:space="preserve"> </w:t>
            </w:r>
          </w:p>
        </w:tc>
        <w:tc>
          <w:tcPr>
            <w:tcW w:w="3543" w:type="dxa"/>
            <w:tcBorders>
              <w:top w:val="single" w:sz="6" w:space="0" w:color="000000"/>
              <w:left w:val="single" w:sz="6" w:space="0" w:color="000000"/>
              <w:bottom w:val="single" w:sz="6" w:space="0" w:color="000000"/>
              <w:right w:val="single" w:sz="4" w:space="0" w:color="000000"/>
            </w:tcBorders>
          </w:tcPr>
          <w:p w:rsidR="002C0F56" w:rsidRDefault="00E67C6E">
            <w:pPr>
              <w:spacing w:after="0" w:line="259" w:lineRule="auto"/>
              <w:ind w:left="2" w:right="59" w:firstLine="0"/>
            </w:pPr>
            <w:r>
              <w:rPr>
                <w:sz w:val="24"/>
              </w:rPr>
              <w:t>Прямые методы требуют дополнительных как трудовых затрат, так и финансовых. При косвенном методе необходимо осторожно подбирать косвенные показатели и учитывать особенности исследуемого региона. Данные методы не могут обеспечить всестороннего охвата проявл</w:t>
            </w:r>
            <w:r>
              <w:rPr>
                <w:sz w:val="24"/>
              </w:rPr>
              <w:t xml:space="preserve">ений скрытой экономики, так как существует ограниченный выбор исходных параметров. </w:t>
            </w:r>
          </w:p>
        </w:tc>
      </w:tr>
      <w:tr w:rsidR="002C0F56">
        <w:trPr>
          <w:trHeight w:val="1395"/>
        </w:trPr>
        <w:tc>
          <w:tcPr>
            <w:tcW w:w="2660" w:type="dxa"/>
            <w:tcBorders>
              <w:top w:val="single" w:sz="6" w:space="0" w:color="000000"/>
              <w:left w:val="single" w:sz="4" w:space="0" w:color="000000"/>
              <w:bottom w:val="single" w:sz="6" w:space="0" w:color="000000"/>
              <w:right w:val="single" w:sz="6" w:space="0" w:color="000000"/>
            </w:tcBorders>
          </w:tcPr>
          <w:p w:rsidR="002C0F56" w:rsidRDefault="00E67C6E">
            <w:pPr>
              <w:tabs>
                <w:tab w:val="center" w:pos="854"/>
                <w:tab w:val="right" w:pos="2506"/>
              </w:tabs>
              <w:spacing w:after="28" w:line="259" w:lineRule="auto"/>
              <w:ind w:left="0" w:firstLine="0"/>
              <w:jc w:val="left"/>
            </w:pPr>
            <w:r>
              <w:rPr>
                <w:sz w:val="24"/>
              </w:rPr>
              <w:lastRenderedPageBreak/>
              <w:t xml:space="preserve">- </w:t>
            </w:r>
            <w:r>
              <w:rPr>
                <w:sz w:val="24"/>
              </w:rPr>
              <w:tab/>
              <w:t xml:space="preserve">Метод </w:t>
            </w:r>
            <w:r>
              <w:rPr>
                <w:sz w:val="24"/>
              </w:rPr>
              <w:tab/>
              <w:t xml:space="preserve">мягкого </w:t>
            </w:r>
          </w:p>
          <w:p w:rsidR="002C0F56" w:rsidRDefault="00E67C6E">
            <w:pPr>
              <w:spacing w:after="0" w:line="259" w:lineRule="auto"/>
              <w:ind w:left="0" w:firstLine="0"/>
              <w:jc w:val="left"/>
            </w:pPr>
            <w:r>
              <w:rPr>
                <w:sz w:val="24"/>
              </w:rPr>
              <w:t xml:space="preserve">моделирования  </w:t>
            </w:r>
          </w:p>
        </w:tc>
        <w:tc>
          <w:tcPr>
            <w:tcW w:w="3546"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right="58" w:firstLine="0"/>
            </w:pPr>
            <w:r>
              <w:rPr>
                <w:sz w:val="24"/>
              </w:rPr>
              <w:t xml:space="preserve">При возможном изменении тех или иных факторов позволяет прогнозировать динамику скрытой экономики. </w:t>
            </w:r>
          </w:p>
        </w:tc>
        <w:tc>
          <w:tcPr>
            <w:tcW w:w="3543" w:type="dxa"/>
            <w:tcBorders>
              <w:top w:val="single" w:sz="6" w:space="0" w:color="000000"/>
              <w:left w:val="single" w:sz="6" w:space="0" w:color="000000"/>
              <w:bottom w:val="single" w:sz="6" w:space="0" w:color="000000"/>
              <w:right w:val="single" w:sz="4" w:space="0" w:color="000000"/>
            </w:tcBorders>
          </w:tcPr>
          <w:p w:rsidR="002C0F56" w:rsidRDefault="00E67C6E">
            <w:pPr>
              <w:spacing w:after="0" w:line="259" w:lineRule="auto"/>
              <w:ind w:left="2" w:right="59" w:firstLine="0"/>
            </w:pPr>
            <w:r>
              <w:rPr>
                <w:sz w:val="24"/>
              </w:rPr>
              <w:t xml:space="preserve">Не учитывает те факторы, которые не оказывают влияние на проявление теневой экономики и поддаются количественной оценке. </w:t>
            </w:r>
          </w:p>
        </w:tc>
      </w:tr>
      <w:tr w:rsidR="002C0F56">
        <w:trPr>
          <w:trHeight w:val="1394"/>
        </w:trPr>
        <w:tc>
          <w:tcPr>
            <w:tcW w:w="2660" w:type="dxa"/>
            <w:tcBorders>
              <w:top w:val="single" w:sz="6" w:space="0" w:color="000000"/>
              <w:left w:val="single" w:sz="4" w:space="0" w:color="000000"/>
              <w:bottom w:val="single" w:sz="4" w:space="0" w:color="000000"/>
              <w:right w:val="single" w:sz="6" w:space="0" w:color="000000"/>
            </w:tcBorders>
          </w:tcPr>
          <w:p w:rsidR="002C0F56" w:rsidRDefault="00E67C6E">
            <w:pPr>
              <w:spacing w:after="0" w:line="259" w:lineRule="auto"/>
              <w:ind w:left="0" w:firstLine="0"/>
              <w:jc w:val="left"/>
            </w:pPr>
            <w:r>
              <w:rPr>
                <w:sz w:val="24"/>
              </w:rPr>
              <w:t xml:space="preserve">- Структурный метод  </w:t>
            </w:r>
          </w:p>
        </w:tc>
        <w:tc>
          <w:tcPr>
            <w:tcW w:w="3546" w:type="dxa"/>
            <w:tcBorders>
              <w:top w:val="single" w:sz="6" w:space="0" w:color="000000"/>
              <w:left w:val="single" w:sz="6" w:space="0" w:color="000000"/>
              <w:bottom w:val="single" w:sz="4" w:space="0" w:color="000000"/>
              <w:right w:val="single" w:sz="6" w:space="0" w:color="000000"/>
            </w:tcBorders>
          </w:tcPr>
          <w:p w:rsidR="002C0F56" w:rsidRDefault="00E67C6E">
            <w:pPr>
              <w:spacing w:after="0" w:line="259" w:lineRule="auto"/>
              <w:ind w:left="2" w:firstLine="0"/>
              <w:jc w:val="left"/>
            </w:pPr>
            <w:r>
              <w:rPr>
                <w:sz w:val="24"/>
              </w:rPr>
              <w:t xml:space="preserve">Дает </w:t>
            </w:r>
            <w:r>
              <w:rPr>
                <w:sz w:val="24"/>
              </w:rPr>
              <w:tab/>
              <w:t xml:space="preserve">возможность </w:t>
            </w:r>
            <w:r>
              <w:rPr>
                <w:sz w:val="24"/>
              </w:rPr>
              <w:tab/>
              <w:t xml:space="preserve">выявить отраслевые </w:t>
            </w:r>
            <w:r>
              <w:rPr>
                <w:sz w:val="24"/>
              </w:rPr>
              <w:tab/>
              <w:t xml:space="preserve">предпочтения </w:t>
            </w:r>
            <w:r>
              <w:rPr>
                <w:sz w:val="24"/>
              </w:rPr>
              <w:tab/>
              <w:t xml:space="preserve">и учесть отраслевые особенности субъектов </w:t>
            </w:r>
            <w:r>
              <w:rPr>
                <w:sz w:val="24"/>
              </w:rPr>
              <w:tab/>
              <w:t xml:space="preserve">неформальной экономики. </w:t>
            </w:r>
          </w:p>
        </w:tc>
        <w:tc>
          <w:tcPr>
            <w:tcW w:w="3543" w:type="dxa"/>
            <w:tcBorders>
              <w:top w:val="single" w:sz="6" w:space="0" w:color="000000"/>
              <w:left w:val="single" w:sz="6" w:space="0" w:color="000000"/>
              <w:bottom w:val="single" w:sz="4" w:space="0" w:color="000000"/>
              <w:right w:val="single" w:sz="4" w:space="0" w:color="000000"/>
            </w:tcBorders>
          </w:tcPr>
          <w:p w:rsidR="002C0F56" w:rsidRDefault="00E67C6E">
            <w:pPr>
              <w:spacing w:after="0" w:line="258" w:lineRule="auto"/>
              <w:ind w:left="2" w:right="60" w:firstLine="0"/>
            </w:pPr>
            <w:r>
              <w:rPr>
                <w:sz w:val="24"/>
              </w:rPr>
              <w:t xml:space="preserve">Уровень достоверности по отраслям может значительно отличаться. </w:t>
            </w:r>
          </w:p>
          <w:p w:rsidR="002C0F56" w:rsidRDefault="00E67C6E">
            <w:pPr>
              <w:spacing w:after="0" w:line="259" w:lineRule="auto"/>
              <w:ind w:left="2" w:firstLine="0"/>
              <w:jc w:val="left"/>
            </w:pPr>
            <w:r>
              <w:rPr>
                <w:sz w:val="24"/>
              </w:rPr>
              <w:t xml:space="preserve"> </w:t>
            </w:r>
          </w:p>
        </w:tc>
      </w:tr>
    </w:tbl>
    <w:p w:rsidR="002C0F56" w:rsidRDefault="00E67C6E">
      <w:pPr>
        <w:spacing w:after="0" w:line="259" w:lineRule="auto"/>
        <w:ind w:left="10" w:right="853" w:hanging="10"/>
        <w:jc w:val="right"/>
      </w:pPr>
      <w:r>
        <w:rPr>
          <w:i/>
          <w:sz w:val="24"/>
        </w:rPr>
        <w:t xml:space="preserve">Продолжение табл. 1 </w:t>
      </w:r>
    </w:p>
    <w:tbl>
      <w:tblPr>
        <w:tblStyle w:val="TableGrid"/>
        <w:tblW w:w="9748" w:type="dxa"/>
        <w:tblInd w:w="72" w:type="dxa"/>
        <w:tblCellMar>
          <w:top w:w="17" w:type="dxa"/>
          <w:left w:w="108" w:type="dxa"/>
          <w:bottom w:w="0" w:type="dxa"/>
          <w:right w:w="46" w:type="dxa"/>
        </w:tblCellMar>
        <w:tblLook w:val="04A0" w:firstRow="1" w:lastRow="0" w:firstColumn="1" w:lastColumn="0" w:noHBand="0" w:noVBand="1"/>
      </w:tblPr>
      <w:tblGrid>
        <w:gridCol w:w="2659"/>
        <w:gridCol w:w="3546"/>
        <w:gridCol w:w="3543"/>
      </w:tblGrid>
      <w:tr w:rsidR="002C0F56">
        <w:trPr>
          <w:trHeight w:val="291"/>
        </w:trPr>
        <w:tc>
          <w:tcPr>
            <w:tcW w:w="2660" w:type="dxa"/>
            <w:tcBorders>
              <w:top w:val="single" w:sz="4" w:space="0" w:color="000000"/>
              <w:left w:val="single" w:sz="4" w:space="0" w:color="000000"/>
              <w:bottom w:val="single" w:sz="6" w:space="0" w:color="000000"/>
              <w:right w:val="single" w:sz="6" w:space="0" w:color="000000"/>
            </w:tcBorders>
          </w:tcPr>
          <w:p w:rsidR="002C0F56" w:rsidRDefault="00E67C6E">
            <w:pPr>
              <w:spacing w:after="0" w:line="259" w:lineRule="auto"/>
              <w:ind w:left="0" w:right="62" w:firstLine="0"/>
              <w:jc w:val="center"/>
            </w:pPr>
            <w:r>
              <w:rPr>
                <w:sz w:val="24"/>
              </w:rPr>
              <w:t xml:space="preserve">1 </w:t>
            </w:r>
          </w:p>
        </w:tc>
        <w:tc>
          <w:tcPr>
            <w:tcW w:w="3546" w:type="dxa"/>
            <w:tcBorders>
              <w:top w:val="single" w:sz="4" w:space="0" w:color="000000"/>
              <w:left w:val="single" w:sz="6" w:space="0" w:color="000000"/>
              <w:bottom w:val="single" w:sz="6" w:space="0" w:color="000000"/>
              <w:right w:val="single" w:sz="6" w:space="0" w:color="000000"/>
            </w:tcBorders>
          </w:tcPr>
          <w:p w:rsidR="002C0F56" w:rsidRDefault="00E67C6E">
            <w:pPr>
              <w:spacing w:after="0" w:line="259" w:lineRule="auto"/>
              <w:ind w:left="0" w:right="60" w:firstLine="0"/>
              <w:jc w:val="center"/>
            </w:pPr>
            <w:r>
              <w:rPr>
                <w:sz w:val="24"/>
              </w:rPr>
              <w:t xml:space="preserve">2 </w:t>
            </w:r>
          </w:p>
        </w:tc>
        <w:tc>
          <w:tcPr>
            <w:tcW w:w="3543" w:type="dxa"/>
            <w:tcBorders>
              <w:top w:val="single" w:sz="4" w:space="0" w:color="000000"/>
              <w:left w:val="single" w:sz="6" w:space="0" w:color="000000"/>
              <w:bottom w:val="single" w:sz="6" w:space="0" w:color="000000"/>
              <w:right w:val="single" w:sz="4" w:space="0" w:color="000000"/>
            </w:tcBorders>
          </w:tcPr>
          <w:p w:rsidR="002C0F56" w:rsidRDefault="00E67C6E">
            <w:pPr>
              <w:spacing w:after="0" w:line="259" w:lineRule="auto"/>
              <w:ind w:left="0" w:right="58" w:firstLine="0"/>
              <w:jc w:val="center"/>
            </w:pPr>
            <w:r>
              <w:rPr>
                <w:sz w:val="24"/>
              </w:rPr>
              <w:t xml:space="preserve">3 </w:t>
            </w:r>
          </w:p>
        </w:tc>
      </w:tr>
      <w:tr w:rsidR="002C0F56">
        <w:trPr>
          <w:trHeight w:val="1118"/>
        </w:trPr>
        <w:tc>
          <w:tcPr>
            <w:tcW w:w="2660" w:type="dxa"/>
            <w:tcBorders>
              <w:top w:val="single" w:sz="6" w:space="0" w:color="000000"/>
              <w:left w:val="single" w:sz="4" w:space="0" w:color="000000"/>
              <w:bottom w:val="single" w:sz="6" w:space="0" w:color="000000"/>
              <w:right w:val="single" w:sz="6" w:space="0" w:color="000000"/>
            </w:tcBorders>
          </w:tcPr>
          <w:p w:rsidR="002C0F56" w:rsidRDefault="00E67C6E">
            <w:pPr>
              <w:spacing w:after="0" w:line="259" w:lineRule="auto"/>
              <w:ind w:left="0" w:firstLine="0"/>
              <w:jc w:val="left"/>
            </w:pPr>
            <w:r>
              <w:rPr>
                <w:sz w:val="24"/>
              </w:rPr>
              <w:t xml:space="preserve">- Экспертный метод  </w:t>
            </w:r>
          </w:p>
        </w:tc>
        <w:tc>
          <w:tcPr>
            <w:tcW w:w="3546"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2" w:right="60" w:firstLine="0"/>
            </w:pPr>
            <w:r>
              <w:rPr>
                <w:sz w:val="24"/>
              </w:rPr>
              <w:t xml:space="preserve">Может экспертно оценивать величины, которые не поддаются математическому расчету. </w:t>
            </w:r>
          </w:p>
        </w:tc>
        <w:tc>
          <w:tcPr>
            <w:tcW w:w="3543" w:type="dxa"/>
            <w:tcBorders>
              <w:top w:val="single" w:sz="6" w:space="0" w:color="000000"/>
              <w:left w:val="single" w:sz="6" w:space="0" w:color="000000"/>
              <w:bottom w:val="single" w:sz="6" w:space="0" w:color="000000"/>
              <w:right w:val="single" w:sz="4" w:space="0" w:color="000000"/>
            </w:tcBorders>
          </w:tcPr>
          <w:p w:rsidR="002C0F56" w:rsidRDefault="00E67C6E">
            <w:pPr>
              <w:spacing w:after="0" w:line="259" w:lineRule="auto"/>
              <w:ind w:left="2" w:firstLine="0"/>
              <w:jc w:val="left"/>
            </w:pPr>
            <w:r>
              <w:rPr>
                <w:sz w:val="24"/>
              </w:rPr>
              <w:t xml:space="preserve">Не является универсальным и объективным. </w:t>
            </w:r>
          </w:p>
        </w:tc>
      </w:tr>
      <w:tr w:rsidR="002C0F56">
        <w:trPr>
          <w:trHeight w:val="1116"/>
        </w:trPr>
        <w:tc>
          <w:tcPr>
            <w:tcW w:w="2660" w:type="dxa"/>
            <w:tcBorders>
              <w:top w:val="single" w:sz="6" w:space="0" w:color="000000"/>
              <w:left w:val="single" w:sz="4" w:space="0" w:color="000000"/>
              <w:bottom w:val="single" w:sz="4" w:space="0" w:color="000000"/>
              <w:right w:val="single" w:sz="6" w:space="0" w:color="000000"/>
            </w:tcBorders>
          </w:tcPr>
          <w:p w:rsidR="002C0F56" w:rsidRDefault="00E67C6E">
            <w:pPr>
              <w:spacing w:after="0" w:line="259" w:lineRule="auto"/>
              <w:ind w:left="0" w:firstLine="0"/>
              <w:jc w:val="left"/>
            </w:pPr>
            <w:r>
              <w:rPr>
                <w:i/>
                <w:sz w:val="24"/>
              </w:rPr>
              <w:t xml:space="preserve">Смешанные методы </w:t>
            </w:r>
          </w:p>
        </w:tc>
        <w:tc>
          <w:tcPr>
            <w:tcW w:w="3546" w:type="dxa"/>
            <w:tcBorders>
              <w:top w:val="single" w:sz="6" w:space="0" w:color="000000"/>
              <w:left w:val="single" w:sz="6" w:space="0" w:color="000000"/>
              <w:bottom w:val="single" w:sz="4" w:space="0" w:color="000000"/>
              <w:right w:val="single" w:sz="6" w:space="0" w:color="000000"/>
            </w:tcBorders>
          </w:tcPr>
          <w:p w:rsidR="002C0F56" w:rsidRDefault="00E67C6E">
            <w:pPr>
              <w:spacing w:after="0" w:line="259" w:lineRule="auto"/>
              <w:ind w:left="2" w:right="61" w:firstLine="0"/>
            </w:pPr>
            <w:r>
              <w:rPr>
                <w:i/>
                <w:sz w:val="24"/>
              </w:rPr>
              <w:t xml:space="preserve">Дает возможность моделировать поведение теневого сектора экономики в тех или иных условиях. </w:t>
            </w:r>
          </w:p>
        </w:tc>
        <w:tc>
          <w:tcPr>
            <w:tcW w:w="3543" w:type="dxa"/>
            <w:tcBorders>
              <w:top w:val="single" w:sz="6" w:space="0" w:color="000000"/>
              <w:left w:val="single" w:sz="6" w:space="0" w:color="000000"/>
              <w:bottom w:val="single" w:sz="4" w:space="0" w:color="000000"/>
              <w:right w:val="single" w:sz="4" w:space="0" w:color="000000"/>
            </w:tcBorders>
          </w:tcPr>
          <w:p w:rsidR="002C0F56" w:rsidRDefault="00E67C6E">
            <w:pPr>
              <w:spacing w:after="0" w:line="259" w:lineRule="auto"/>
              <w:ind w:left="2" w:firstLine="0"/>
              <w:jc w:val="left"/>
            </w:pPr>
            <w:r>
              <w:rPr>
                <w:i/>
                <w:sz w:val="24"/>
              </w:rPr>
              <w:t xml:space="preserve">Невозможно </w:t>
            </w:r>
            <w:r>
              <w:rPr>
                <w:i/>
                <w:sz w:val="24"/>
              </w:rPr>
              <w:tab/>
              <w:t xml:space="preserve">оценить непосредственно </w:t>
            </w:r>
            <w:r>
              <w:rPr>
                <w:i/>
                <w:sz w:val="24"/>
              </w:rPr>
              <w:tab/>
              <w:t xml:space="preserve">объем теневой деятельности, лишь ее динамику. </w:t>
            </w:r>
          </w:p>
        </w:tc>
      </w:tr>
    </w:tbl>
    <w:p w:rsidR="002C0F56" w:rsidRDefault="00E67C6E">
      <w:pPr>
        <w:spacing w:after="0" w:line="259" w:lineRule="auto"/>
        <w:ind w:left="744" w:firstLine="0"/>
        <w:jc w:val="left"/>
      </w:pPr>
      <w:r>
        <w:rPr>
          <w:i/>
        </w:rPr>
        <w:t xml:space="preserve"> </w:t>
      </w:r>
    </w:p>
    <w:p w:rsidR="002C0F56" w:rsidRDefault="00E67C6E">
      <w:pPr>
        <w:spacing w:after="0"/>
        <w:ind w:left="165" w:right="865"/>
      </w:pPr>
      <w:r>
        <w:t>Итак, вышеизложенное позволяет утверждать, что на данный момент каждый из методов оценки величины теневой экономики имеют свои преимущества и недостатки, и, как следстви</w:t>
      </w:r>
      <w:r>
        <w:t xml:space="preserve">е, являются не в полной мере объективными. Это обусловлено стохастической сущностью и структурой теневой экономики. </w:t>
      </w:r>
    </w:p>
    <w:p w:rsidR="002C0F56" w:rsidRDefault="00E67C6E">
      <w:pPr>
        <w:spacing w:after="5"/>
        <w:ind w:left="165" w:right="871"/>
      </w:pPr>
      <w:r>
        <w:t>Таким образом, можно сделать выводы, что сложная природа и структура теневой экономики обусловила многообразие подходов к определению самого понятия «теневая экономика». Существующие методы оценки величины теневой экономики не могут объективно и полноценно</w:t>
      </w:r>
      <w:r>
        <w:t xml:space="preserve"> определить ее масштабы и объем, так как не являются универсальными. Поэтому необходимо комплексное научное исследование теневой экономики. </w:t>
      </w:r>
    </w:p>
    <w:p w:rsidR="002C0F56" w:rsidRDefault="00E67C6E">
      <w:pPr>
        <w:spacing w:after="22"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25"/>
        </w:numPr>
        <w:ind w:right="585"/>
      </w:pPr>
      <w:r>
        <w:t xml:space="preserve">Аппанова Ю.Э. Обзор методов оценки теневой экономики / Аппанова </w:t>
      </w:r>
    </w:p>
    <w:p w:rsidR="002C0F56" w:rsidRDefault="00E67C6E">
      <w:pPr>
        <w:ind w:left="165" w:right="302" w:firstLine="0"/>
      </w:pPr>
      <w:r>
        <w:t>Ю. Э., Воякина Е. В., Казанц</w:t>
      </w:r>
      <w:r>
        <w:t xml:space="preserve">ева С.С., Чернова И. С. // Экономические науки. - №44-4. – 2016. – с. 161-164. </w:t>
      </w:r>
    </w:p>
    <w:p w:rsidR="002C0F56" w:rsidRDefault="00E67C6E">
      <w:pPr>
        <w:numPr>
          <w:ilvl w:val="0"/>
          <w:numId w:val="25"/>
        </w:numPr>
        <w:ind w:right="585"/>
      </w:pPr>
      <w:r>
        <w:t xml:space="preserve">Перов Е.В. Оценка теневой экономики России / Экономическая безопасность (75) УЭкС, 3/2015 [Электронный ресурс]. – Режим доступа: http://uecs.ru/marketing/item/3395. </w:t>
      </w:r>
    </w:p>
    <w:p w:rsidR="002C0F56" w:rsidRDefault="00E67C6E">
      <w:pPr>
        <w:numPr>
          <w:ilvl w:val="0"/>
          <w:numId w:val="25"/>
        </w:numPr>
        <w:ind w:right="585"/>
      </w:pPr>
      <w:r>
        <w:lastRenderedPageBreak/>
        <w:t>Кулик Ю.П.</w:t>
      </w:r>
      <w:r>
        <w:t xml:space="preserve"> Характеристика состояния и тенденции развития теневой экономики России на современном этапе / Социально-экономические явления и процессы. – Т.1. - №1. – 2016. - С. 38-44. </w:t>
      </w:r>
    </w:p>
    <w:p w:rsidR="002C0F56" w:rsidRDefault="00E67C6E">
      <w:pPr>
        <w:numPr>
          <w:ilvl w:val="0"/>
          <w:numId w:val="25"/>
        </w:numPr>
        <w:ind w:right="585"/>
      </w:pPr>
      <w:r>
        <w:t>Сулейманова Н. Х. Подходы к количественной оценке объемов теневой экономики // Моло</w:t>
      </w:r>
      <w:r>
        <w:t xml:space="preserve">дой ученый. - №21. - 2015. - С. 478-481.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11"/>
        <w:ind w:left="3508" w:right="862"/>
        <w:jc w:val="right"/>
      </w:pPr>
      <w:r>
        <w:t xml:space="preserve">Божко Е.А.   </w:t>
      </w:r>
      <w:r>
        <w:rPr>
          <w:b w:val="0"/>
        </w:rPr>
        <w:t xml:space="preserve">Научный руководитель: Самоховец М.П., к.э.н., доц.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29" w:line="259" w:lineRule="auto"/>
        <w:ind w:left="744" w:firstLine="0"/>
        <w:jc w:val="left"/>
      </w:pPr>
      <w:r>
        <w:rPr>
          <w:b/>
        </w:rPr>
        <w:t xml:space="preserve"> </w:t>
      </w:r>
    </w:p>
    <w:p w:rsidR="002C0F56" w:rsidRDefault="00E67C6E">
      <w:pPr>
        <w:pStyle w:val="1"/>
        <w:spacing w:after="15" w:line="271" w:lineRule="auto"/>
        <w:ind w:left="466" w:right="0"/>
        <w:jc w:val="left"/>
      </w:pPr>
      <w:r>
        <w:t xml:space="preserve">ФИНАНСИРОВАНИЕ ОБРАЗОВАНИЯ В РЕСПУБЛИКЕ БЕЛАРУСЬ </w:t>
      </w:r>
    </w:p>
    <w:p w:rsidR="002C0F56" w:rsidRDefault="00E67C6E">
      <w:pPr>
        <w:spacing w:after="25" w:line="259" w:lineRule="auto"/>
        <w:ind w:left="744" w:firstLine="0"/>
        <w:jc w:val="left"/>
      </w:pPr>
      <w:r>
        <w:rPr>
          <w:b/>
        </w:rPr>
        <w:t xml:space="preserve"> </w:t>
      </w:r>
    </w:p>
    <w:p w:rsidR="002C0F56" w:rsidRDefault="00E67C6E">
      <w:pPr>
        <w:ind w:left="165" w:right="302"/>
      </w:pPr>
      <w:r>
        <w:t xml:space="preserve">Образование - </w:t>
      </w:r>
      <w:r>
        <w:t>важнейшая предпосылка решения основных задач общества, государства, специфическая отрасль общественной жизни, необходимое условие общественного воспроизводства и успешной трудовой деятельности, формирования кадров работников для народного хозяйства, госуда</w:t>
      </w:r>
      <w:r>
        <w:t xml:space="preserve">рственного и политического устройства, для всех сфер развития общества. Практически все взрослое население (99,8 %) грамотно. Той или иной формой образования охвачены 98 % занятого населения. </w:t>
      </w:r>
    </w:p>
    <w:p w:rsidR="002C0F56" w:rsidRDefault="00E67C6E">
      <w:pPr>
        <w:spacing w:after="2"/>
        <w:ind w:left="165" w:right="869"/>
      </w:pPr>
      <w:r>
        <w:t>Главная цель образования – создание условий для достижения кажд</w:t>
      </w:r>
      <w:r>
        <w:t xml:space="preserve">ым человеком высшего уровня его возможностей и активизации творческих составляющих [1]. Рассмотрим структуру образования в Республике Беларусь, представленную на рисунке 1. </w:t>
      </w:r>
    </w:p>
    <w:p w:rsidR="002C0F56" w:rsidRDefault="00E67C6E">
      <w:pPr>
        <w:spacing w:after="0" w:line="259" w:lineRule="auto"/>
        <w:ind w:left="744" w:firstLine="0"/>
        <w:jc w:val="left"/>
      </w:pPr>
      <w:r>
        <w:t xml:space="preserve"> </w:t>
      </w:r>
    </w:p>
    <w:p w:rsidR="002C0F56" w:rsidRDefault="00E67C6E">
      <w:pPr>
        <w:spacing w:after="77" w:line="259" w:lineRule="auto"/>
        <w:ind w:left="723" w:firstLine="0"/>
        <w:jc w:val="left"/>
      </w:pPr>
      <w:r>
        <w:rPr>
          <w:rFonts w:ascii="Calibri" w:eastAsia="Calibri" w:hAnsi="Calibri" w:cs="Calibri"/>
          <w:noProof/>
          <w:sz w:val="22"/>
        </w:rPr>
        <mc:AlternateContent>
          <mc:Choice Requires="wpg">
            <w:drawing>
              <wp:inline distT="0" distB="0" distL="0" distR="0">
                <wp:extent cx="5767071" cy="2122170"/>
                <wp:effectExtent l="0" t="0" r="0" b="0"/>
                <wp:docPr id="555875" name="Group 555875"/>
                <wp:cNvGraphicFramePr/>
                <a:graphic xmlns:a="http://schemas.openxmlformats.org/drawingml/2006/main">
                  <a:graphicData uri="http://schemas.microsoft.com/office/word/2010/wordprocessingGroup">
                    <wpg:wgp>
                      <wpg:cNvGrpSpPr/>
                      <wpg:grpSpPr>
                        <a:xfrm>
                          <a:off x="0" y="0"/>
                          <a:ext cx="5767071" cy="2122170"/>
                          <a:chOff x="0" y="0"/>
                          <a:chExt cx="5767071" cy="2122170"/>
                        </a:xfrm>
                      </wpg:grpSpPr>
                      <wps:wsp>
                        <wps:cNvPr id="10534" name="Shape 10534"/>
                        <wps:cNvSpPr/>
                        <wps:spPr>
                          <a:xfrm>
                            <a:off x="1547495" y="0"/>
                            <a:ext cx="2533650" cy="266700"/>
                          </a:xfrm>
                          <a:custGeom>
                            <a:avLst/>
                            <a:gdLst/>
                            <a:ahLst/>
                            <a:cxnLst/>
                            <a:rect l="0" t="0" r="0" b="0"/>
                            <a:pathLst>
                              <a:path w="2533650" h="266700">
                                <a:moveTo>
                                  <a:pt x="0" y="266700"/>
                                </a:moveTo>
                                <a:lnTo>
                                  <a:pt x="2533650" y="266700"/>
                                </a:lnTo>
                                <a:lnTo>
                                  <a:pt x="2533650"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35" name="Rectangle 10535"/>
                        <wps:cNvSpPr/>
                        <wps:spPr>
                          <a:xfrm>
                            <a:off x="2168779" y="86906"/>
                            <a:ext cx="1718018" cy="181116"/>
                          </a:xfrm>
                          <a:prstGeom prst="rect">
                            <a:avLst/>
                          </a:prstGeom>
                          <a:ln>
                            <a:noFill/>
                          </a:ln>
                        </wps:spPr>
                        <wps:txbx>
                          <w:txbxContent>
                            <w:p w:rsidR="002C0F56" w:rsidRDefault="00E67C6E">
                              <w:pPr>
                                <w:spacing w:after="160" w:line="259" w:lineRule="auto"/>
                                <w:ind w:left="0" w:firstLine="0"/>
                                <w:jc w:val="left"/>
                              </w:pPr>
                              <w:r>
                                <w:rPr>
                                  <w:b/>
                                  <w:sz w:val="24"/>
                                </w:rPr>
                                <w:t>Виды образования</w:t>
                              </w:r>
                            </w:p>
                          </w:txbxContent>
                        </wps:txbx>
                        <wps:bodyPr horzOverflow="overflow" vert="horz" lIns="0" tIns="0" rIns="0" bIns="0" rtlCol="0">
                          <a:noAutofit/>
                        </wps:bodyPr>
                      </wps:wsp>
                      <wps:wsp>
                        <wps:cNvPr id="10536" name="Rectangle 10536"/>
                        <wps:cNvSpPr/>
                        <wps:spPr>
                          <a:xfrm>
                            <a:off x="3459861" y="54330"/>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10538" name="Shape 10538"/>
                        <wps:cNvSpPr/>
                        <wps:spPr>
                          <a:xfrm>
                            <a:off x="551815" y="370840"/>
                            <a:ext cx="1533525" cy="485775"/>
                          </a:xfrm>
                          <a:custGeom>
                            <a:avLst/>
                            <a:gdLst/>
                            <a:ahLst/>
                            <a:cxnLst/>
                            <a:rect l="0" t="0" r="0" b="0"/>
                            <a:pathLst>
                              <a:path w="1533525" h="485775">
                                <a:moveTo>
                                  <a:pt x="0" y="485775"/>
                                </a:moveTo>
                                <a:lnTo>
                                  <a:pt x="1533525" y="485775"/>
                                </a:lnTo>
                                <a:lnTo>
                                  <a:pt x="1533525"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39" name="Rectangle 10539"/>
                        <wps:cNvSpPr/>
                        <wps:spPr>
                          <a:xfrm>
                            <a:off x="985774" y="458763"/>
                            <a:ext cx="934207" cy="181116"/>
                          </a:xfrm>
                          <a:prstGeom prst="rect">
                            <a:avLst/>
                          </a:prstGeom>
                          <a:ln>
                            <a:noFill/>
                          </a:ln>
                        </wps:spPr>
                        <wps:txbx>
                          <w:txbxContent>
                            <w:p w:rsidR="002C0F56" w:rsidRDefault="00E67C6E">
                              <w:pPr>
                                <w:spacing w:after="160" w:line="259" w:lineRule="auto"/>
                                <w:ind w:left="0" w:firstLine="0"/>
                                <w:jc w:val="left"/>
                              </w:pPr>
                              <w:r>
                                <w:rPr>
                                  <w:b/>
                                  <w:sz w:val="24"/>
                                </w:rPr>
                                <w:t xml:space="preserve">Основное </w:t>
                              </w:r>
                            </w:p>
                          </w:txbxContent>
                        </wps:txbx>
                        <wps:bodyPr horzOverflow="overflow" vert="horz" lIns="0" tIns="0" rIns="0" bIns="0" rtlCol="0">
                          <a:noAutofit/>
                        </wps:bodyPr>
                      </wps:wsp>
                      <wps:wsp>
                        <wps:cNvPr id="10540" name="Rectangle 10540"/>
                        <wps:cNvSpPr/>
                        <wps:spPr>
                          <a:xfrm>
                            <a:off x="891286" y="634404"/>
                            <a:ext cx="1135481" cy="181116"/>
                          </a:xfrm>
                          <a:prstGeom prst="rect">
                            <a:avLst/>
                          </a:prstGeom>
                          <a:ln>
                            <a:noFill/>
                          </a:ln>
                        </wps:spPr>
                        <wps:txbx>
                          <w:txbxContent>
                            <w:p w:rsidR="002C0F56" w:rsidRDefault="00E67C6E">
                              <w:pPr>
                                <w:spacing w:after="160" w:line="259" w:lineRule="auto"/>
                                <w:ind w:left="0" w:firstLine="0"/>
                                <w:jc w:val="left"/>
                              </w:pPr>
                              <w:r>
                                <w:rPr>
                                  <w:b/>
                                  <w:sz w:val="24"/>
                                </w:rPr>
                                <w:t>образование</w:t>
                              </w:r>
                            </w:p>
                          </w:txbxContent>
                        </wps:txbx>
                        <wps:bodyPr horzOverflow="overflow" vert="horz" lIns="0" tIns="0" rIns="0" bIns="0" rtlCol="0">
                          <a:noAutofit/>
                        </wps:bodyPr>
                      </wps:wsp>
                      <wps:wsp>
                        <wps:cNvPr id="10541" name="Rectangle 10541"/>
                        <wps:cNvSpPr/>
                        <wps:spPr>
                          <a:xfrm>
                            <a:off x="1743583" y="601828"/>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10543" name="Shape 10543"/>
                        <wps:cNvSpPr/>
                        <wps:spPr>
                          <a:xfrm>
                            <a:off x="3452495" y="361315"/>
                            <a:ext cx="1695450" cy="495300"/>
                          </a:xfrm>
                          <a:custGeom>
                            <a:avLst/>
                            <a:gdLst/>
                            <a:ahLst/>
                            <a:cxnLst/>
                            <a:rect l="0" t="0" r="0" b="0"/>
                            <a:pathLst>
                              <a:path w="1695450" h="495300">
                                <a:moveTo>
                                  <a:pt x="0" y="495300"/>
                                </a:moveTo>
                                <a:lnTo>
                                  <a:pt x="1695450" y="495300"/>
                                </a:lnTo>
                                <a:lnTo>
                                  <a:pt x="1695450"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44" name="Rectangle 10544"/>
                        <wps:cNvSpPr/>
                        <wps:spPr>
                          <a:xfrm>
                            <a:off x="3726561" y="449618"/>
                            <a:ext cx="1217774" cy="181116"/>
                          </a:xfrm>
                          <a:prstGeom prst="rect">
                            <a:avLst/>
                          </a:prstGeom>
                          <a:ln>
                            <a:noFill/>
                          </a:ln>
                        </wps:spPr>
                        <wps:txbx>
                          <w:txbxContent>
                            <w:p w:rsidR="002C0F56" w:rsidRDefault="00E67C6E">
                              <w:pPr>
                                <w:spacing w:after="160" w:line="259" w:lineRule="auto"/>
                                <w:ind w:left="0" w:firstLine="0"/>
                                <w:jc w:val="left"/>
                              </w:pPr>
                              <w:r>
                                <w:rPr>
                                  <w:b/>
                                  <w:sz w:val="24"/>
                                </w:rPr>
                                <w:t>Дополнитель</w:t>
                              </w:r>
                            </w:p>
                          </w:txbxContent>
                        </wps:txbx>
                        <wps:bodyPr horzOverflow="overflow" vert="horz" lIns="0" tIns="0" rIns="0" bIns="0" rtlCol="0">
                          <a:noAutofit/>
                        </wps:bodyPr>
                      </wps:wsp>
                      <wps:wsp>
                        <wps:cNvPr id="10545" name="Rectangle 10545"/>
                        <wps:cNvSpPr/>
                        <wps:spPr>
                          <a:xfrm>
                            <a:off x="4642485" y="449618"/>
                            <a:ext cx="358562" cy="181116"/>
                          </a:xfrm>
                          <a:prstGeom prst="rect">
                            <a:avLst/>
                          </a:prstGeom>
                          <a:ln>
                            <a:noFill/>
                          </a:ln>
                        </wps:spPr>
                        <wps:txbx>
                          <w:txbxContent>
                            <w:p w:rsidR="002C0F56" w:rsidRDefault="00E67C6E">
                              <w:pPr>
                                <w:spacing w:after="160" w:line="259" w:lineRule="auto"/>
                                <w:ind w:left="0" w:firstLine="0"/>
                                <w:jc w:val="left"/>
                              </w:pPr>
                              <w:r>
                                <w:rPr>
                                  <w:b/>
                                  <w:sz w:val="24"/>
                                </w:rPr>
                                <w:t xml:space="preserve">ное </w:t>
                              </w:r>
                            </w:p>
                          </w:txbxContent>
                        </wps:txbx>
                        <wps:bodyPr horzOverflow="overflow" vert="horz" lIns="0" tIns="0" rIns="0" bIns="0" rtlCol="0">
                          <a:noAutofit/>
                        </wps:bodyPr>
                      </wps:wsp>
                      <wps:wsp>
                        <wps:cNvPr id="10546" name="Rectangle 10546"/>
                        <wps:cNvSpPr/>
                        <wps:spPr>
                          <a:xfrm>
                            <a:off x="3874389" y="625260"/>
                            <a:ext cx="1135481" cy="181116"/>
                          </a:xfrm>
                          <a:prstGeom prst="rect">
                            <a:avLst/>
                          </a:prstGeom>
                          <a:ln>
                            <a:noFill/>
                          </a:ln>
                        </wps:spPr>
                        <wps:txbx>
                          <w:txbxContent>
                            <w:p w:rsidR="002C0F56" w:rsidRDefault="00E67C6E">
                              <w:pPr>
                                <w:spacing w:after="160" w:line="259" w:lineRule="auto"/>
                                <w:ind w:left="0" w:firstLine="0"/>
                                <w:jc w:val="left"/>
                              </w:pPr>
                              <w:r>
                                <w:rPr>
                                  <w:b/>
                                  <w:sz w:val="24"/>
                                </w:rPr>
                                <w:t>образование</w:t>
                              </w:r>
                            </w:p>
                          </w:txbxContent>
                        </wps:txbx>
                        <wps:bodyPr horzOverflow="overflow" vert="horz" lIns="0" tIns="0" rIns="0" bIns="0" rtlCol="0">
                          <a:noAutofit/>
                        </wps:bodyPr>
                      </wps:wsp>
                      <wps:wsp>
                        <wps:cNvPr id="10547" name="Rectangle 10547"/>
                        <wps:cNvSpPr/>
                        <wps:spPr>
                          <a:xfrm>
                            <a:off x="4726306" y="592683"/>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10549" name="Shape 10549"/>
                        <wps:cNvSpPr/>
                        <wps:spPr>
                          <a:xfrm>
                            <a:off x="635" y="916305"/>
                            <a:ext cx="1201420" cy="485775"/>
                          </a:xfrm>
                          <a:custGeom>
                            <a:avLst/>
                            <a:gdLst/>
                            <a:ahLst/>
                            <a:cxnLst/>
                            <a:rect l="0" t="0" r="0" b="0"/>
                            <a:pathLst>
                              <a:path w="1201420" h="485775">
                                <a:moveTo>
                                  <a:pt x="0" y="485775"/>
                                </a:moveTo>
                                <a:lnTo>
                                  <a:pt x="1201420" y="485775"/>
                                </a:lnTo>
                                <a:lnTo>
                                  <a:pt x="1201420"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50" name="Rectangle 10550"/>
                        <wps:cNvSpPr/>
                        <wps:spPr>
                          <a:xfrm>
                            <a:off x="204013" y="1002280"/>
                            <a:ext cx="1106090" cy="184382"/>
                          </a:xfrm>
                          <a:prstGeom prst="rect">
                            <a:avLst/>
                          </a:prstGeom>
                          <a:ln>
                            <a:noFill/>
                          </a:ln>
                        </wps:spPr>
                        <wps:txbx>
                          <w:txbxContent>
                            <w:p w:rsidR="002C0F56" w:rsidRDefault="00E67C6E">
                              <w:pPr>
                                <w:spacing w:after="160" w:line="259" w:lineRule="auto"/>
                                <w:ind w:left="0" w:firstLine="0"/>
                                <w:jc w:val="left"/>
                              </w:pPr>
                              <w:r>
                                <w:rPr>
                                  <w:sz w:val="24"/>
                                </w:rPr>
                                <w:t xml:space="preserve">дошкольное </w:t>
                              </w:r>
                            </w:p>
                          </w:txbxContent>
                        </wps:txbx>
                        <wps:bodyPr horzOverflow="overflow" vert="horz" lIns="0" tIns="0" rIns="0" bIns="0" rtlCol="0">
                          <a:noAutofit/>
                        </wps:bodyPr>
                      </wps:wsp>
                      <wps:wsp>
                        <wps:cNvPr id="10551" name="Rectangle 10551"/>
                        <wps:cNvSpPr/>
                        <wps:spPr>
                          <a:xfrm>
                            <a:off x="199441" y="1177541"/>
                            <a:ext cx="1070417" cy="184382"/>
                          </a:xfrm>
                          <a:prstGeom prst="rect">
                            <a:avLst/>
                          </a:prstGeom>
                          <a:ln>
                            <a:noFill/>
                          </a:ln>
                        </wps:spPr>
                        <wps:txbx>
                          <w:txbxContent>
                            <w:p w:rsidR="002C0F56" w:rsidRDefault="00E67C6E">
                              <w:pPr>
                                <w:spacing w:after="160" w:line="259" w:lineRule="auto"/>
                                <w:ind w:left="0" w:firstLine="0"/>
                                <w:jc w:val="left"/>
                              </w:pPr>
                              <w:r>
                                <w:rPr>
                                  <w:sz w:val="24"/>
                                </w:rPr>
                                <w:t>образование</w:t>
                              </w:r>
                            </w:p>
                          </w:txbxContent>
                        </wps:txbx>
                        <wps:bodyPr horzOverflow="overflow" vert="horz" lIns="0" tIns="0" rIns="0" bIns="0" rtlCol="0">
                          <a:noAutofit/>
                        </wps:bodyPr>
                      </wps:wsp>
                      <wps:wsp>
                        <wps:cNvPr id="10552" name="Rectangle 10552"/>
                        <wps:cNvSpPr/>
                        <wps:spPr>
                          <a:xfrm>
                            <a:off x="1004062" y="1147420"/>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54" name="Shape 10554"/>
                        <wps:cNvSpPr/>
                        <wps:spPr>
                          <a:xfrm>
                            <a:off x="0" y="1473835"/>
                            <a:ext cx="1201420" cy="648335"/>
                          </a:xfrm>
                          <a:custGeom>
                            <a:avLst/>
                            <a:gdLst/>
                            <a:ahLst/>
                            <a:cxnLst/>
                            <a:rect l="0" t="0" r="0" b="0"/>
                            <a:pathLst>
                              <a:path w="1201420" h="648335">
                                <a:moveTo>
                                  <a:pt x="0" y="648335"/>
                                </a:moveTo>
                                <a:lnTo>
                                  <a:pt x="1201420" y="648335"/>
                                </a:lnTo>
                                <a:lnTo>
                                  <a:pt x="1201420"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55" name="Rectangle 10555"/>
                        <wps:cNvSpPr/>
                        <wps:spPr>
                          <a:xfrm>
                            <a:off x="124765" y="1560064"/>
                            <a:ext cx="1313039" cy="184382"/>
                          </a:xfrm>
                          <a:prstGeom prst="rect">
                            <a:avLst/>
                          </a:prstGeom>
                          <a:ln>
                            <a:noFill/>
                          </a:ln>
                        </wps:spPr>
                        <wps:txbx>
                          <w:txbxContent>
                            <w:p w:rsidR="002C0F56" w:rsidRDefault="00E67C6E">
                              <w:pPr>
                                <w:spacing w:after="160" w:line="259" w:lineRule="auto"/>
                                <w:ind w:left="0" w:firstLine="0"/>
                                <w:jc w:val="left"/>
                              </w:pPr>
                              <w:r>
                                <w:rPr>
                                  <w:sz w:val="24"/>
                                </w:rPr>
                                <w:t xml:space="preserve">общее среднее </w:t>
                              </w:r>
                            </w:p>
                          </w:txbxContent>
                        </wps:txbx>
                        <wps:bodyPr horzOverflow="overflow" vert="horz" lIns="0" tIns="0" rIns="0" bIns="0" rtlCol="0">
                          <a:noAutofit/>
                        </wps:bodyPr>
                      </wps:wsp>
                      <wps:wsp>
                        <wps:cNvPr id="10556" name="Rectangle 10556"/>
                        <wps:cNvSpPr/>
                        <wps:spPr>
                          <a:xfrm>
                            <a:off x="197917" y="1735324"/>
                            <a:ext cx="1070417" cy="184382"/>
                          </a:xfrm>
                          <a:prstGeom prst="rect">
                            <a:avLst/>
                          </a:prstGeom>
                          <a:ln>
                            <a:noFill/>
                          </a:ln>
                        </wps:spPr>
                        <wps:txbx>
                          <w:txbxContent>
                            <w:p w:rsidR="002C0F56" w:rsidRDefault="00E67C6E">
                              <w:pPr>
                                <w:spacing w:after="160" w:line="259" w:lineRule="auto"/>
                                <w:ind w:left="0" w:firstLine="0"/>
                                <w:jc w:val="left"/>
                              </w:pPr>
                              <w:r>
                                <w:rPr>
                                  <w:sz w:val="24"/>
                                </w:rPr>
                                <w:t>образование</w:t>
                              </w:r>
                            </w:p>
                          </w:txbxContent>
                        </wps:txbx>
                        <wps:bodyPr horzOverflow="overflow" vert="horz" lIns="0" tIns="0" rIns="0" bIns="0" rtlCol="0">
                          <a:noAutofit/>
                        </wps:bodyPr>
                      </wps:wsp>
                      <wps:wsp>
                        <wps:cNvPr id="10557" name="Rectangle 10557"/>
                        <wps:cNvSpPr/>
                        <wps:spPr>
                          <a:xfrm>
                            <a:off x="1002538" y="1705204"/>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59" name="Shape 10559"/>
                        <wps:cNvSpPr/>
                        <wps:spPr>
                          <a:xfrm>
                            <a:off x="3182620" y="917575"/>
                            <a:ext cx="1133475" cy="485775"/>
                          </a:xfrm>
                          <a:custGeom>
                            <a:avLst/>
                            <a:gdLst/>
                            <a:ahLst/>
                            <a:cxnLst/>
                            <a:rect l="0" t="0" r="0" b="0"/>
                            <a:pathLst>
                              <a:path w="1133475" h="485775">
                                <a:moveTo>
                                  <a:pt x="0" y="485775"/>
                                </a:moveTo>
                                <a:lnTo>
                                  <a:pt x="1133475" y="485775"/>
                                </a:lnTo>
                                <a:lnTo>
                                  <a:pt x="1133475"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60" name="Rectangle 10560"/>
                        <wps:cNvSpPr/>
                        <wps:spPr>
                          <a:xfrm>
                            <a:off x="3319653" y="1003804"/>
                            <a:ext cx="1195072" cy="184382"/>
                          </a:xfrm>
                          <a:prstGeom prst="rect">
                            <a:avLst/>
                          </a:prstGeom>
                          <a:ln>
                            <a:noFill/>
                          </a:ln>
                        </wps:spPr>
                        <wps:txbx>
                          <w:txbxContent>
                            <w:p w:rsidR="002C0F56" w:rsidRDefault="00E67C6E">
                              <w:pPr>
                                <w:spacing w:after="160" w:line="259" w:lineRule="auto"/>
                                <w:ind w:left="0" w:firstLine="0"/>
                                <w:jc w:val="left"/>
                              </w:pPr>
                              <w:r>
                                <w:rPr>
                                  <w:sz w:val="24"/>
                                </w:rPr>
                                <w:t xml:space="preserve">внешкольное </w:t>
                              </w:r>
                            </w:p>
                          </w:txbxContent>
                        </wps:txbx>
                        <wps:bodyPr horzOverflow="overflow" vert="horz" lIns="0" tIns="0" rIns="0" bIns="0" rtlCol="0">
                          <a:noAutofit/>
                        </wps:bodyPr>
                      </wps:wsp>
                      <wps:wsp>
                        <wps:cNvPr id="10561" name="Rectangle 10561"/>
                        <wps:cNvSpPr/>
                        <wps:spPr>
                          <a:xfrm>
                            <a:off x="3348609" y="1179065"/>
                            <a:ext cx="1070417" cy="184382"/>
                          </a:xfrm>
                          <a:prstGeom prst="rect">
                            <a:avLst/>
                          </a:prstGeom>
                          <a:ln>
                            <a:noFill/>
                          </a:ln>
                        </wps:spPr>
                        <wps:txbx>
                          <w:txbxContent>
                            <w:p w:rsidR="002C0F56" w:rsidRDefault="00E67C6E">
                              <w:pPr>
                                <w:spacing w:after="160" w:line="259" w:lineRule="auto"/>
                                <w:ind w:left="0" w:firstLine="0"/>
                                <w:jc w:val="left"/>
                              </w:pPr>
                              <w:r>
                                <w:rPr>
                                  <w:sz w:val="24"/>
                                </w:rPr>
                                <w:t>образование</w:t>
                              </w:r>
                            </w:p>
                          </w:txbxContent>
                        </wps:txbx>
                        <wps:bodyPr horzOverflow="overflow" vert="horz" lIns="0" tIns="0" rIns="0" bIns="0" rtlCol="0">
                          <a:noAutofit/>
                        </wps:bodyPr>
                      </wps:wsp>
                      <wps:wsp>
                        <wps:cNvPr id="10562" name="Rectangle 10562"/>
                        <wps:cNvSpPr/>
                        <wps:spPr>
                          <a:xfrm>
                            <a:off x="4153281" y="1148944"/>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64" name="Shape 10564"/>
                        <wps:cNvSpPr/>
                        <wps:spPr>
                          <a:xfrm>
                            <a:off x="4471670" y="917575"/>
                            <a:ext cx="1295400" cy="781050"/>
                          </a:xfrm>
                          <a:custGeom>
                            <a:avLst/>
                            <a:gdLst/>
                            <a:ahLst/>
                            <a:cxnLst/>
                            <a:rect l="0" t="0" r="0" b="0"/>
                            <a:pathLst>
                              <a:path w="1295400" h="781050">
                                <a:moveTo>
                                  <a:pt x="0" y="781050"/>
                                </a:moveTo>
                                <a:lnTo>
                                  <a:pt x="1295400" y="781050"/>
                                </a:lnTo>
                                <a:lnTo>
                                  <a:pt x="1295400"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65" name="Rectangle 10565"/>
                        <wps:cNvSpPr/>
                        <wps:spPr>
                          <a:xfrm>
                            <a:off x="4746118" y="1003804"/>
                            <a:ext cx="1045283" cy="184382"/>
                          </a:xfrm>
                          <a:prstGeom prst="rect">
                            <a:avLst/>
                          </a:prstGeom>
                          <a:ln>
                            <a:noFill/>
                          </a:ln>
                        </wps:spPr>
                        <wps:txbx>
                          <w:txbxContent>
                            <w:p w:rsidR="002C0F56" w:rsidRDefault="00E67C6E">
                              <w:pPr>
                                <w:spacing w:after="160" w:line="259" w:lineRule="auto"/>
                                <w:ind w:left="0" w:firstLine="0"/>
                                <w:jc w:val="left"/>
                              </w:pPr>
                              <w:r>
                                <w:rPr>
                                  <w:sz w:val="24"/>
                                </w:rPr>
                                <w:t xml:space="preserve">повышение </w:t>
                              </w:r>
                            </w:p>
                          </w:txbxContent>
                        </wps:txbx>
                        <wps:bodyPr horzOverflow="overflow" vert="horz" lIns="0" tIns="0" rIns="0" bIns="0" rtlCol="0">
                          <a:noAutofit/>
                        </wps:bodyPr>
                      </wps:wsp>
                      <wps:wsp>
                        <wps:cNvPr id="10566" name="Rectangle 10566"/>
                        <wps:cNvSpPr/>
                        <wps:spPr>
                          <a:xfrm>
                            <a:off x="4590669" y="1179065"/>
                            <a:ext cx="1457964" cy="184382"/>
                          </a:xfrm>
                          <a:prstGeom prst="rect">
                            <a:avLst/>
                          </a:prstGeom>
                          <a:ln>
                            <a:noFill/>
                          </a:ln>
                        </wps:spPr>
                        <wps:txbx>
                          <w:txbxContent>
                            <w:p w:rsidR="002C0F56" w:rsidRDefault="00E67C6E">
                              <w:pPr>
                                <w:spacing w:after="160" w:line="259" w:lineRule="auto"/>
                                <w:ind w:left="0" w:firstLine="0"/>
                                <w:jc w:val="left"/>
                              </w:pPr>
                              <w:r>
                                <w:rPr>
                                  <w:sz w:val="24"/>
                                </w:rPr>
                                <w:t xml:space="preserve">квалификации и </w:t>
                              </w:r>
                            </w:p>
                          </w:txbxContent>
                        </wps:txbx>
                        <wps:bodyPr horzOverflow="overflow" vert="horz" lIns="0" tIns="0" rIns="0" bIns="0" rtlCol="0">
                          <a:noAutofit/>
                        </wps:bodyPr>
                      </wps:wsp>
                      <wps:wsp>
                        <wps:cNvPr id="10567" name="Rectangle 10567"/>
                        <wps:cNvSpPr/>
                        <wps:spPr>
                          <a:xfrm>
                            <a:off x="4608957" y="1354324"/>
                            <a:ext cx="1412561" cy="184382"/>
                          </a:xfrm>
                          <a:prstGeom prst="rect">
                            <a:avLst/>
                          </a:prstGeom>
                          <a:ln>
                            <a:noFill/>
                          </a:ln>
                        </wps:spPr>
                        <wps:txbx>
                          <w:txbxContent>
                            <w:p w:rsidR="002C0F56" w:rsidRDefault="00E67C6E">
                              <w:pPr>
                                <w:spacing w:after="160" w:line="259" w:lineRule="auto"/>
                                <w:ind w:left="0" w:firstLine="0"/>
                                <w:jc w:val="left"/>
                              </w:pPr>
                              <w:r>
                                <w:rPr>
                                  <w:sz w:val="24"/>
                                </w:rPr>
                                <w:t xml:space="preserve">переподготовка </w:t>
                              </w:r>
                            </w:p>
                          </w:txbxContent>
                        </wps:txbx>
                        <wps:bodyPr horzOverflow="overflow" vert="horz" lIns="0" tIns="0" rIns="0" bIns="0" rtlCol="0">
                          <a:noAutofit/>
                        </wps:bodyPr>
                      </wps:wsp>
                      <wps:wsp>
                        <wps:cNvPr id="10568" name="Rectangle 10568"/>
                        <wps:cNvSpPr/>
                        <wps:spPr>
                          <a:xfrm>
                            <a:off x="4898898" y="1529584"/>
                            <a:ext cx="589834" cy="184382"/>
                          </a:xfrm>
                          <a:prstGeom prst="rect">
                            <a:avLst/>
                          </a:prstGeom>
                          <a:ln>
                            <a:noFill/>
                          </a:ln>
                        </wps:spPr>
                        <wps:txbx>
                          <w:txbxContent>
                            <w:p w:rsidR="002C0F56" w:rsidRDefault="00E67C6E">
                              <w:pPr>
                                <w:spacing w:after="160" w:line="259" w:lineRule="auto"/>
                                <w:ind w:left="0" w:firstLine="0"/>
                                <w:jc w:val="left"/>
                              </w:pPr>
                              <w:r>
                                <w:rPr>
                                  <w:sz w:val="24"/>
                                </w:rPr>
                                <w:t>кадров</w:t>
                              </w:r>
                            </w:p>
                          </w:txbxContent>
                        </wps:txbx>
                        <wps:bodyPr horzOverflow="overflow" vert="horz" lIns="0" tIns="0" rIns="0" bIns="0" rtlCol="0">
                          <a:noAutofit/>
                        </wps:bodyPr>
                      </wps:wsp>
                      <wps:wsp>
                        <wps:cNvPr id="10569" name="Rectangle 10569"/>
                        <wps:cNvSpPr/>
                        <wps:spPr>
                          <a:xfrm>
                            <a:off x="5342382" y="1499464"/>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71" name="Shape 10571"/>
                        <wps:cNvSpPr/>
                        <wps:spPr>
                          <a:xfrm>
                            <a:off x="1339850" y="916939"/>
                            <a:ext cx="1413510" cy="485775"/>
                          </a:xfrm>
                          <a:custGeom>
                            <a:avLst/>
                            <a:gdLst/>
                            <a:ahLst/>
                            <a:cxnLst/>
                            <a:rect l="0" t="0" r="0" b="0"/>
                            <a:pathLst>
                              <a:path w="1413510" h="485775">
                                <a:moveTo>
                                  <a:pt x="0" y="485775"/>
                                </a:moveTo>
                                <a:lnTo>
                                  <a:pt x="1413510" y="485775"/>
                                </a:lnTo>
                                <a:lnTo>
                                  <a:pt x="1413510"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72" name="Rectangle 10572"/>
                        <wps:cNvSpPr/>
                        <wps:spPr>
                          <a:xfrm>
                            <a:off x="1577467" y="1002280"/>
                            <a:ext cx="1301080" cy="184382"/>
                          </a:xfrm>
                          <a:prstGeom prst="rect">
                            <a:avLst/>
                          </a:prstGeom>
                          <a:ln>
                            <a:noFill/>
                          </a:ln>
                        </wps:spPr>
                        <wps:txbx>
                          <w:txbxContent>
                            <w:p w:rsidR="002C0F56" w:rsidRDefault="00E67C6E">
                              <w:pPr>
                                <w:spacing w:after="160" w:line="259" w:lineRule="auto"/>
                                <w:ind w:left="0" w:firstLine="0"/>
                                <w:jc w:val="left"/>
                              </w:pPr>
                              <w:r>
                                <w:rPr>
                                  <w:sz w:val="24"/>
                                </w:rPr>
                                <w:t xml:space="preserve">общее базовое </w:t>
                              </w:r>
                            </w:p>
                          </w:txbxContent>
                        </wps:txbx>
                        <wps:bodyPr horzOverflow="overflow" vert="horz" lIns="0" tIns="0" rIns="0" bIns="0" rtlCol="0">
                          <a:noAutofit/>
                        </wps:bodyPr>
                      </wps:wsp>
                      <wps:wsp>
                        <wps:cNvPr id="10573" name="Rectangle 10573"/>
                        <wps:cNvSpPr/>
                        <wps:spPr>
                          <a:xfrm>
                            <a:off x="1644523" y="1177541"/>
                            <a:ext cx="1070416" cy="184382"/>
                          </a:xfrm>
                          <a:prstGeom prst="rect">
                            <a:avLst/>
                          </a:prstGeom>
                          <a:ln>
                            <a:noFill/>
                          </a:ln>
                        </wps:spPr>
                        <wps:txbx>
                          <w:txbxContent>
                            <w:p w:rsidR="002C0F56" w:rsidRDefault="00E67C6E">
                              <w:pPr>
                                <w:spacing w:after="160" w:line="259" w:lineRule="auto"/>
                                <w:ind w:left="0" w:firstLine="0"/>
                                <w:jc w:val="left"/>
                              </w:pPr>
                              <w:r>
                                <w:rPr>
                                  <w:sz w:val="24"/>
                                </w:rPr>
                                <w:t>образование</w:t>
                              </w:r>
                            </w:p>
                          </w:txbxContent>
                        </wps:txbx>
                        <wps:bodyPr horzOverflow="overflow" vert="horz" lIns="0" tIns="0" rIns="0" bIns="0" rtlCol="0">
                          <a:noAutofit/>
                        </wps:bodyPr>
                      </wps:wsp>
                      <wps:wsp>
                        <wps:cNvPr id="10574" name="Rectangle 10574"/>
                        <wps:cNvSpPr/>
                        <wps:spPr>
                          <a:xfrm>
                            <a:off x="2449195" y="1147420"/>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76" name="Shape 10576"/>
                        <wps:cNvSpPr/>
                        <wps:spPr>
                          <a:xfrm>
                            <a:off x="1339850" y="1473835"/>
                            <a:ext cx="1414145" cy="648335"/>
                          </a:xfrm>
                          <a:custGeom>
                            <a:avLst/>
                            <a:gdLst/>
                            <a:ahLst/>
                            <a:cxnLst/>
                            <a:rect l="0" t="0" r="0" b="0"/>
                            <a:pathLst>
                              <a:path w="1414145" h="648335">
                                <a:moveTo>
                                  <a:pt x="0" y="648335"/>
                                </a:moveTo>
                                <a:lnTo>
                                  <a:pt x="1414145" y="648335"/>
                                </a:lnTo>
                                <a:lnTo>
                                  <a:pt x="1414145" y="0"/>
                                </a:lnTo>
                                <a:lnTo>
                                  <a:pt x="0" y="0"/>
                                </a:lnTo>
                                <a:close/>
                              </a:path>
                            </a:pathLst>
                          </a:custGeom>
                          <a:ln w="6350" cap="rnd">
                            <a:miter lim="127000"/>
                          </a:ln>
                        </wps:spPr>
                        <wps:style>
                          <a:lnRef idx="1">
                            <a:srgbClr val="000000"/>
                          </a:lnRef>
                          <a:fillRef idx="0">
                            <a:srgbClr val="000000">
                              <a:alpha val="0"/>
                            </a:srgbClr>
                          </a:fillRef>
                          <a:effectRef idx="0">
                            <a:scrgbClr r="0" g="0" b="0"/>
                          </a:effectRef>
                          <a:fontRef idx="none"/>
                        </wps:style>
                        <wps:bodyPr/>
                      </wps:wsp>
                      <wps:wsp>
                        <wps:cNvPr id="10577" name="Rectangle 10577"/>
                        <wps:cNvSpPr/>
                        <wps:spPr>
                          <a:xfrm>
                            <a:off x="1449070" y="1560064"/>
                            <a:ext cx="1525258" cy="184382"/>
                          </a:xfrm>
                          <a:prstGeom prst="rect">
                            <a:avLst/>
                          </a:prstGeom>
                          <a:ln>
                            <a:noFill/>
                          </a:ln>
                        </wps:spPr>
                        <wps:txbx>
                          <w:txbxContent>
                            <w:p w:rsidR="002C0F56" w:rsidRDefault="00E67C6E">
                              <w:pPr>
                                <w:spacing w:after="160" w:line="259" w:lineRule="auto"/>
                                <w:ind w:left="0" w:firstLine="0"/>
                                <w:jc w:val="left"/>
                              </w:pPr>
                              <w:r>
                                <w:rPr>
                                  <w:sz w:val="24"/>
                                </w:rPr>
                                <w:t>профессионально</w:t>
                              </w:r>
                            </w:p>
                          </w:txbxContent>
                        </wps:txbx>
                        <wps:bodyPr horzOverflow="overflow" vert="horz" lIns="0" tIns="0" rIns="0" bIns="0" rtlCol="0">
                          <a:noAutofit/>
                        </wps:bodyPr>
                      </wps:wsp>
                      <wps:wsp>
                        <wps:cNvPr id="10578" name="Rectangle 10578"/>
                        <wps:cNvSpPr/>
                        <wps:spPr>
                          <a:xfrm>
                            <a:off x="2597023" y="1529944"/>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10579" name="Rectangle 10579"/>
                        <wps:cNvSpPr/>
                        <wps:spPr>
                          <a:xfrm>
                            <a:off x="2647315" y="1529944"/>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80" name="Rectangle 10580"/>
                        <wps:cNvSpPr/>
                        <wps:spPr>
                          <a:xfrm>
                            <a:off x="1646047" y="1735324"/>
                            <a:ext cx="1118252" cy="184382"/>
                          </a:xfrm>
                          <a:prstGeom prst="rect">
                            <a:avLst/>
                          </a:prstGeom>
                          <a:ln>
                            <a:noFill/>
                          </a:ln>
                        </wps:spPr>
                        <wps:txbx>
                          <w:txbxContent>
                            <w:p w:rsidR="002C0F56" w:rsidRDefault="00E67C6E">
                              <w:pPr>
                                <w:spacing w:after="160" w:line="259" w:lineRule="auto"/>
                                <w:ind w:left="0" w:firstLine="0"/>
                                <w:jc w:val="left"/>
                              </w:pPr>
                              <w:r>
                                <w:rPr>
                                  <w:sz w:val="24"/>
                                </w:rPr>
                                <w:t xml:space="preserve">техническое </w:t>
                              </w:r>
                            </w:p>
                          </w:txbxContent>
                        </wps:txbx>
                        <wps:bodyPr horzOverflow="overflow" vert="horz" lIns="0" tIns="0" rIns="0" bIns="0" rtlCol="0">
                          <a:noAutofit/>
                        </wps:bodyPr>
                      </wps:wsp>
                      <wps:wsp>
                        <wps:cNvPr id="10581" name="Rectangle 10581"/>
                        <wps:cNvSpPr/>
                        <wps:spPr>
                          <a:xfrm>
                            <a:off x="1646047" y="1910584"/>
                            <a:ext cx="1070417" cy="184382"/>
                          </a:xfrm>
                          <a:prstGeom prst="rect">
                            <a:avLst/>
                          </a:prstGeom>
                          <a:ln>
                            <a:noFill/>
                          </a:ln>
                        </wps:spPr>
                        <wps:txbx>
                          <w:txbxContent>
                            <w:p w:rsidR="002C0F56" w:rsidRDefault="00E67C6E">
                              <w:pPr>
                                <w:spacing w:after="160" w:line="259" w:lineRule="auto"/>
                                <w:ind w:left="0" w:firstLine="0"/>
                                <w:jc w:val="left"/>
                              </w:pPr>
                              <w:r>
                                <w:rPr>
                                  <w:sz w:val="24"/>
                                </w:rPr>
                                <w:t>образование</w:t>
                              </w:r>
                            </w:p>
                          </w:txbxContent>
                        </wps:txbx>
                        <wps:bodyPr horzOverflow="overflow" vert="horz" lIns="0" tIns="0" rIns="0" bIns="0" rtlCol="0">
                          <a:noAutofit/>
                        </wps:bodyPr>
                      </wps:wsp>
                      <wps:wsp>
                        <wps:cNvPr id="10582" name="Rectangle 10582"/>
                        <wps:cNvSpPr/>
                        <wps:spPr>
                          <a:xfrm>
                            <a:off x="2450719" y="1880464"/>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0594" name="Shape 10594"/>
                        <wps:cNvSpPr/>
                        <wps:spPr>
                          <a:xfrm>
                            <a:off x="1988820" y="238125"/>
                            <a:ext cx="701675" cy="147955"/>
                          </a:xfrm>
                          <a:custGeom>
                            <a:avLst/>
                            <a:gdLst/>
                            <a:ahLst/>
                            <a:cxnLst/>
                            <a:rect l="0" t="0" r="0" b="0"/>
                            <a:pathLst>
                              <a:path w="701675" h="147955">
                                <a:moveTo>
                                  <a:pt x="701675" y="0"/>
                                </a:moveTo>
                                <a:lnTo>
                                  <a:pt x="0" y="14795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0595" name="Shape 10595"/>
                        <wps:cNvSpPr/>
                        <wps:spPr>
                          <a:xfrm>
                            <a:off x="2934970" y="237490"/>
                            <a:ext cx="797560" cy="147955"/>
                          </a:xfrm>
                          <a:custGeom>
                            <a:avLst/>
                            <a:gdLst/>
                            <a:ahLst/>
                            <a:cxnLst/>
                            <a:rect l="0" t="0" r="0" b="0"/>
                            <a:pathLst>
                              <a:path w="797560" h="147955">
                                <a:moveTo>
                                  <a:pt x="0" y="0"/>
                                </a:moveTo>
                                <a:lnTo>
                                  <a:pt x="797560" y="14795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0596" name="Shape 10596"/>
                        <wps:cNvSpPr/>
                        <wps:spPr>
                          <a:xfrm>
                            <a:off x="1202055" y="808990"/>
                            <a:ext cx="0" cy="132080"/>
                          </a:xfrm>
                          <a:custGeom>
                            <a:avLst/>
                            <a:gdLst/>
                            <a:ahLst/>
                            <a:cxnLst/>
                            <a:rect l="0" t="0" r="0" b="0"/>
                            <a:pathLst>
                              <a:path h="132080">
                                <a:moveTo>
                                  <a:pt x="0" y="0"/>
                                </a:moveTo>
                                <a:lnTo>
                                  <a:pt x="0" y="13208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0597" name="Shape 10597"/>
                        <wps:cNvSpPr/>
                        <wps:spPr>
                          <a:xfrm>
                            <a:off x="1339850" y="813435"/>
                            <a:ext cx="0" cy="127635"/>
                          </a:xfrm>
                          <a:custGeom>
                            <a:avLst/>
                            <a:gdLst/>
                            <a:ahLst/>
                            <a:cxnLst/>
                            <a:rect l="0" t="0" r="0" b="0"/>
                            <a:pathLst>
                              <a:path h="127635">
                                <a:moveTo>
                                  <a:pt x="0" y="0"/>
                                </a:moveTo>
                                <a:lnTo>
                                  <a:pt x="0" y="12763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0598" name="Shape 10598"/>
                        <wps:cNvSpPr/>
                        <wps:spPr>
                          <a:xfrm>
                            <a:off x="4312920" y="813435"/>
                            <a:ext cx="0" cy="131445"/>
                          </a:xfrm>
                          <a:custGeom>
                            <a:avLst/>
                            <a:gdLst/>
                            <a:ahLst/>
                            <a:cxnLst/>
                            <a:rect l="0" t="0" r="0" b="0"/>
                            <a:pathLst>
                              <a:path h="131445">
                                <a:moveTo>
                                  <a:pt x="0" y="0"/>
                                </a:moveTo>
                                <a:lnTo>
                                  <a:pt x="0" y="13144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0599" name="Shape 10599"/>
                        <wps:cNvSpPr/>
                        <wps:spPr>
                          <a:xfrm>
                            <a:off x="4476750" y="813435"/>
                            <a:ext cx="0" cy="131445"/>
                          </a:xfrm>
                          <a:custGeom>
                            <a:avLst/>
                            <a:gdLst/>
                            <a:ahLst/>
                            <a:cxnLst/>
                            <a:rect l="0" t="0" r="0" b="0"/>
                            <a:pathLst>
                              <a:path h="131445">
                                <a:moveTo>
                                  <a:pt x="0" y="0"/>
                                </a:moveTo>
                                <a:lnTo>
                                  <a:pt x="0" y="131445"/>
                                </a:lnTo>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55875" style="width:454.1pt;height:167.1pt;mso-position-horizontal-relative:char;mso-position-vertical-relative:line" coordsize="57670,21221">
                <v:shape id="Shape 10534" style="position:absolute;width:25336;height:2667;left:15474;top:0;" coordsize="2533650,266700" path="m0,266700l2533650,266700l2533650,0l0,0x">
                  <v:stroke weight="0.5pt" endcap="round" joinstyle="miter" miterlimit="10" on="true" color="#000000"/>
                  <v:fill on="false" color="#000000" opacity="0"/>
                </v:shape>
                <v:rect id="Rectangle 10535" style="position:absolute;width:17180;height:1811;left:21687;top:869;"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Виды образования</w:t>
                        </w:r>
                      </w:p>
                    </w:txbxContent>
                  </v:textbox>
                </v:rect>
                <v:rect id="Rectangle 10536" style="position:absolute;width:506;height:2243;left:34598;top:543;"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shape id="Shape 10538" style="position:absolute;width:15335;height:4857;left:5518;top:3708;" coordsize="1533525,485775" path="m0,485775l1533525,485775l1533525,0l0,0x">
                  <v:stroke weight="0.5pt" endcap="round" joinstyle="miter" miterlimit="10" on="true" color="#000000"/>
                  <v:fill on="false" color="#000000" opacity="0"/>
                </v:shape>
                <v:rect id="Rectangle 10539" style="position:absolute;width:9342;height:1811;left:9857;top:4587;"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Основное </w:t>
                        </w:r>
                      </w:p>
                    </w:txbxContent>
                  </v:textbox>
                </v:rect>
                <v:rect id="Rectangle 10540" style="position:absolute;width:11354;height:1811;left:8912;top:6344;"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образование</w:t>
                        </w:r>
                      </w:p>
                    </w:txbxContent>
                  </v:textbox>
                </v:rect>
                <v:rect id="Rectangle 10541" style="position:absolute;width:506;height:2243;left:17435;top:6018;"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shape id="Shape 10543" style="position:absolute;width:16954;height:4953;left:34524;top:3613;" coordsize="1695450,495300" path="m0,495300l1695450,495300l1695450,0l0,0x">
                  <v:stroke weight="0.5pt" endcap="round" joinstyle="miter" miterlimit="10" on="true" color="#000000"/>
                  <v:fill on="false" color="#000000" opacity="0"/>
                </v:shape>
                <v:rect id="Rectangle 10544" style="position:absolute;width:12177;height:1811;left:37265;top:4496;"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Дополнитель</w:t>
                        </w:r>
                      </w:p>
                    </w:txbxContent>
                  </v:textbox>
                </v:rect>
                <v:rect id="Rectangle 10545" style="position:absolute;width:3585;height:1811;left:46424;top:4496;"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ное </w:t>
                        </w:r>
                      </w:p>
                    </w:txbxContent>
                  </v:textbox>
                </v:rect>
                <v:rect id="Rectangle 10546" style="position:absolute;width:11354;height:1811;left:38743;top:6252;"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образование</w:t>
                        </w:r>
                      </w:p>
                    </w:txbxContent>
                  </v:textbox>
                </v:rect>
                <v:rect id="Rectangle 10547" style="position:absolute;width:506;height:2243;left:47263;top:5926;"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shape id="Shape 10549" style="position:absolute;width:12014;height:4857;left:6;top:9163;" coordsize="1201420,485775" path="m0,485775l1201420,485775l1201420,0l0,0x">
                  <v:stroke weight="0.5pt" endcap="round" joinstyle="miter" miterlimit="10" on="true" color="#000000"/>
                  <v:fill on="false" color="#000000" opacity="0"/>
                </v:shape>
                <v:rect id="Rectangle 10550" style="position:absolute;width:11060;height:1843;left:2040;top:10022;" filled="f" stroked="f">
                  <v:textbox inset="0,0,0,0">
                    <w:txbxContent>
                      <w:p>
                        <w:pPr>
                          <w:spacing w:before="0" w:after="160" w:line="259" w:lineRule="auto"/>
                          <w:ind w:left="0" w:firstLine="0"/>
                          <w:jc w:val="left"/>
                        </w:pPr>
                        <w:r>
                          <w:rPr>
                            <w:sz w:val="24"/>
                          </w:rPr>
                          <w:t xml:space="preserve">дошкольное </w:t>
                        </w:r>
                      </w:p>
                    </w:txbxContent>
                  </v:textbox>
                </v:rect>
                <v:rect id="Rectangle 10551" style="position:absolute;width:10704;height:1843;left:1994;top:11775;" filled="f" stroked="f">
                  <v:textbox inset="0,0,0,0">
                    <w:txbxContent>
                      <w:p>
                        <w:pPr>
                          <w:spacing w:before="0" w:after="160" w:line="259" w:lineRule="auto"/>
                          <w:ind w:left="0" w:firstLine="0"/>
                          <w:jc w:val="left"/>
                        </w:pPr>
                        <w:r>
                          <w:rPr>
                            <w:sz w:val="24"/>
                          </w:rPr>
                          <w:t xml:space="preserve">образование</w:t>
                        </w:r>
                      </w:p>
                    </w:txbxContent>
                  </v:textbox>
                </v:rect>
                <v:rect id="Rectangle 10552" style="position:absolute;width:506;height:2243;left:10040;top:11474;" filled="f" stroked="f">
                  <v:textbox inset="0,0,0,0">
                    <w:txbxContent>
                      <w:p>
                        <w:pPr>
                          <w:spacing w:before="0" w:after="160" w:line="259" w:lineRule="auto"/>
                          <w:ind w:left="0" w:firstLine="0"/>
                          <w:jc w:val="left"/>
                        </w:pPr>
                        <w:r>
                          <w:rPr>
                            <w:sz w:val="24"/>
                          </w:rPr>
                          <w:t xml:space="preserve"> </w:t>
                        </w:r>
                      </w:p>
                    </w:txbxContent>
                  </v:textbox>
                </v:rect>
                <v:shape id="Shape 10554" style="position:absolute;width:12014;height:6483;left:0;top:14738;" coordsize="1201420,648335" path="m0,648335l1201420,648335l1201420,0l0,0x">
                  <v:stroke weight="0.5pt" endcap="round" joinstyle="miter" miterlimit="10" on="true" color="#000000"/>
                  <v:fill on="false" color="#000000" opacity="0"/>
                </v:shape>
                <v:rect id="Rectangle 10555" style="position:absolute;width:13130;height:1843;left:1247;top:15600;" filled="f" stroked="f">
                  <v:textbox inset="0,0,0,0">
                    <w:txbxContent>
                      <w:p>
                        <w:pPr>
                          <w:spacing w:before="0" w:after="160" w:line="259" w:lineRule="auto"/>
                          <w:ind w:left="0" w:firstLine="0"/>
                          <w:jc w:val="left"/>
                        </w:pPr>
                        <w:r>
                          <w:rPr>
                            <w:sz w:val="24"/>
                          </w:rPr>
                          <w:t xml:space="preserve">общее среднее </w:t>
                        </w:r>
                      </w:p>
                    </w:txbxContent>
                  </v:textbox>
                </v:rect>
                <v:rect id="Rectangle 10556" style="position:absolute;width:10704;height:1843;left:1979;top:17353;" filled="f" stroked="f">
                  <v:textbox inset="0,0,0,0">
                    <w:txbxContent>
                      <w:p>
                        <w:pPr>
                          <w:spacing w:before="0" w:after="160" w:line="259" w:lineRule="auto"/>
                          <w:ind w:left="0" w:firstLine="0"/>
                          <w:jc w:val="left"/>
                        </w:pPr>
                        <w:r>
                          <w:rPr>
                            <w:sz w:val="24"/>
                          </w:rPr>
                          <w:t xml:space="preserve">образование</w:t>
                        </w:r>
                      </w:p>
                    </w:txbxContent>
                  </v:textbox>
                </v:rect>
                <v:rect id="Rectangle 10557" style="position:absolute;width:506;height:2243;left:10025;top:17052;" filled="f" stroked="f">
                  <v:textbox inset="0,0,0,0">
                    <w:txbxContent>
                      <w:p>
                        <w:pPr>
                          <w:spacing w:before="0" w:after="160" w:line="259" w:lineRule="auto"/>
                          <w:ind w:left="0" w:firstLine="0"/>
                          <w:jc w:val="left"/>
                        </w:pPr>
                        <w:r>
                          <w:rPr>
                            <w:sz w:val="24"/>
                          </w:rPr>
                          <w:t xml:space="preserve"> </w:t>
                        </w:r>
                      </w:p>
                    </w:txbxContent>
                  </v:textbox>
                </v:rect>
                <v:shape id="Shape 10559" style="position:absolute;width:11334;height:4857;left:31826;top:9175;" coordsize="1133475,485775" path="m0,485775l1133475,485775l1133475,0l0,0x">
                  <v:stroke weight="0.5pt" endcap="round" joinstyle="miter" miterlimit="10" on="true" color="#000000"/>
                  <v:fill on="false" color="#000000" opacity="0"/>
                </v:shape>
                <v:rect id="Rectangle 10560" style="position:absolute;width:11950;height:1843;left:33196;top:10038;" filled="f" stroked="f">
                  <v:textbox inset="0,0,0,0">
                    <w:txbxContent>
                      <w:p>
                        <w:pPr>
                          <w:spacing w:before="0" w:after="160" w:line="259" w:lineRule="auto"/>
                          <w:ind w:left="0" w:firstLine="0"/>
                          <w:jc w:val="left"/>
                        </w:pPr>
                        <w:r>
                          <w:rPr>
                            <w:sz w:val="24"/>
                          </w:rPr>
                          <w:t xml:space="preserve">внешкольное </w:t>
                        </w:r>
                      </w:p>
                    </w:txbxContent>
                  </v:textbox>
                </v:rect>
                <v:rect id="Rectangle 10561" style="position:absolute;width:10704;height:1843;left:33486;top:11790;" filled="f" stroked="f">
                  <v:textbox inset="0,0,0,0">
                    <w:txbxContent>
                      <w:p>
                        <w:pPr>
                          <w:spacing w:before="0" w:after="160" w:line="259" w:lineRule="auto"/>
                          <w:ind w:left="0" w:firstLine="0"/>
                          <w:jc w:val="left"/>
                        </w:pPr>
                        <w:r>
                          <w:rPr>
                            <w:sz w:val="24"/>
                          </w:rPr>
                          <w:t xml:space="preserve">образование</w:t>
                        </w:r>
                      </w:p>
                    </w:txbxContent>
                  </v:textbox>
                </v:rect>
                <v:rect id="Rectangle 10562" style="position:absolute;width:506;height:2243;left:41532;top:11489;" filled="f" stroked="f">
                  <v:textbox inset="0,0,0,0">
                    <w:txbxContent>
                      <w:p>
                        <w:pPr>
                          <w:spacing w:before="0" w:after="160" w:line="259" w:lineRule="auto"/>
                          <w:ind w:left="0" w:firstLine="0"/>
                          <w:jc w:val="left"/>
                        </w:pPr>
                        <w:r>
                          <w:rPr>
                            <w:sz w:val="24"/>
                          </w:rPr>
                          <w:t xml:space="preserve"> </w:t>
                        </w:r>
                      </w:p>
                    </w:txbxContent>
                  </v:textbox>
                </v:rect>
                <v:shape id="Shape 10564" style="position:absolute;width:12954;height:7810;left:44716;top:9175;" coordsize="1295400,781050" path="m0,781050l1295400,781050l1295400,0l0,0x">
                  <v:stroke weight="0.5pt" endcap="round" joinstyle="miter" miterlimit="10" on="true" color="#000000"/>
                  <v:fill on="false" color="#000000" opacity="0"/>
                </v:shape>
                <v:rect id="Rectangle 10565" style="position:absolute;width:10452;height:1843;left:47461;top:10038;" filled="f" stroked="f">
                  <v:textbox inset="0,0,0,0">
                    <w:txbxContent>
                      <w:p>
                        <w:pPr>
                          <w:spacing w:before="0" w:after="160" w:line="259" w:lineRule="auto"/>
                          <w:ind w:left="0" w:firstLine="0"/>
                          <w:jc w:val="left"/>
                        </w:pPr>
                        <w:r>
                          <w:rPr>
                            <w:sz w:val="24"/>
                          </w:rPr>
                          <w:t xml:space="preserve">повышение </w:t>
                        </w:r>
                      </w:p>
                    </w:txbxContent>
                  </v:textbox>
                </v:rect>
                <v:rect id="Rectangle 10566" style="position:absolute;width:14579;height:1843;left:45906;top:11790;" filled="f" stroked="f">
                  <v:textbox inset="0,0,0,0">
                    <w:txbxContent>
                      <w:p>
                        <w:pPr>
                          <w:spacing w:before="0" w:after="160" w:line="259" w:lineRule="auto"/>
                          <w:ind w:left="0" w:firstLine="0"/>
                          <w:jc w:val="left"/>
                        </w:pPr>
                        <w:r>
                          <w:rPr>
                            <w:sz w:val="24"/>
                          </w:rPr>
                          <w:t xml:space="preserve">квалификации и </w:t>
                        </w:r>
                      </w:p>
                    </w:txbxContent>
                  </v:textbox>
                </v:rect>
                <v:rect id="Rectangle 10567" style="position:absolute;width:14125;height:1843;left:46089;top:13543;" filled="f" stroked="f">
                  <v:textbox inset="0,0,0,0">
                    <w:txbxContent>
                      <w:p>
                        <w:pPr>
                          <w:spacing w:before="0" w:after="160" w:line="259" w:lineRule="auto"/>
                          <w:ind w:left="0" w:firstLine="0"/>
                          <w:jc w:val="left"/>
                        </w:pPr>
                        <w:r>
                          <w:rPr>
                            <w:sz w:val="24"/>
                          </w:rPr>
                          <w:t xml:space="preserve">переподготовка </w:t>
                        </w:r>
                      </w:p>
                    </w:txbxContent>
                  </v:textbox>
                </v:rect>
                <v:rect id="Rectangle 10568" style="position:absolute;width:5898;height:1843;left:48988;top:15295;" filled="f" stroked="f">
                  <v:textbox inset="0,0,0,0">
                    <w:txbxContent>
                      <w:p>
                        <w:pPr>
                          <w:spacing w:before="0" w:after="160" w:line="259" w:lineRule="auto"/>
                          <w:ind w:left="0" w:firstLine="0"/>
                          <w:jc w:val="left"/>
                        </w:pPr>
                        <w:r>
                          <w:rPr>
                            <w:sz w:val="24"/>
                          </w:rPr>
                          <w:t xml:space="preserve">кадров</w:t>
                        </w:r>
                      </w:p>
                    </w:txbxContent>
                  </v:textbox>
                </v:rect>
                <v:rect id="Rectangle 10569" style="position:absolute;width:506;height:2243;left:53423;top:14994;" filled="f" stroked="f">
                  <v:textbox inset="0,0,0,0">
                    <w:txbxContent>
                      <w:p>
                        <w:pPr>
                          <w:spacing w:before="0" w:after="160" w:line="259" w:lineRule="auto"/>
                          <w:ind w:left="0" w:firstLine="0"/>
                          <w:jc w:val="left"/>
                        </w:pPr>
                        <w:r>
                          <w:rPr>
                            <w:sz w:val="24"/>
                          </w:rPr>
                          <w:t xml:space="preserve"> </w:t>
                        </w:r>
                      </w:p>
                    </w:txbxContent>
                  </v:textbox>
                </v:rect>
                <v:shape id="Shape 10571" style="position:absolute;width:14135;height:4857;left:13398;top:9169;" coordsize="1413510,485775" path="m0,485775l1413510,485775l1413510,0l0,0x">
                  <v:stroke weight="0.5pt" endcap="round" joinstyle="miter" miterlimit="10" on="true" color="#000000"/>
                  <v:fill on="false" color="#000000" opacity="0"/>
                </v:shape>
                <v:rect id="Rectangle 10572" style="position:absolute;width:13010;height:1843;left:15774;top:10022;" filled="f" stroked="f">
                  <v:textbox inset="0,0,0,0">
                    <w:txbxContent>
                      <w:p>
                        <w:pPr>
                          <w:spacing w:before="0" w:after="160" w:line="259" w:lineRule="auto"/>
                          <w:ind w:left="0" w:firstLine="0"/>
                          <w:jc w:val="left"/>
                        </w:pPr>
                        <w:r>
                          <w:rPr>
                            <w:sz w:val="24"/>
                          </w:rPr>
                          <w:t xml:space="preserve">общее базовое </w:t>
                        </w:r>
                      </w:p>
                    </w:txbxContent>
                  </v:textbox>
                </v:rect>
                <v:rect id="Rectangle 10573" style="position:absolute;width:10704;height:1843;left:16445;top:11775;" filled="f" stroked="f">
                  <v:textbox inset="0,0,0,0">
                    <w:txbxContent>
                      <w:p>
                        <w:pPr>
                          <w:spacing w:before="0" w:after="160" w:line="259" w:lineRule="auto"/>
                          <w:ind w:left="0" w:firstLine="0"/>
                          <w:jc w:val="left"/>
                        </w:pPr>
                        <w:r>
                          <w:rPr>
                            <w:sz w:val="24"/>
                          </w:rPr>
                          <w:t xml:space="preserve">образование</w:t>
                        </w:r>
                      </w:p>
                    </w:txbxContent>
                  </v:textbox>
                </v:rect>
                <v:rect id="Rectangle 10574" style="position:absolute;width:506;height:2243;left:24491;top:11474;" filled="f" stroked="f">
                  <v:textbox inset="0,0,0,0">
                    <w:txbxContent>
                      <w:p>
                        <w:pPr>
                          <w:spacing w:before="0" w:after="160" w:line="259" w:lineRule="auto"/>
                          <w:ind w:left="0" w:firstLine="0"/>
                          <w:jc w:val="left"/>
                        </w:pPr>
                        <w:r>
                          <w:rPr>
                            <w:sz w:val="24"/>
                          </w:rPr>
                          <w:t xml:space="preserve"> </w:t>
                        </w:r>
                      </w:p>
                    </w:txbxContent>
                  </v:textbox>
                </v:rect>
                <v:shape id="Shape 10576" style="position:absolute;width:14141;height:6483;left:13398;top:14738;" coordsize="1414145,648335" path="m0,648335l1414145,648335l1414145,0l0,0x">
                  <v:stroke weight="0.5pt" endcap="round" joinstyle="miter" miterlimit="10" on="true" color="#000000"/>
                  <v:fill on="false" color="#000000" opacity="0"/>
                </v:shape>
                <v:rect id="Rectangle 10577" style="position:absolute;width:15252;height:1843;left:14490;top:15600;" filled="f" stroked="f">
                  <v:textbox inset="0,0,0,0">
                    <w:txbxContent>
                      <w:p>
                        <w:pPr>
                          <w:spacing w:before="0" w:after="160" w:line="259" w:lineRule="auto"/>
                          <w:ind w:left="0" w:firstLine="0"/>
                          <w:jc w:val="left"/>
                        </w:pPr>
                        <w:r>
                          <w:rPr>
                            <w:sz w:val="24"/>
                          </w:rPr>
                          <w:t xml:space="preserve">профессионально</w:t>
                        </w:r>
                      </w:p>
                    </w:txbxContent>
                  </v:textbox>
                </v:rect>
                <v:rect id="Rectangle 10578" style="position:absolute;width:674;height:2243;left:25970;top:15299;" filled="f" stroked="f">
                  <v:textbox inset="0,0,0,0">
                    <w:txbxContent>
                      <w:p>
                        <w:pPr>
                          <w:spacing w:before="0" w:after="160" w:line="259" w:lineRule="auto"/>
                          <w:ind w:left="0" w:firstLine="0"/>
                          <w:jc w:val="left"/>
                        </w:pPr>
                        <w:r>
                          <w:rPr>
                            <w:sz w:val="24"/>
                          </w:rPr>
                          <w:t xml:space="preserve">-</w:t>
                        </w:r>
                      </w:p>
                    </w:txbxContent>
                  </v:textbox>
                </v:rect>
                <v:rect id="Rectangle 10579" style="position:absolute;width:506;height:2243;left:26473;top:15299;" filled="f" stroked="f">
                  <v:textbox inset="0,0,0,0">
                    <w:txbxContent>
                      <w:p>
                        <w:pPr>
                          <w:spacing w:before="0" w:after="160" w:line="259" w:lineRule="auto"/>
                          <w:ind w:left="0" w:firstLine="0"/>
                          <w:jc w:val="left"/>
                        </w:pPr>
                        <w:r>
                          <w:rPr>
                            <w:sz w:val="24"/>
                          </w:rPr>
                          <w:t xml:space="preserve"> </w:t>
                        </w:r>
                      </w:p>
                    </w:txbxContent>
                  </v:textbox>
                </v:rect>
                <v:rect id="Rectangle 10580" style="position:absolute;width:11182;height:1843;left:16460;top:17353;" filled="f" stroked="f">
                  <v:textbox inset="0,0,0,0">
                    <w:txbxContent>
                      <w:p>
                        <w:pPr>
                          <w:spacing w:before="0" w:after="160" w:line="259" w:lineRule="auto"/>
                          <w:ind w:left="0" w:firstLine="0"/>
                          <w:jc w:val="left"/>
                        </w:pPr>
                        <w:r>
                          <w:rPr>
                            <w:sz w:val="24"/>
                          </w:rPr>
                          <w:t xml:space="preserve">техническое </w:t>
                        </w:r>
                      </w:p>
                    </w:txbxContent>
                  </v:textbox>
                </v:rect>
                <v:rect id="Rectangle 10581" style="position:absolute;width:10704;height:1843;left:16460;top:19105;" filled="f" stroked="f">
                  <v:textbox inset="0,0,0,0">
                    <w:txbxContent>
                      <w:p>
                        <w:pPr>
                          <w:spacing w:before="0" w:after="160" w:line="259" w:lineRule="auto"/>
                          <w:ind w:left="0" w:firstLine="0"/>
                          <w:jc w:val="left"/>
                        </w:pPr>
                        <w:r>
                          <w:rPr>
                            <w:sz w:val="24"/>
                          </w:rPr>
                          <w:t xml:space="preserve">образование</w:t>
                        </w:r>
                      </w:p>
                    </w:txbxContent>
                  </v:textbox>
                </v:rect>
                <v:rect id="Rectangle 10582" style="position:absolute;width:506;height:2243;left:24507;top:18804;" filled="f" stroked="f">
                  <v:textbox inset="0,0,0,0">
                    <w:txbxContent>
                      <w:p>
                        <w:pPr>
                          <w:spacing w:before="0" w:after="160" w:line="259" w:lineRule="auto"/>
                          <w:ind w:left="0" w:firstLine="0"/>
                          <w:jc w:val="left"/>
                        </w:pPr>
                        <w:r>
                          <w:rPr>
                            <w:sz w:val="24"/>
                          </w:rPr>
                          <w:t xml:space="preserve"> </w:t>
                        </w:r>
                      </w:p>
                    </w:txbxContent>
                  </v:textbox>
                </v:rect>
                <v:shape id="Shape 10594" style="position:absolute;width:7016;height:1479;left:19888;top:2381;" coordsize="701675,147955" path="m701675,0l0,147955">
                  <v:stroke weight="0.75pt" endcap="flat" joinstyle="round" on="true" color="#000000"/>
                  <v:fill on="false" color="#000000" opacity="0"/>
                </v:shape>
                <v:shape id="Shape 10595" style="position:absolute;width:7975;height:1479;left:29349;top:2374;" coordsize="797560,147955" path="m0,0l797560,147955">
                  <v:stroke weight="0.75pt" endcap="flat" joinstyle="round" on="true" color="#000000"/>
                  <v:fill on="false" color="#000000" opacity="0"/>
                </v:shape>
                <v:shape id="Shape 10596" style="position:absolute;width:0;height:1320;left:12020;top:8089;" coordsize="0,132080" path="m0,0l0,132080">
                  <v:stroke weight="0.75pt" endcap="flat" joinstyle="round" on="true" color="#000000"/>
                  <v:fill on="false" color="#000000" opacity="0"/>
                </v:shape>
                <v:shape id="Shape 10597" style="position:absolute;width:0;height:1276;left:13398;top:8134;" coordsize="0,127635" path="m0,0l0,127635">
                  <v:stroke weight="0.75pt" endcap="flat" joinstyle="round" on="true" color="#000000"/>
                  <v:fill on="false" color="#000000" opacity="0"/>
                </v:shape>
                <v:shape id="Shape 10598" style="position:absolute;width:0;height:1314;left:43129;top:8134;" coordsize="0,131445" path="m0,0l0,131445">
                  <v:stroke weight="0.75pt" endcap="flat" joinstyle="round" on="true" color="#000000"/>
                  <v:fill on="false" color="#000000" opacity="0"/>
                </v:shape>
                <v:shape id="Shape 10599" style="position:absolute;width:0;height:1314;left:44767;top:8134;" coordsize="0,131445" path="m0,0l0,131445">
                  <v:stroke weight="0.75pt" endcap="flat" joinstyle="round" on="true" color="#000000"/>
                  <v:fill on="false" color="#000000" opacity="0"/>
                </v:shape>
              </v:group>
            </w:pict>
          </mc:Fallback>
        </mc:AlternateContent>
      </w:r>
    </w:p>
    <w:tbl>
      <w:tblPr>
        <w:tblStyle w:val="TableGrid"/>
        <w:tblW w:w="4341" w:type="dxa"/>
        <w:tblInd w:w="723" w:type="dxa"/>
        <w:tblCellMar>
          <w:top w:w="0" w:type="dxa"/>
          <w:left w:w="21" w:type="dxa"/>
          <w:bottom w:w="0" w:type="dxa"/>
          <w:right w:w="115" w:type="dxa"/>
        </w:tblCellMar>
        <w:tblLook w:val="04A0" w:firstRow="1" w:lastRow="0" w:firstColumn="1" w:lastColumn="0" w:noHBand="0" w:noVBand="1"/>
      </w:tblPr>
      <w:tblGrid>
        <w:gridCol w:w="1892"/>
        <w:gridCol w:w="223"/>
        <w:gridCol w:w="2226"/>
      </w:tblGrid>
      <w:tr w:rsidR="002C0F56">
        <w:trPr>
          <w:trHeight w:val="1013"/>
        </w:trPr>
        <w:tc>
          <w:tcPr>
            <w:tcW w:w="189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368" w:lineRule="auto"/>
              <w:ind w:left="0" w:firstLine="0"/>
              <w:jc w:val="center"/>
            </w:pPr>
            <w:r>
              <w:rPr>
                <w:sz w:val="43"/>
                <w:vertAlign w:val="subscript"/>
              </w:rPr>
              <w:lastRenderedPageBreak/>
              <w:t xml:space="preserve"> </w:t>
            </w:r>
            <w:r>
              <w:rPr>
                <w:sz w:val="43"/>
                <w:vertAlign w:val="subscript"/>
              </w:rPr>
              <w:tab/>
            </w:r>
            <w:r>
              <w:rPr>
                <w:sz w:val="24"/>
              </w:rPr>
              <w:t xml:space="preserve">высшее </w:t>
            </w:r>
            <w:r>
              <w:rPr>
                <w:sz w:val="24"/>
              </w:rPr>
              <w:tab/>
              <w:t xml:space="preserve"> образование</w:t>
            </w:r>
          </w:p>
          <w:p w:rsidR="002C0F56" w:rsidRDefault="00E67C6E">
            <w:pPr>
              <w:spacing w:after="0" w:line="259" w:lineRule="auto"/>
              <w:ind w:left="0" w:firstLine="0"/>
              <w:jc w:val="left"/>
            </w:pPr>
            <w:r>
              <w:t xml:space="preserve"> </w:t>
            </w:r>
          </w:p>
        </w:tc>
        <w:tc>
          <w:tcPr>
            <w:tcW w:w="223" w:type="dxa"/>
            <w:tcBorders>
              <w:top w:val="nil"/>
              <w:left w:val="single" w:sz="4" w:space="0" w:color="000000"/>
              <w:bottom w:val="nil"/>
              <w:right w:val="single" w:sz="4" w:space="0" w:color="000000"/>
            </w:tcBorders>
          </w:tcPr>
          <w:p w:rsidR="002C0F56" w:rsidRDefault="002C0F56">
            <w:pPr>
              <w:spacing w:after="160" w:line="259" w:lineRule="auto"/>
              <w:ind w:left="0" w:firstLine="0"/>
              <w:jc w:val="left"/>
            </w:pPr>
          </w:p>
        </w:tc>
        <w:tc>
          <w:tcPr>
            <w:tcW w:w="222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7" w:firstLine="0"/>
              <w:jc w:val="center"/>
            </w:pPr>
            <w:r>
              <w:rPr>
                <w:sz w:val="24"/>
              </w:rPr>
              <w:t xml:space="preserve">среднее </w:t>
            </w:r>
          </w:p>
          <w:p w:rsidR="002C0F56" w:rsidRDefault="00E67C6E">
            <w:pPr>
              <w:spacing w:after="0" w:line="259" w:lineRule="auto"/>
              <w:ind w:left="0" w:firstLine="0"/>
              <w:jc w:val="center"/>
            </w:pPr>
            <w:r>
              <w:rPr>
                <w:sz w:val="24"/>
              </w:rPr>
              <w:t xml:space="preserve">специальное образование </w:t>
            </w:r>
          </w:p>
        </w:tc>
      </w:tr>
    </w:tbl>
    <w:p w:rsidR="002C0F56" w:rsidRDefault="00E67C6E">
      <w:pPr>
        <w:spacing w:after="104" w:line="271" w:lineRule="auto"/>
        <w:ind w:left="754" w:right="4618" w:hanging="10"/>
        <w:jc w:val="left"/>
      </w:pPr>
      <w:r>
        <w:t xml:space="preserve"> </w:t>
      </w:r>
      <w:r>
        <w:tab/>
      </w:r>
      <w:r>
        <w:rPr>
          <w:sz w:val="24"/>
        </w:rPr>
        <w:t xml:space="preserve">послевузовское </w:t>
      </w:r>
      <w:r>
        <w:t xml:space="preserve"> </w:t>
      </w:r>
      <w:r>
        <w:tab/>
      </w:r>
      <w:r>
        <w:rPr>
          <w:sz w:val="24"/>
        </w:rPr>
        <w:t xml:space="preserve">образование </w:t>
      </w:r>
    </w:p>
    <w:p w:rsidR="002C0F56" w:rsidRDefault="00E67C6E">
      <w:pPr>
        <w:spacing w:after="5" w:line="271" w:lineRule="auto"/>
        <w:ind w:left="2002" w:right="396" w:hanging="10"/>
        <w:jc w:val="left"/>
      </w:pPr>
      <w:r>
        <w:rPr>
          <w:b/>
          <w:sz w:val="24"/>
        </w:rPr>
        <w:t xml:space="preserve">Рис. 1. Классификация образования в Республике Беларусь </w:t>
      </w:r>
    </w:p>
    <w:p w:rsidR="002C0F56" w:rsidRDefault="00E67C6E">
      <w:pPr>
        <w:spacing w:after="5" w:line="271" w:lineRule="auto"/>
        <w:ind w:left="673" w:hanging="10"/>
        <w:jc w:val="left"/>
      </w:pPr>
      <w:r>
        <w:rPr>
          <w:sz w:val="24"/>
        </w:rPr>
        <w:t xml:space="preserve">Источник: собственная разработка на основании [2] </w:t>
      </w:r>
    </w:p>
    <w:p w:rsidR="002C0F56" w:rsidRDefault="00E67C6E">
      <w:pPr>
        <w:spacing w:after="0" w:line="259" w:lineRule="auto"/>
        <w:ind w:left="744" w:firstLine="0"/>
        <w:jc w:val="left"/>
      </w:pPr>
      <w:r>
        <w:t xml:space="preserve"> </w:t>
      </w:r>
    </w:p>
    <w:p w:rsidR="002C0F56" w:rsidRDefault="00E67C6E">
      <w:pPr>
        <w:ind w:left="165" w:right="302"/>
      </w:pPr>
      <w:r>
        <w:t xml:space="preserve">В таблице 1 представлены основные показатели образования в разрезе уровней образования на 2014-2017 учебные года. </w:t>
      </w:r>
    </w:p>
    <w:p w:rsidR="002C0F56" w:rsidRDefault="00E67C6E">
      <w:pPr>
        <w:spacing w:after="0" w:line="259" w:lineRule="auto"/>
        <w:ind w:left="744" w:firstLine="0"/>
        <w:jc w:val="left"/>
      </w:pPr>
      <w:r>
        <w:t xml:space="preserve"> </w:t>
      </w:r>
    </w:p>
    <w:p w:rsidR="002C0F56" w:rsidRDefault="00E67C6E">
      <w:pPr>
        <w:spacing w:after="5" w:line="271" w:lineRule="auto"/>
        <w:ind w:left="320" w:right="396" w:hanging="10"/>
        <w:jc w:val="left"/>
      </w:pPr>
      <w:r>
        <w:rPr>
          <w:i/>
          <w:sz w:val="24"/>
        </w:rPr>
        <w:t>Таблица 1</w:t>
      </w:r>
      <w:r>
        <w:rPr>
          <w:b/>
          <w:sz w:val="24"/>
        </w:rPr>
        <w:t xml:space="preserve"> - Основные показатели образования в Республике Беларусь на 2014-2017 гг. </w:t>
      </w:r>
    </w:p>
    <w:tbl>
      <w:tblPr>
        <w:tblStyle w:val="TableGrid"/>
        <w:tblW w:w="9640" w:type="dxa"/>
        <w:tblInd w:w="180" w:type="dxa"/>
        <w:tblCellMar>
          <w:top w:w="14" w:type="dxa"/>
          <w:left w:w="108" w:type="dxa"/>
          <w:bottom w:w="0" w:type="dxa"/>
          <w:right w:w="52" w:type="dxa"/>
        </w:tblCellMar>
        <w:tblLook w:val="04A0" w:firstRow="1" w:lastRow="0" w:firstColumn="1" w:lastColumn="0" w:noHBand="0" w:noVBand="1"/>
      </w:tblPr>
      <w:tblGrid>
        <w:gridCol w:w="5103"/>
        <w:gridCol w:w="1419"/>
        <w:gridCol w:w="1560"/>
        <w:gridCol w:w="1558"/>
      </w:tblGrid>
      <w:tr w:rsidR="002C0F56">
        <w:trPr>
          <w:trHeight w:val="286"/>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Показатель/Учебный год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2014/2015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2015/2016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2016/2017</w:t>
            </w:r>
            <w:r>
              <w:rPr>
                <w:sz w:val="24"/>
              </w:rPr>
              <w:t xml:space="preserve"> </w:t>
            </w:r>
          </w:p>
        </w:tc>
      </w:tr>
      <w:tr w:rsidR="002C0F56">
        <w:trPr>
          <w:trHeight w:val="286"/>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1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4" w:firstLine="0"/>
              <w:jc w:val="center"/>
            </w:pPr>
            <w:r>
              <w:rPr>
                <w:sz w:val="24"/>
              </w:rPr>
              <w:t xml:space="preserve">2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2" w:firstLine="0"/>
              <w:jc w:val="center"/>
            </w:pPr>
            <w:r>
              <w:rPr>
                <w:sz w:val="24"/>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sz w:val="24"/>
              </w:rPr>
              <w:t xml:space="preserve">4 </w:t>
            </w:r>
          </w:p>
        </w:tc>
      </w:tr>
      <w:tr w:rsidR="002C0F56">
        <w:trPr>
          <w:trHeight w:val="286"/>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Число учреждений дошкольного образования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3 972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3 951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3 879 </w:t>
            </w:r>
          </w:p>
        </w:tc>
      </w:tr>
      <w:tr w:rsidR="002C0F56">
        <w:trPr>
          <w:trHeight w:val="288"/>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Численность детей, тыс. чел.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410,6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409,8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418,1 </w:t>
            </w:r>
          </w:p>
        </w:tc>
      </w:tr>
      <w:tr w:rsidR="002C0F56">
        <w:trPr>
          <w:trHeight w:val="562"/>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Число </w:t>
            </w:r>
            <w:r>
              <w:rPr>
                <w:sz w:val="24"/>
              </w:rPr>
              <w:tab/>
              <w:t xml:space="preserve">учреждений </w:t>
            </w:r>
            <w:r>
              <w:rPr>
                <w:sz w:val="24"/>
              </w:rPr>
              <w:tab/>
              <w:t xml:space="preserve">общего </w:t>
            </w:r>
            <w:r>
              <w:rPr>
                <w:sz w:val="24"/>
              </w:rPr>
              <w:tab/>
              <w:t xml:space="preserve">среднего образования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3 293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3 230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3 155 </w:t>
            </w:r>
          </w:p>
        </w:tc>
      </w:tr>
      <w:tr w:rsidR="002C0F56">
        <w:trPr>
          <w:trHeight w:val="562"/>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Численность учащихся в учреждениях среднего образования, тыс. чел.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946,1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969,1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982,3 </w:t>
            </w:r>
          </w:p>
        </w:tc>
      </w:tr>
      <w:tr w:rsidR="002C0F56">
        <w:trPr>
          <w:trHeight w:val="562"/>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1817"/>
                <w:tab w:val="right" w:pos="4944"/>
              </w:tabs>
              <w:spacing w:after="28" w:line="259" w:lineRule="auto"/>
              <w:ind w:left="0" w:firstLine="0"/>
              <w:jc w:val="left"/>
            </w:pPr>
            <w:r>
              <w:rPr>
                <w:sz w:val="24"/>
              </w:rPr>
              <w:t xml:space="preserve">Число </w:t>
            </w:r>
            <w:r>
              <w:rPr>
                <w:sz w:val="24"/>
              </w:rPr>
              <w:tab/>
              <w:t xml:space="preserve">учреждений </w:t>
            </w:r>
            <w:r>
              <w:rPr>
                <w:sz w:val="24"/>
              </w:rPr>
              <w:tab/>
              <w:t>профессионально-</w:t>
            </w:r>
          </w:p>
          <w:p w:rsidR="002C0F56" w:rsidRDefault="00E67C6E">
            <w:pPr>
              <w:spacing w:after="0" w:line="259" w:lineRule="auto"/>
              <w:ind w:left="0" w:firstLine="0"/>
              <w:jc w:val="left"/>
            </w:pPr>
            <w:r>
              <w:rPr>
                <w:sz w:val="24"/>
              </w:rPr>
              <w:t xml:space="preserve">технического образования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213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206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196 </w:t>
            </w:r>
          </w:p>
        </w:tc>
      </w:tr>
    </w:tbl>
    <w:p w:rsidR="002C0F56" w:rsidRDefault="00E67C6E">
      <w:pPr>
        <w:spacing w:after="0" w:line="259" w:lineRule="auto"/>
        <w:ind w:left="10" w:right="853" w:hanging="10"/>
        <w:jc w:val="right"/>
      </w:pPr>
      <w:r>
        <w:rPr>
          <w:i/>
          <w:sz w:val="24"/>
        </w:rPr>
        <w:t xml:space="preserve">Продолжение табл. 1 </w:t>
      </w:r>
    </w:p>
    <w:tbl>
      <w:tblPr>
        <w:tblStyle w:val="TableGrid"/>
        <w:tblW w:w="9640" w:type="dxa"/>
        <w:tblInd w:w="180" w:type="dxa"/>
        <w:tblCellMar>
          <w:top w:w="14" w:type="dxa"/>
          <w:left w:w="108" w:type="dxa"/>
          <w:bottom w:w="0" w:type="dxa"/>
          <w:right w:w="50" w:type="dxa"/>
        </w:tblCellMar>
        <w:tblLook w:val="04A0" w:firstRow="1" w:lastRow="0" w:firstColumn="1" w:lastColumn="0" w:noHBand="0" w:noVBand="1"/>
      </w:tblPr>
      <w:tblGrid>
        <w:gridCol w:w="5103"/>
        <w:gridCol w:w="1419"/>
        <w:gridCol w:w="1560"/>
        <w:gridCol w:w="1558"/>
      </w:tblGrid>
      <w:tr w:rsidR="002C0F56">
        <w:trPr>
          <w:trHeight w:val="288"/>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1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2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sz w:val="24"/>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4 </w:t>
            </w:r>
          </w:p>
        </w:tc>
      </w:tr>
      <w:tr w:rsidR="002C0F56">
        <w:trPr>
          <w:trHeight w:val="838"/>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pPr>
            <w:r>
              <w:rPr>
                <w:sz w:val="24"/>
              </w:rPr>
              <w:t>Численность учащихся в учреждениях профессионально-</w:t>
            </w:r>
            <w:r>
              <w:rPr>
                <w:sz w:val="24"/>
              </w:rPr>
              <w:t xml:space="preserve">технического образования, тыс. чел.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72,8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72,2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70,3 </w:t>
            </w:r>
          </w:p>
        </w:tc>
      </w:tr>
      <w:tr w:rsidR="002C0F56">
        <w:trPr>
          <w:trHeight w:val="562"/>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Число учреждений среднего специального образования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231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231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230 </w:t>
            </w:r>
          </w:p>
        </w:tc>
      </w:tr>
      <w:tr w:rsidR="002C0F56">
        <w:trPr>
          <w:trHeight w:val="562"/>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Численность учащихся в учреждениях среднего специального образования, тыс. чел.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129,0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121,3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117,8 </w:t>
            </w:r>
          </w:p>
        </w:tc>
      </w:tr>
      <w:tr w:rsidR="002C0F56">
        <w:trPr>
          <w:trHeight w:val="286"/>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Число учреждений высшего образования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54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52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51 </w:t>
            </w:r>
          </w:p>
        </w:tc>
      </w:tr>
      <w:tr w:rsidR="002C0F56">
        <w:trPr>
          <w:trHeight w:val="286"/>
        </w:trPr>
        <w:tc>
          <w:tcPr>
            <w:tcW w:w="510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Численность студентов, тыс. чел.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362,9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336,4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jc w:val="left"/>
            </w:pPr>
            <w:r>
              <w:rPr>
                <w:sz w:val="24"/>
              </w:rPr>
              <w:t xml:space="preserve">313,2 </w:t>
            </w:r>
          </w:p>
        </w:tc>
      </w:tr>
    </w:tbl>
    <w:p w:rsidR="002C0F56" w:rsidRDefault="00E67C6E">
      <w:pPr>
        <w:spacing w:after="5" w:line="271" w:lineRule="auto"/>
        <w:ind w:left="730" w:hanging="10"/>
        <w:jc w:val="left"/>
      </w:pPr>
      <w:r>
        <w:rPr>
          <w:sz w:val="24"/>
        </w:rPr>
        <w:t xml:space="preserve">Источник: собственная разработка на основании [3]. </w:t>
      </w:r>
    </w:p>
    <w:p w:rsidR="002C0F56" w:rsidRDefault="00E67C6E">
      <w:pPr>
        <w:spacing w:after="0" w:line="259" w:lineRule="auto"/>
        <w:ind w:left="744" w:firstLine="0"/>
        <w:jc w:val="left"/>
      </w:pPr>
      <w:r>
        <w:t xml:space="preserve"> </w:t>
      </w:r>
    </w:p>
    <w:p w:rsidR="002C0F56" w:rsidRDefault="00E67C6E">
      <w:pPr>
        <w:spacing w:after="9"/>
        <w:ind w:left="165" w:right="866"/>
      </w:pPr>
      <w:r>
        <w:t>Исходя из данных, видно, что наибольший удельный вес по количеству занимают дошкольные учреждения образования. В 2016/2017 гг. их количество сократилось на 2,4% (на 93 учреждения) по сравнению с 2014/2015 гг. Однако число детей в дошкольных учреждениях обр</w:t>
      </w:r>
      <w:r>
        <w:t xml:space="preserve">азования увеличилось и составляет 418, 1 тыс. чел., что на 1,8% больше, чем было в 2014/2015 гг.  </w:t>
      </w:r>
    </w:p>
    <w:p w:rsidR="002C0F56" w:rsidRDefault="00E67C6E">
      <w:pPr>
        <w:ind w:left="165" w:right="866"/>
      </w:pPr>
      <w:r>
        <w:lastRenderedPageBreak/>
        <w:t xml:space="preserve">В структуре общего среднего наблюдается тенденция к сокращению количества учреждений образования. В 2014/2015 гг. их насчитывалось 3 293, в 2015/2016 гг.  – </w:t>
      </w:r>
      <w:r>
        <w:t>происходит сокращение на 2% и составляет 3 230, а в 2016/2017 гг. по сравнению с предыдущим годом – сокращение на 2,4% и составляет 3 155. Что касается учащихся, то происходит увеличение: в 2014/2015 гг.  – 946,1 тыс. чел., а в 2016/2017 гг. – увеличение н</w:t>
      </w:r>
      <w:r>
        <w:t xml:space="preserve">а 3,8% (36,2 тыс. чел.). </w:t>
      </w:r>
    </w:p>
    <w:p w:rsidR="002C0F56" w:rsidRDefault="00E67C6E">
      <w:pPr>
        <w:ind w:left="165" w:right="863"/>
      </w:pPr>
      <w:r>
        <w:t>Количество учреждений профессионально-технического образования постепенно сокращается: в 2014/2015 гг. – 213, а в 2016/2017 гг. – сокращение на 8,65 (на 17 учреждений). Численность учащихся также сократила с 72,8 до 70,3 тыс. чел.</w:t>
      </w:r>
      <w:r>
        <w:t xml:space="preserve"> (3,5%). </w:t>
      </w:r>
    </w:p>
    <w:p w:rsidR="002C0F56" w:rsidRDefault="00E67C6E">
      <w:pPr>
        <w:ind w:left="165" w:right="864"/>
      </w:pPr>
      <w:r>
        <w:t>В учреждениях среднего специального образования произошли незначительные изменения: в 2014-2016 гг. насчитывалось 231 учреждение, а в 2016/2017 гг. – 230, произошло сокращение на 0,4%. Однако, численность в 2016/2017 гг. сократилась на 9,5% (11,2</w:t>
      </w:r>
      <w:r>
        <w:t xml:space="preserve"> тыс. чел.) по сравнению с 2014/2015 гг.  </w:t>
      </w:r>
    </w:p>
    <w:p w:rsidR="002C0F56" w:rsidRDefault="00E67C6E">
      <w:pPr>
        <w:spacing w:after="11" w:line="270" w:lineRule="auto"/>
        <w:ind w:left="10" w:right="862" w:hanging="10"/>
        <w:jc w:val="right"/>
      </w:pPr>
      <w:r>
        <w:t xml:space="preserve">Число учреждений высшего образования в нашей стране за 2016/2017 гг. </w:t>
      </w:r>
    </w:p>
    <w:p w:rsidR="002C0F56" w:rsidRDefault="00E67C6E">
      <w:pPr>
        <w:ind w:left="165" w:right="302" w:firstLine="0"/>
      </w:pPr>
      <w:r>
        <w:t xml:space="preserve">сократилось  на 3 (5,8%) по сравнению с 2014/2015 гг. Численность студентов также сократилась на 15,9% (49,7 тыс. чел.) </w:t>
      </w:r>
    </w:p>
    <w:p w:rsidR="002C0F56" w:rsidRDefault="00E67C6E">
      <w:pPr>
        <w:spacing w:after="10"/>
        <w:ind w:left="165" w:right="872"/>
      </w:pPr>
      <w:r>
        <w:t>К учреждениям, обеспеч</w:t>
      </w:r>
      <w:r>
        <w:t xml:space="preserve">ивающим получение высшего образования, относятся следующие высшие учебные заведения: классический университет; профильный университет (академия); институт; высший колледж. </w:t>
      </w:r>
    </w:p>
    <w:p w:rsidR="002C0F56" w:rsidRDefault="00E67C6E">
      <w:pPr>
        <w:ind w:left="165" w:right="868"/>
      </w:pPr>
      <w:r>
        <w:t>Повышение квалификации и переподготовка кадров преследуют основную цель: обеспечить</w:t>
      </w:r>
      <w:r>
        <w:t xml:space="preserve"> гражданам профессиональное совершенствование, подготовку их к трудовой деятельности в изменяющихся социально-экономических условиях и на этой основе - эффективное развитие общества. Они обеспечивают углубление профессиональных знаний и навыков граждан по </w:t>
      </w:r>
      <w:r>
        <w:t xml:space="preserve">соответствующим уровням полученного ранее основного образования [2]. </w:t>
      </w:r>
    </w:p>
    <w:p w:rsidR="002C0F56" w:rsidRDefault="00E67C6E">
      <w:pPr>
        <w:ind w:left="165" w:right="868"/>
      </w:pPr>
      <w:r>
        <w:t>На финансирование отрасли “Образование” в 2015 году из консолидированного бюджета и внебюджетных источников направлено 4,3 млрд рублей, что составило 4,9% от ВВП, а в 2016 году – 5,1 млр</w:t>
      </w:r>
      <w:r>
        <w:t xml:space="preserve">д рублей, или 5,45% от ВВП, что в целом обеспечило ее стабильное функционирование.  </w:t>
      </w:r>
    </w:p>
    <w:p w:rsidR="002C0F56" w:rsidRDefault="00E67C6E">
      <w:pPr>
        <w:ind w:left="165" w:right="302"/>
      </w:pPr>
      <w:r>
        <w:t xml:space="preserve">На рисунке 2 представлены расходы консолидированного бюджета Республики Беларусь на образование на 2013-2015 гг. </w:t>
      </w:r>
    </w:p>
    <w:p w:rsidR="002C0F56" w:rsidRDefault="00E67C6E">
      <w:pPr>
        <w:spacing w:after="187" w:line="259" w:lineRule="auto"/>
        <w:ind w:left="435" w:firstLine="0"/>
        <w:jc w:val="left"/>
      </w:pPr>
      <w:r>
        <w:rPr>
          <w:rFonts w:ascii="Calibri" w:eastAsia="Calibri" w:hAnsi="Calibri" w:cs="Calibri"/>
          <w:noProof/>
          <w:sz w:val="22"/>
        </w:rPr>
        <w:lastRenderedPageBreak/>
        <mc:AlternateContent>
          <mc:Choice Requires="wpg">
            <w:drawing>
              <wp:inline distT="0" distB="0" distL="0" distR="0">
                <wp:extent cx="5888627" cy="2773592"/>
                <wp:effectExtent l="0" t="0" r="0" b="0"/>
                <wp:docPr id="558620" name="Group 558620"/>
                <wp:cNvGraphicFramePr/>
                <a:graphic xmlns:a="http://schemas.openxmlformats.org/drawingml/2006/main">
                  <a:graphicData uri="http://schemas.microsoft.com/office/word/2010/wordprocessingGroup">
                    <wpg:wgp>
                      <wpg:cNvGrpSpPr/>
                      <wpg:grpSpPr>
                        <a:xfrm>
                          <a:off x="0" y="0"/>
                          <a:ext cx="5888627" cy="2773592"/>
                          <a:chOff x="0" y="0"/>
                          <a:chExt cx="5888627" cy="2773592"/>
                        </a:xfrm>
                      </wpg:grpSpPr>
                      <wps:wsp>
                        <wps:cNvPr id="10919" name="Shape 10919"/>
                        <wps:cNvSpPr/>
                        <wps:spPr>
                          <a:xfrm>
                            <a:off x="2180497" y="931102"/>
                            <a:ext cx="776230" cy="778306"/>
                          </a:xfrm>
                          <a:custGeom>
                            <a:avLst/>
                            <a:gdLst/>
                            <a:ahLst/>
                            <a:cxnLst/>
                            <a:rect l="0" t="0" r="0" b="0"/>
                            <a:pathLst>
                              <a:path w="776230" h="778306">
                                <a:moveTo>
                                  <a:pt x="0" y="0"/>
                                </a:moveTo>
                                <a:lnTo>
                                  <a:pt x="38138" y="0"/>
                                </a:lnTo>
                                <a:lnTo>
                                  <a:pt x="76402" y="12585"/>
                                </a:lnTo>
                                <a:lnTo>
                                  <a:pt x="139965" y="12585"/>
                                </a:lnTo>
                                <a:lnTo>
                                  <a:pt x="178230" y="25552"/>
                                </a:lnTo>
                                <a:lnTo>
                                  <a:pt x="216368" y="38137"/>
                                </a:lnTo>
                                <a:lnTo>
                                  <a:pt x="254506" y="38137"/>
                                </a:lnTo>
                                <a:lnTo>
                                  <a:pt x="280058" y="50977"/>
                                </a:lnTo>
                                <a:lnTo>
                                  <a:pt x="343621" y="89114"/>
                                </a:lnTo>
                                <a:lnTo>
                                  <a:pt x="407057" y="114666"/>
                                </a:lnTo>
                                <a:lnTo>
                                  <a:pt x="470746" y="165643"/>
                                </a:lnTo>
                                <a:lnTo>
                                  <a:pt x="521851" y="204034"/>
                                </a:lnTo>
                                <a:lnTo>
                                  <a:pt x="572574" y="255012"/>
                                </a:lnTo>
                                <a:lnTo>
                                  <a:pt x="623679" y="306116"/>
                                </a:lnTo>
                                <a:lnTo>
                                  <a:pt x="661817" y="369932"/>
                                </a:lnTo>
                                <a:lnTo>
                                  <a:pt x="687369" y="433876"/>
                                </a:lnTo>
                                <a:lnTo>
                                  <a:pt x="725507" y="497438"/>
                                </a:lnTo>
                                <a:lnTo>
                                  <a:pt x="738092" y="523244"/>
                                </a:lnTo>
                                <a:lnTo>
                                  <a:pt x="750677" y="561382"/>
                                </a:lnTo>
                                <a:lnTo>
                                  <a:pt x="750677" y="599773"/>
                                </a:lnTo>
                                <a:lnTo>
                                  <a:pt x="763645" y="637885"/>
                                </a:lnTo>
                                <a:lnTo>
                                  <a:pt x="763645" y="676302"/>
                                </a:lnTo>
                                <a:lnTo>
                                  <a:pt x="776230" y="701803"/>
                                </a:lnTo>
                                <a:lnTo>
                                  <a:pt x="0" y="778306"/>
                                </a:lnTo>
                                <a:lnTo>
                                  <a:pt x="0" y="0"/>
                                </a:lnTo>
                                <a:close/>
                              </a:path>
                            </a:pathLst>
                          </a:custGeom>
                          <a:ln w="0" cap="flat">
                            <a:miter lim="127000"/>
                          </a:ln>
                        </wps:spPr>
                        <wps:style>
                          <a:lnRef idx="0">
                            <a:srgbClr val="000000">
                              <a:alpha val="0"/>
                            </a:srgbClr>
                          </a:lnRef>
                          <a:fillRef idx="1">
                            <a:srgbClr val="4572A7"/>
                          </a:fillRef>
                          <a:effectRef idx="0">
                            <a:scrgbClr r="0" g="0" b="0"/>
                          </a:effectRef>
                          <a:fontRef idx="none"/>
                        </wps:style>
                        <wps:bodyPr/>
                      </wps:wsp>
                      <wps:wsp>
                        <wps:cNvPr id="10920" name="Shape 10920"/>
                        <wps:cNvSpPr/>
                        <wps:spPr>
                          <a:xfrm>
                            <a:off x="1455131" y="1632905"/>
                            <a:ext cx="1501596" cy="855090"/>
                          </a:xfrm>
                          <a:custGeom>
                            <a:avLst/>
                            <a:gdLst/>
                            <a:ahLst/>
                            <a:cxnLst/>
                            <a:rect l="0" t="0" r="0" b="0"/>
                            <a:pathLst>
                              <a:path w="1501596" h="855090">
                                <a:moveTo>
                                  <a:pt x="1501596" y="0"/>
                                </a:moveTo>
                                <a:lnTo>
                                  <a:pt x="1501596" y="127506"/>
                                </a:lnTo>
                                <a:lnTo>
                                  <a:pt x="1489011" y="191424"/>
                                </a:lnTo>
                                <a:lnTo>
                                  <a:pt x="1476044" y="255329"/>
                                </a:lnTo>
                                <a:lnTo>
                                  <a:pt x="1463458" y="318930"/>
                                </a:lnTo>
                                <a:lnTo>
                                  <a:pt x="1450873" y="370237"/>
                                </a:lnTo>
                                <a:lnTo>
                                  <a:pt x="1425321" y="421239"/>
                                </a:lnTo>
                                <a:lnTo>
                                  <a:pt x="1387183" y="484853"/>
                                </a:lnTo>
                                <a:lnTo>
                                  <a:pt x="1361631" y="536160"/>
                                </a:lnTo>
                                <a:lnTo>
                                  <a:pt x="1323493" y="574259"/>
                                </a:lnTo>
                                <a:lnTo>
                                  <a:pt x="1272389" y="625261"/>
                                </a:lnTo>
                                <a:lnTo>
                                  <a:pt x="1234251" y="663666"/>
                                </a:lnTo>
                                <a:lnTo>
                                  <a:pt x="1183528" y="702083"/>
                                </a:lnTo>
                                <a:lnTo>
                                  <a:pt x="1132423" y="740182"/>
                                </a:lnTo>
                                <a:lnTo>
                                  <a:pt x="1081700" y="765683"/>
                                </a:lnTo>
                                <a:lnTo>
                                  <a:pt x="1018010" y="804087"/>
                                </a:lnTo>
                                <a:lnTo>
                                  <a:pt x="979872" y="816685"/>
                                </a:lnTo>
                                <a:lnTo>
                                  <a:pt x="941734" y="829589"/>
                                </a:lnTo>
                                <a:lnTo>
                                  <a:pt x="903597" y="829589"/>
                                </a:lnTo>
                                <a:lnTo>
                                  <a:pt x="865332" y="842187"/>
                                </a:lnTo>
                                <a:lnTo>
                                  <a:pt x="827194" y="855090"/>
                                </a:lnTo>
                                <a:lnTo>
                                  <a:pt x="636252" y="855090"/>
                                </a:lnTo>
                                <a:lnTo>
                                  <a:pt x="597986" y="842187"/>
                                </a:lnTo>
                                <a:lnTo>
                                  <a:pt x="572561" y="842187"/>
                                </a:lnTo>
                                <a:lnTo>
                                  <a:pt x="534424" y="829589"/>
                                </a:lnTo>
                                <a:lnTo>
                                  <a:pt x="496159" y="816685"/>
                                </a:lnTo>
                                <a:lnTo>
                                  <a:pt x="458021" y="804087"/>
                                </a:lnTo>
                                <a:lnTo>
                                  <a:pt x="419883" y="791184"/>
                                </a:lnTo>
                                <a:lnTo>
                                  <a:pt x="394331" y="778586"/>
                                </a:lnTo>
                                <a:lnTo>
                                  <a:pt x="356193" y="765683"/>
                                </a:lnTo>
                                <a:lnTo>
                                  <a:pt x="330768" y="740182"/>
                                </a:lnTo>
                                <a:lnTo>
                                  <a:pt x="292503" y="727584"/>
                                </a:lnTo>
                                <a:lnTo>
                                  <a:pt x="267078" y="702083"/>
                                </a:lnTo>
                                <a:lnTo>
                                  <a:pt x="228941" y="676264"/>
                                </a:lnTo>
                                <a:lnTo>
                                  <a:pt x="178090" y="625261"/>
                                </a:lnTo>
                                <a:lnTo>
                                  <a:pt x="127113" y="574259"/>
                                </a:lnTo>
                                <a:lnTo>
                                  <a:pt x="76301" y="510659"/>
                                </a:lnTo>
                                <a:lnTo>
                                  <a:pt x="63372" y="484853"/>
                                </a:lnTo>
                                <a:lnTo>
                                  <a:pt x="38150" y="446753"/>
                                </a:lnTo>
                                <a:lnTo>
                                  <a:pt x="25234" y="408336"/>
                                </a:lnTo>
                                <a:lnTo>
                                  <a:pt x="0" y="370237"/>
                                </a:lnTo>
                                <a:lnTo>
                                  <a:pt x="725367" y="76503"/>
                                </a:lnTo>
                                <a:lnTo>
                                  <a:pt x="1501596" y="0"/>
                                </a:lnTo>
                                <a:close/>
                              </a:path>
                            </a:pathLst>
                          </a:custGeom>
                          <a:ln w="0" cap="flat">
                            <a:miter lim="127000"/>
                          </a:ln>
                        </wps:spPr>
                        <wps:style>
                          <a:lnRef idx="0">
                            <a:srgbClr val="000000">
                              <a:alpha val="0"/>
                            </a:srgbClr>
                          </a:lnRef>
                          <a:fillRef idx="1">
                            <a:srgbClr val="AA4643"/>
                          </a:fillRef>
                          <a:effectRef idx="0">
                            <a:scrgbClr r="0" g="0" b="0"/>
                          </a:effectRef>
                          <a:fontRef idx="none"/>
                        </wps:style>
                        <wps:bodyPr/>
                      </wps:wsp>
                      <wps:wsp>
                        <wps:cNvPr id="10921" name="Shape 10921"/>
                        <wps:cNvSpPr/>
                        <wps:spPr>
                          <a:xfrm>
                            <a:off x="1404064" y="1709408"/>
                            <a:ext cx="776433" cy="293734"/>
                          </a:xfrm>
                          <a:custGeom>
                            <a:avLst/>
                            <a:gdLst/>
                            <a:ahLst/>
                            <a:cxnLst/>
                            <a:rect l="0" t="0" r="0" b="0"/>
                            <a:pathLst>
                              <a:path w="776433" h="293734">
                                <a:moveTo>
                                  <a:pt x="776433" y="0"/>
                                </a:moveTo>
                                <a:lnTo>
                                  <a:pt x="51067" y="293734"/>
                                </a:lnTo>
                                <a:lnTo>
                                  <a:pt x="38151" y="242427"/>
                                </a:lnTo>
                                <a:lnTo>
                                  <a:pt x="25540" y="178826"/>
                                </a:lnTo>
                                <a:lnTo>
                                  <a:pt x="12611" y="127824"/>
                                </a:lnTo>
                                <a:lnTo>
                                  <a:pt x="0" y="63906"/>
                                </a:lnTo>
                                <a:lnTo>
                                  <a:pt x="776433" y="0"/>
                                </a:lnTo>
                                <a:close/>
                              </a:path>
                            </a:pathLst>
                          </a:custGeom>
                          <a:ln w="0" cap="flat">
                            <a:miter lim="127000"/>
                          </a:ln>
                        </wps:spPr>
                        <wps:style>
                          <a:lnRef idx="0">
                            <a:srgbClr val="000000">
                              <a:alpha val="0"/>
                            </a:srgbClr>
                          </a:lnRef>
                          <a:fillRef idx="1">
                            <a:srgbClr val="89A54E"/>
                          </a:fillRef>
                          <a:effectRef idx="0">
                            <a:scrgbClr r="0" g="0" b="0"/>
                          </a:effectRef>
                          <a:fontRef idx="none"/>
                        </wps:style>
                        <wps:bodyPr/>
                      </wps:wsp>
                      <wps:wsp>
                        <wps:cNvPr id="10922" name="Shape 10922"/>
                        <wps:cNvSpPr/>
                        <wps:spPr>
                          <a:xfrm>
                            <a:off x="1404064" y="1530875"/>
                            <a:ext cx="776433" cy="242439"/>
                          </a:xfrm>
                          <a:custGeom>
                            <a:avLst/>
                            <a:gdLst/>
                            <a:ahLst/>
                            <a:cxnLst/>
                            <a:rect l="0" t="0" r="0" b="0"/>
                            <a:pathLst>
                              <a:path w="776433" h="242439">
                                <a:moveTo>
                                  <a:pt x="12611" y="0"/>
                                </a:moveTo>
                                <a:lnTo>
                                  <a:pt x="776433" y="178533"/>
                                </a:lnTo>
                                <a:lnTo>
                                  <a:pt x="0" y="242439"/>
                                </a:lnTo>
                                <a:lnTo>
                                  <a:pt x="0" y="127531"/>
                                </a:lnTo>
                                <a:lnTo>
                                  <a:pt x="12611" y="63626"/>
                                </a:lnTo>
                                <a:lnTo>
                                  <a:pt x="12611" y="0"/>
                                </a:lnTo>
                                <a:close/>
                              </a:path>
                            </a:pathLst>
                          </a:custGeom>
                          <a:ln w="0" cap="flat">
                            <a:miter lim="127000"/>
                          </a:ln>
                        </wps:spPr>
                        <wps:style>
                          <a:lnRef idx="0">
                            <a:srgbClr val="000000">
                              <a:alpha val="0"/>
                            </a:srgbClr>
                          </a:lnRef>
                          <a:fillRef idx="1">
                            <a:srgbClr val="71588F"/>
                          </a:fillRef>
                          <a:effectRef idx="0">
                            <a:scrgbClr r="0" g="0" b="0"/>
                          </a:effectRef>
                          <a:fontRef idx="none"/>
                        </wps:style>
                        <wps:bodyPr/>
                      </wps:wsp>
                      <wps:wsp>
                        <wps:cNvPr id="10923" name="Shape 10923"/>
                        <wps:cNvSpPr/>
                        <wps:spPr>
                          <a:xfrm>
                            <a:off x="1416675" y="1071193"/>
                            <a:ext cx="763822" cy="638215"/>
                          </a:xfrm>
                          <a:custGeom>
                            <a:avLst/>
                            <a:gdLst/>
                            <a:ahLst/>
                            <a:cxnLst/>
                            <a:rect l="0" t="0" r="0" b="0"/>
                            <a:pathLst>
                              <a:path w="763822" h="638215">
                                <a:moveTo>
                                  <a:pt x="330959" y="0"/>
                                </a:moveTo>
                                <a:lnTo>
                                  <a:pt x="763822" y="638215"/>
                                </a:lnTo>
                                <a:lnTo>
                                  <a:pt x="0" y="459682"/>
                                </a:lnTo>
                                <a:lnTo>
                                  <a:pt x="12929" y="434257"/>
                                </a:lnTo>
                                <a:lnTo>
                                  <a:pt x="25540" y="395738"/>
                                </a:lnTo>
                                <a:lnTo>
                                  <a:pt x="38456" y="357347"/>
                                </a:lnTo>
                                <a:lnTo>
                                  <a:pt x="51066" y="331922"/>
                                </a:lnTo>
                                <a:lnTo>
                                  <a:pt x="89217" y="268232"/>
                                </a:lnTo>
                                <a:lnTo>
                                  <a:pt x="127367" y="204416"/>
                                </a:lnTo>
                                <a:lnTo>
                                  <a:pt x="165569" y="140472"/>
                                </a:lnTo>
                                <a:lnTo>
                                  <a:pt x="216546" y="89495"/>
                                </a:lnTo>
                                <a:lnTo>
                                  <a:pt x="267396" y="38391"/>
                                </a:lnTo>
                                <a:lnTo>
                                  <a:pt x="330959" y="0"/>
                                </a:lnTo>
                                <a:close/>
                              </a:path>
                            </a:pathLst>
                          </a:custGeom>
                          <a:ln w="0" cap="flat">
                            <a:miter lim="127000"/>
                          </a:ln>
                        </wps:spPr>
                        <wps:style>
                          <a:lnRef idx="0">
                            <a:srgbClr val="000000">
                              <a:alpha val="0"/>
                            </a:srgbClr>
                          </a:lnRef>
                          <a:fillRef idx="1">
                            <a:srgbClr val="4198AF"/>
                          </a:fillRef>
                          <a:effectRef idx="0">
                            <a:scrgbClr r="0" g="0" b="0"/>
                          </a:effectRef>
                          <a:fontRef idx="none"/>
                        </wps:style>
                        <wps:bodyPr/>
                      </wps:wsp>
                      <wps:wsp>
                        <wps:cNvPr id="10924" name="Shape 10924"/>
                        <wps:cNvSpPr/>
                        <wps:spPr>
                          <a:xfrm>
                            <a:off x="1747634" y="931102"/>
                            <a:ext cx="432863" cy="778306"/>
                          </a:xfrm>
                          <a:custGeom>
                            <a:avLst/>
                            <a:gdLst/>
                            <a:ahLst/>
                            <a:cxnLst/>
                            <a:rect l="0" t="0" r="0" b="0"/>
                            <a:pathLst>
                              <a:path w="432863" h="778306">
                                <a:moveTo>
                                  <a:pt x="369173" y="0"/>
                                </a:moveTo>
                                <a:lnTo>
                                  <a:pt x="432863" y="0"/>
                                </a:lnTo>
                                <a:lnTo>
                                  <a:pt x="432863" y="778306"/>
                                </a:lnTo>
                                <a:lnTo>
                                  <a:pt x="0" y="140091"/>
                                </a:lnTo>
                                <a:lnTo>
                                  <a:pt x="51104" y="102081"/>
                                </a:lnTo>
                                <a:lnTo>
                                  <a:pt x="101828" y="76529"/>
                                </a:lnTo>
                                <a:lnTo>
                                  <a:pt x="152678" y="50977"/>
                                </a:lnTo>
                                <a:lnTo>
                                  <a:pt x="203655" y="38137"/>
                                </a:lnTo>
                                <a:lnTo>
                                  <a:pt x="254506" y="25552"/>
                                </a:lnTo>
                                <a:lnTo>
                                  <a:pt x="318196" y="12585"/>
                                </a:lnTo>
                                <a:lnTo>
                                  <a:pt x="369173" y="0"/>
                                </a:lnTo>
                                <a:close/>
                              </a:path>
                            </a:pathLst>
                          </a:custGeom>
                          <a:ln w="0" cap="flat">
                            <a:miter lim="127000"/>
                          </a:ln>
                        </wps:spPr>
                        <wps:style>
                          <a:lnRef idx="0">
                            <a:srgbClr val="000000">
                              <a:alpha val="0"/>
                            </a:srgbClr>
                          </a:lnRef>
                          <a:fillRef idx="1">
                            <a:srgbClr val="DB843D"/>
                          </a:fillRef>
                          <a:effectRef idx="0">
                            <a:scrgbClr r="0" g="0" b="0"/>
                          </a:effectRef>
                          <a:fontRef idx="none"/>
                        </wps:style>
                        <wps:bodyPr/>
                      </wps:wsp>
                      <wps:wsp>
                        <wps:cNvPr id="555972" name="Rectangle 555972"/>
                        <wps:cNvSpPr/>
                        <wps:spPr>
                          <a:xfrm>
                            <a:off x="2473141" y="1243672"/>
                            <a:ext cx="170823"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23</w:t>
                              </w:r>
                            </w:p>
                          </w:txbxContent>
                        </wps:txbx>
                        <wps:bodyPr horzOverflow="overflow" vert="horz" lIns="0" tIns="0" rIns="0" bIns="0" rtlCol="0">
                          <a:noAutofit/>
                        </wps:bodyPr>
                      </wps:wsp>
                      <wps:wsp>
                        <wps:cNvPr id="555974" name="Rectangle 555974"/>
                        <wps:cNvSpPr/>
                        <wps:spPr>
                          <a:xfrm>
                            <a:off x="2600558" y="1243672"/>
                            <a:ext cx="4245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555973" name="Rectangle 555973"/>
                        <wps:cNvSpPr/>
                        <wps:spPr>
                          <a:xfrm>
                            <a:off x="2638604" y="1243672"/>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5</w:t>
                              </w:r>
                            </w:p>
                          </w:txbxContent>
                        </wps:txbx>
                        <wps:bodyPr horzOverflow="overflow" vert="horz" lIns="0" tIns="0" rIns="0" bIns="0" rtlCol="0">
                          <a:noAutofit/>
                        </wps:bodyPr>
                      </wps:wsp>
                      <wps:wsp>
                        <wps:cNvPr id="555984" name="Rectangle 555984"/>
                        <wps:cNvSpPr/>
                        <wps:spPr>
                          <a:xfrm>
                            <a:off x="2282325" y="2187914"/>
                            <a:ext cx="170823"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45</w:t>
                              </w:r>
                            </w:p>
                          </w:txbxContent>
                        </wps:txbx>
                        <wps:bodyPr horzOverflow="overflow" vert="horz" lIns="0" tIns="0" rIns="0" bIns="0" rtlCol="0">
                          <a:noAutofit/>
                        </wps:bodyPr>
                      </wps:wsp>
                      <wps:wsp>
                        <wps:cNvPr id="555987" name="Rectangle 555987"/>
                        <wps:cNvSpPr/>
                        <wps:spPr>
                          <a:xfrm>
                            <a:off x="2409742" y="2187914"/>
                            <a:ext cx="4245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555985" name="Rectangle 555985"/>
                        <wps:cNvSpPr/>
                        <wps:spPr>
                          <a:xfrm>
                            <a:off x="2447788" y="2187914"/>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3</w:t>
                              </w:r>
                            </w:p>
                          </w:txbxContent>
                        </wps:txbx>
                        <wps:bodyPr horzOverflow="overflow" vert="horz" lIns="0" tIns="0" rIns="0" bIns="0" rtlCol="0">
                          <a:noAutofit/>
                        </wps:bodyPr>
                      </wps:wsp>
                      <wps:wsp>
                        <wps:cNvPr id="555982" name="Rectangle 555982"/>
                        <wps:cNvSpPr/>
                        <wps:spPr>
                          <a:xfrm>
                            <a:off x="1582107" y="1805079"/>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9</w:t>
                              </w:r>
                            </w:p>
                          </w:txbxContent>
                        </wps:txbx>
                        <wps:bodyPr horzOverflow="overflow" vert="horz" lIns="0" tIns="0" rIns="0" bIns="0" rtlCol="0">
                          <a:noAutofit/>
                        </wps:bodyPr>
                      </wps:wsp>
                      <wps:wsp>
                        <wps:cNvPr id="555981" name="Rectangle 555981"/>
                        <wps:cNvSpPr/>
                        <wps:spPr>
                          <a:xfrm>
                            <a:off x="1480352" y="1805079"/>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4</w:t>
                              </w:r>
                            </w:p>
                          </w:txbxContent>
                        </wps:txbx>
                        <wps:bodyPr horzOverflow="overflow" vert="horz" lIns="0" tIns="0" rIns="0" bIns="0" rtlCol="0">
                          <a:noAutofit/>
                        </wps:bodyPr>
                      </wps:wsp>
                      <wps:wsp>
                        <wps:cNvPr id="555983" name="Rectangle 555983"/>
                        <wps:cNvSpPr/>
                        <wps:spPr>
                          <a:xfrm>
                            <a:off x="1544061" y="1805079"/>
                            <a:ext cx="4245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555978" name="Rectangle 555978"/>
                        <wps:cNvSpPr/>
                        <wps:spPr>
                          <a:xfrm>
                            <a:off x="1455131" y="1613655"/>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4</w:t>
                              </w:r>
                            </w:p>
                          </w:txbxContent>
                        </wps:txbx>
                        <wps:bodyPr horzOverflow="overflow" vert="horz" lIns="0" tIns="0" rIns="0" bIns="0" rtlCol="0">
                          <a:noAutofit/>
                        </wps:bodyPr>
                      </wps:wsp>
                      <wps:wsp>
                        <wps:cNvPr id="555980" name="Rectangle 555980"/>
                        <wps:cNvSpPr/>
                        <wps:spPr>
                          <a:xfrm>
                            <a:off x="1518839" y="1613655"/>
                            <a:ext cx="4245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555979" name="Rectangle 555979"/>
                        <wps:cNvSpPr/>
                        <wps:spPr>
                          <a:xfrm>
                            <a:off x="1556885" y="1613655"/>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9</w:t>
                              </w:r>
                            </w:p>
                          </w:txbxContent>
                        </wps:txbx>
                        <wps:bodyPr horzOverflow="overflow" vert="horz" lIns="0" tIns="0" rIns="0" bIns="0" rtlCol="0">
                          <a:noAutofit/>
                        </wps:bodyPr>
                      </wps:wsp>
                      <wps:wsp>
                        <wps:cNvPr id="555976" name="Rectangle 555976"/>
                        <wps:cNvSpPr/>
                        <wps:spPr>
                          <a:xfrm>
                            <a:off x="1722421" y="1345754"/>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9</w:t>
                              </w:r>
                            </w:p>
                          </w:txbxContent>
                        </wps:txbx>
                        <wps:bodyPr horzOverflow="overflow" vert="horz" lIns="0" tIns="0" rIns="0" bIns="0" rtlCol="0">
                          <a:noAutofit/>
                        </wps:bodyPr>
                      </wps:wsp>
                      <wps:wsp>
                        <wps:cNvPr id="555975" name="Rectangle 555975"/>
                        <wps:cNvSpPr/>
                        <wps:spPr>
                          <a:xfrm>
                            <a:off x="1556958" y="1345754"/>
                            <a:ext cx="170823"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11</w:t>
                              </w:r>
                            </w:p>
                          </w:txbxContent>
                        </wps:txbx>
                        <wps:bodyPr horzOverflow="overflow" vert="horz" lIns="0" tIns="0" rIns="0" bIns="0" rtlCol="0">
                          <a:noAutofit/>
                        </wps:bodyPr>
                      </wps:wsp>
                      <wps:wsp>
                        <wps:cNvPr id="555977" name="Rectangle 555977"/>
                        <wps:cNvSpPr/>
                        <wps:spPr>
                          <a:xfrm>
                            <a:off x="1684375" y="1345754"/>
                            <a:ext cx="4245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555970" name="Rectangle 555970"/>
                        <wps:cNvSpPr/>
                        <wps:spPr>
                          <a:xfrm>
                            <a:off x="2015107" y="1052350"/>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5</w:t>
                              </w:r>
                            </w:p>
                          </w:txbxContent>
                        </wps:txbx>
                        <wps:bodyPr horzOverflow="overflow" vert="horz" lIns="0" tIns="0" rIns="0" bIns="0" rtlCol="0">
                          <a:noAutofit/>
                        </wps:bodyPr>
                      </wps:wsp>
                      <wps:wsp>
                        <wps:cNvPr id="555971" name="Rectangle 555971"/>
                        <wps:cNvSpPr/>
                        <wps:spPr>
                          <a:xfrm>
                            <a:off x="1989573" y="1052350"/>
                            <a:ext cx="4245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555969" name="Rectangle 555969"/>
                        <wps:cNvSpPr/>
                        <wps:spPr>
                          <a:xfrm>
                            <a:off x="1925864" y="1052350"/>
                            <a:ext cx="86091"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9</w:t>
                              </w:r>
                            </w:p>
                          </w:txbxContent>
                        </wps:txbx>
                        <wps:bodyPr horzOverflow="overflow" vert="horz" lIns="0" tIns="0" rIns="0" bIns="0" rtlCol="0">
                          <a:noAutofit/>
                        </wps:bodyPr>
                      </wps:wsp>
                      <wps:wsp>
                        <wps:cNvPr id="10931" name="Rectangle 10931"/>
                        <wps:cNvSpPr/>
                        <wps:spPr>
                          <a:xfrm>
                            <a:off x="1327776" y="247769"/>
                            <a:ext cx="4790666" cy="242546"/>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rPr>
                                <w:t xml:space="preserve">Расходы консолидированного бюджета РБ на </w:t>
                              </w:r>
                            </w:p>
                          </w:txbxContent>
                        </wps:txbx>
                        <wps:bodyPr horzOverflow="overflow" vert="horz" lIns="0" tIns="0" rIns="0" bIns="0" rtlCol="0">
                          <a:noAutofit/>
                        </wps:bodyPr>
                      </wps:wsp>
                      <wps:wsp>
                        <wps:cNvPr id="10932" name="Rectangle 10932"/>
                        <wps:cNvSpPr/>
                        <wps:spPr>
                          <a:xfrm>
                            <a:off x="2053117" y="465026"/>
                            <a:ext cx="2829679" cy="24254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rPr>
                                <w:t>образование в 2015 году, %</w:t>
                              </w:r>
                            </w:p>
                          </w:txbxContent>
                        </wps:txbx>
                        <wps:bodyPr horzOverflow="overflow" vert="horz" lIns="0" tIns="0" rIns="0" bIns="0" rtlCol="0">
                          <a:noAutofit/>
                        </wps:bodyPr>
                      </wps:wsp>
                      <wps:wsp>
                        <wps:cNvPr id="704717" name="Shape 704717"/>
                        <wps:cNvSpPr/>
                        <wps:spPr>
                          <a:xfrm>
                            <a:off x="4089417" y="777811"/>
                            <a:ext cx="63681" cy="76507"/>
                          </a:xfrm>
                          <a:custGeom>
                            <a:avLst/>
                            <a:gdLst/>
                            <a:ahLst/>
                            <a:cxnLst/>
                            <a:rect l="0" t="0" r="0" b="0"/>
                            <a:pathLst>
                              <a:path w="63681" h="76507">
                                <a:moveTo>
                                  <a:pt x="0" y="0"/>
                                </a:moveTo>
                                <a:lnTo>
                                  <a:pt x="63681" y="0"/>
                                </a:lnTo>
                                <a:lnTo>
                                  <a:pt x="63681" y="76507"/>
                                </a:lnTo>
                                <a:lnTo>
                                  <a:pt x="0" y="76507"/>
                                </a:lnTo>
                                <a:lnTo>
                                  <a:pt x="0" y="0"/>
                                </a:lnTo>
                              </a:path>
                            </a:pathLst>
                          </a:custGeom>
                          <a:ln w="0" cap="flat">
                            <a:miter lim="127000"/>
                          </a:ln>
                        </wps:spPr>
                        <wps:style>
                          <a:lnRef idx="0">
                            <a:srgbClr val="000000">
                              <a:alpha val="0"/>
                            </a:srgbClr>
                          </a:lnRef>
                          <a:fillRef idx="1">
                            <a:srgbClr val="4572A7"/>
                          </a:fillRef>
                          <a:effectRef idx="0">
                            <a:scrgbClr r="0" g="0" b="0"/>
                          </a:effectRef>
                          <a:fontRef idx="none"/>
                        </wps:style>
                        <wps:bodyPr/>
                      </wps:wsp>
                      <wps:wsp>
                        <wps:cNvPr id="10934" name="Rectangle 10934"/>
                        <wps:cNvSpPr/>
                        <wps:spPr>
                          <a:xfrm>
                            <a:off x="4178659" y="758566"/>
                            <a:ext cx="914056" cy="172954"/>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дошкольное</w:t>
                              </w:r>
                            </w:p>
                          </w:txbxContent>
                        </wps:txbx>
                        <wps:bodyPr horzOverflow="overflow" vert="horz" lIns="0" tIns="0" rIns="0" bIns="0" rtlCol="0">
                          <a:noAutofit/>
                        </wps:bodyPr>
                      </wps:wsp>
                      <wps:wsp>
                        <wps:cNvPr id="704718" name="Shape 704718"/>
                        <wps:cNvSpPr/>
                        <wps:spPr>
                          <a:xfrm>
                            <a:off x="4089417" y="1109606"/>
                            <a:ext cx="63681" cy="76507"/>
                          </a:xfrm>
                          <a:custGeom>
                            <a:avLst/>
                            <a:gdLst/>
                            <a:ahLst/>
                            <a:cxnLst/>
                            <a:rect l="0" t="0" r="0" b="0"/>
                            <a:pathLst>
                              <a:path w="63681" h="76507">
                                <a:moveTo>
                                  <a:pt x="0" y="0"/>
                                </a:moveTo>
                                <a:lnTo>
                                  <a:pt x="63681" y="0"/>
                                </a:lnTo>
                                <a:lnTo>
                                  <a:pt x="63681" y="76507"/>
                                </a:lnTo>
                                <a:lnTo>
                                  <a:pt x="0" y="76507"/>
                                </a:lnTo>
                                <a:lnTo>
                                  <a:pt x="0" y="0"/>
                                </a:lnTo>
                              </a:path>
                            </a:pathLst>
                          </a:custGeom>
                          <a:ln w="0" cap="flat">
                            <a:miter lim="127000"/>
                          </a:ln>
                        </wps:spPr>
                        <wps:style>
                          <a:lnRef idx="0">
                            <a:srgbClr val="000000">
                              <a:alpha val="0"/>
                            </a:srgbClr>
                          </a:lnRef>
                          <a:fillRef idx="1">
                            <a:srgbClr val="AA4643"/>
                          </a:fillRef>
                          <a:effectRef idx="0">
                            <a:scrgbClr r="0" g="0" b="0"/>
                          </a:effectRef>
                          <a:fontRef idx="none"/>
                        </wps:style>
                        <wps:bodyPr/>
                      </wps:wsp>
                      <wps:wsp>
                        <wps:cNvPr id="10936" name="Rectangle 10936"/>
                        <wps:cNvSpPr/>
                        <wps:spPr>
                          <a:xfrm>
                            <a:off x="4178659" y="1090360"/>
                            <a:ext cx="2098780" cy="17295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общее среднее образование</w:t>
                              </w:r>
                            </w:p>
                          </w:txbxContent>
                        </wps:txbx>
                        <wps:bodyPr horzOverflow="overflow" vert="horz" lIns="0" tIns="0" rIns="0" bIns="0" rtlCol="0">
                          <a:noAutofit/>
                        </wps:bodyPr>
                      </wps:wsp>
                      <wps:wsp>
                        <wps:cNvPr id="704719" name="Shape 704719"/>
                        <wps:cNvSpPr/>
                        <wps:spPr>
                          <a:xfrm>
                            <a:off x="4089417" y="1441541"/>
                            <a:ext cx="63681" cy="63909"/>
                          </a:xfrm>
                          <a:custGeom>
                            <a:avLst/>
                            <a:gdLst/>
                            <a:ahLst/>
                            <a:cxnLst/>
                            <a:rect l="0" t="0" r="0" b="0"/>
                            <a:pathLst>
                              <a:path w="63681" h="63909">
                                <a:moveTo>
                                  <a:pt x="0" y="0"/>
                                </a:moveTo>
                                <a:lnTo>
                                  <a:pt x="63681" y="0"/>
                                </a:lnTo>
                                <a:lnTo>
                                  <a:pt x="63681" y="63909"/>
                                </a:lnTo>
                                <a:lnTo>
                                  <a:pt x="0" y="63909"/>
                                </a:lnTo>
                                <a:lnTo>
                                  <a:pt x="0" y="0"/>
                                </a:lnTo>
                              </a:path>
                            </a:pathLst>
                          </a:custGeom>
                          <a:ln w="0" cap="flat">
                            <a:miter lim="127000"/>
                          </a:ln>
                        </wps:spPr>
                        <wps:style>
                          <a:lnRef idx="0">
                            <a:srgbClr val="000000">
                              <a:alpha val="0"/>
                            </a:srgbClr>
                          </a:lnRef>
                          <a:fillRef idx="1">
                            <a:srgbClr val="89A54E"/>
                          </a:fillRef>
                          <a:effectRef idx="0">
                            <a:scrgbClr r="0" g="0" b="0"/>
                          </a:effectRef>
                          <a:fontRef idx="none"/>
                        </wps:style>
                        <wps:bodyPr/>
                      </wps:wsp>
                      <wps:wsp>
                        <wps:cNvPr id="10938" name="Rectangle 10938"/>
                        <wps:cNvSpPr/>
                        <wps:spPr>
                          <a:xfrm>
                            <a:off x="4178659" y="1409698"/>
                            <a:ext cx="1290682" cy="172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профессионально</w:t>
                              </w:r>
                            </w:p>
                          </w:txbxContent>
                        </wps:txbx>
                        <wps:bodyPr horzOverflow="overflow" vert="horz" lIns="0" tIns="0" rIns="0" bIns="0" rtlCol="0">
                          <a:noAutofit/>
                        </wps:bodyPr>
                      </wps:wsp>
                      <wps:wsp>
                        <wps:cNvPr id="10939" name="Rectangle 10939"/>
                        <wps:cNvSpPr/>
                        <wps:spPr>
                          <a:xfrm>
                            <a:off x="5158418" y="1409698"/>
                            <a:ext cx="51960" cy="172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10940" name="Rectangle 10940"/>
                        <wps:cNvSpPr/>
                        <wps:spPr>
                          <a:xfrm>
                            <a:off x="4178659" y="1575557"/>
                            <a:ext cx="896227" cy="172954"/>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техническое</w:t>
                              </w:r>
                            </w:p>
                          </w:txbxContent>
                        </wps:txbx>
                        <wps:bodyPr horzOverflow="overflow" vert="horz" lIns="0" tIns="0" rIns="0" bIns="0" rtlCol="0">
                          <a:noAutofit/>
                        </wps:bodyPr>
                      </wps:wsp>
                      <wps:wsp>
                        <wps:cNvPr id="704720" name="Shape 704720"/>
                        <wps:cNvSpPr/>
                        <wps:spPr>
                          <a:xfrm>
                            <a:off x="4089417" y="1773323"/>
                            <a:ext cx="63681" cy="63909"/>
                          </a:xfrm>
                          <a:custGeom>
                            <a:avLst/>
                            <a:gdLst/>
                            <a:ahLst/>
                            <a:cxnLst/>
                            <a:rect l="0" t="0" r="0" b="0"/>
                            <a:pathLst>
                              <a:path w="63681" h="63909">
                                <a:moveTo>
                                  <a:pt x="0" y="0"/>
                                </a:moveTo>
                                <a:lnTo>
                                  <a:pt x="63681" y="0"/>
                                </a:lnTo>
                                <a:lnTo>
                                  <a:pt x="63681" y="63909"/>
                                </a:lnTo>
                                <a:lnTo>
                                  <a:pt x="0" y="63909"/>
                                </a:lnTo>
                                <a:lnTo>
                                  <a:pt x="0" y="0"/>
                                </a:lnTo>
                              </a:path>
                            </a:pathLst>
                          </a:custGeom>
                          <a:ln w="0" cap="flat">
                            <a:miter lim="127000"/>
                          </a:ln>
                        </wps:spPr>
                        <wps:style>
                          <a:lnRef idx="0">
                            <a:srgbClr val="000000">
                              <a:alpha val="0"/>
                            </a:srgbClr>
                          </a:lnRef>
                          <a:fillRef idx="1">
                            <a:srgbClr val="71588F"/>
                          </a:fillRef>
                          <a:effectRef idx="0">
                            <a:scrgbClr r="0" g="0" b="0"/>
                          </a:effectRef>
                          <a:fontRef idx="none"/>
                        </wps:style>
                        <wps:bodyPr/>
                      </wps:wsp>
                      <wps:wsp>
                        <wps:cNvPr id="10942" name="Rectangle 10942"/>
                        <wps:cNvSpPr/>
                        <wps:spPr>
                          <a:xfrm>
                            <a:off x="4178659" y="1741480"/>
                            <a:ext cx="1489183" cy="172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среднее специльное</w:t>
                              </w:r>
                            </w:p>
                          </w:txbxContent>
                        </wps:txbx>
                        <wps:bodyPr horzOverflow="overflow" vert="horz" lIns="0" tIns="0" rIns="0" bIns="0" rtlCol="0">
                          <a:noAutofit/>
                        </wps:bodyPr>
                      </wps:wsp>
                      <wps:wsp>
                        <wps:cNvPr id="704721" name="Shape 704721"/>
                        <wps:cNvSpPr/>
                        <wps:spPr>
                          <a:xfrm>
                            <a:off x="4089417" y="2092251"/>
                            <a:ext cx="63681" cy="76814"/>
                          </a:xfrm>
                          <a:custGeom>
                            <a:avLst/>
                            <a:gdLst/>
                            <a:ahLst/>
                            <a:cxnLst/>
                            <a:rect l="0" t="0" r="0" b="0"/>
                            <a:pathLst>
                              <a:path w="63681" h="76814">
                                <a:moveTo>
                                  <a:pt x="0" y="0"/>
                                </a:moveTo>
                                <a:lnTo>
                                  <a:pt x="63681" y="0"/>
                                </a:lnTo>
                                <a:lnTo>
                                  <a:pt x="63681" y="76814"/>
                                </a:lnTo>
                                <a:lnTo>
                                  <a:pt x="0" y="76814"/>
                                </a:lnTo>
                                <a:lnTo>
                                  <a:pt x="0" y="0"/>
                                </a:lnTo>
                              </a:path>
                            </a:pathLst>
                          </a:custGeom>
                          <a:ln w="0" cap="flat">
                            <a:miter lim="127000"/>
                          </a:ln>
                        </wps:spPr>
                        <wps:style>
                          <a:lnRef idx="0">
                            <a:srgbClr val="000000">
                              <a:alpha val="0"/>
                            </a:srgbClr>
                          </a:lnRef>
                          <a:fillRef idx="1">
                            <a:srgbClr val="4198AF"/>
                          </a:fillRef>
                          <a:effectRef idx="0">
                            <a:scrgbClr r="0" g="0" b="0"/>
                          </a:effectRef>
                          <a:fontRef idx="none"/>
                        </wps:style>
                        <wps:bodyPr/>
                      </wps:wsp>
                      <wps:wsp>
                        <wps:cNvPr id="10944" name="Rectangle 10944"/>
                        <wps:cNvSpPr/>
                        <wps:spPr>
                          <a:xfrm>
                            <a:off x="4178659" y="2073312"/>
                            <a:ext cx="1878035" cy="172954"/>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высшее и послевузовское</w:t>
                              </w:r>
                            </w:p>
                          </w:txbxContent>
                        </wps:txbx>
                        <wps:bodyPr horzOverflow="overflow" vert="horz" lIns="0" tIns="0" rIns="0" bIns="0" rtlCol="0">
                          <a:noAutofit/>
                        </wps:bodyPr>
                      </wps:wsp>
                      <wps:wsp>
                        <wps:cNvPr id="704722" name="Shape 704722"/>
                        <wps:cNvSpPr/>
                        <wps:spPr>
                          <a:xfrm>
                            <a:off x="4089417" y="2424085"/>
                            <a:ext cx="63681" cy="76814"/>
                          </a:xfrm>
                          <a:custGeom>
                            <a:avLst/>
                            <a:gdLst/>
                            <a:ahLst/>
                            <a:cxnLst/>
                            <a:rect l="0" t="0" r="0" b="0"/>
                            <a:pathLst>
                              <a:path w="63681" h="76814">
                                <a:moveTo>
                                  <a:pt x="0" y="0"/>
                                </a:moveTo>
                                <a:lnTo>
                                  <a:pt x="63681" y="0"/>
                                </a:lnTo>
                                <a:lnTo>
                                  <a:pt x="63681" y="76814"/>
                                </a:lnTo>
                                <a:lnTo>
                                  <a:pt x="0" y="76814"/>
                                </a:lnTo>
                                <a:lnTo>
                                  <a:pt x="0" y="0"/>
                                </a:lnTo>
                              </a:path>
                            </a:pathLst>
                          </a:custGeom>
                          <a:ln w="0" cap="flat">
                            <a:miter lim="127000"/>
                          </a:ln>
                        </wps:spPr>
                        <wps:style>
                          <a:lnRef idx="0">
                            <a:srgbClr val="000000">
                              <a:alpha val="0"/>
                            </a:srgbClr>
                          </a:lnRef>
                          <a:fillRef idx="1">
                            <a:srgbClr val="DB843D"/>
                          </a:fillRef>
                          <a:effectRef idx="0">
                            <a:scrgbClr r="0" g="0" b="0"/>
                          </a:effectRef>
                          <a:fontRef idx="none"/>
                        </wps:style>
                        <wps:bodyPr/>
                      </wps:wsp>
                      <wps:wsp>
                        <wps:cNvPr id="10946" name="Rectangle 10946"/>
                        <wps:cNvSpPr/>
                        <wps:spPr>
                          <a:xfrm>
                            <a:off x="4178659" y="2405145"/>
                            <a:ext cx="1145160" cy="172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другие расходы</w:t>
                              </w:r>
                            </w:p>
                          </w:txbxContent>
                        </wps:txbx>
                        <wps:bodyPr horzOverflow="overflow" vert="horz" lIns="0" tIns="0" rIns="0" bIns="0" rtlCol="0">
                          <a:noAutofit/>
                        </wps:bodyPr>
                      </wps:wsp>
                      <wps:wsp>
                        <wps:cNvPr id="10947" name="Shape 10947"/>
                        <wps:cNvSpPr/>
                        <wps:spPr>
                          <a:xfrm>
                            <a:off x="352404" y="118903"/>
                            <a:ext cx="5536224" cy="2654688"/>
                          </a:xfrm>
                          <a:custGeom>
                            <a:avLst/>
                            <a:gdLst/>
                            <a:ahLst/>
                            <a:cxnLst/>
                            <a:rect l="0" t="0" r="0" b="0"/>
                            <a:pathLst>
                              <a:path w="5536224" h="2654688">
                                <a:moveTo>
                                  <a:pt x="0" y="0"/>
                                </a:moveTo>
                                <a:lnTo>
                                  <a:pt x="5536224" y="0"/>
                                </a:lnTo>
                                <a:lnTo>
                                  <a:pt x="5536224" y="2654688"/>
                                </a:lnTo>
                                <a:lnTo>
                                  <a:pt x="0" y="2654688"/>
                                </a:lnTo>
                                <a:lnTo>
                                  <a:pt x="0" y="0"/>
                                </a:lnTo>
                                <a:lnTo>
                                  <a:pt x="0" y="2641784"/>
                                </a:lnTo>
                                <a:lnTo>
                                  <a:pt x="5523638" y="2641784"/>
                                </a:lnTo>
                                <a:lnTo>
                                  <a:pt x="5523638" y="0"/>
                                </a:lnTo>
                                <a:lnTo>
                                  <a:pt x="0" y="0"/>
                                </a:lnTo>
                                <a:close/>
                              </a:path>
                            </a:pathLst>
                          </a:custGeom>
                          <a:ln w="12613" cap="flat">
                            <a:round/>
                          </a:ln>
                        </wps:spPr>
                        <wps:style>
                          <a:lnRef idx="1">
                            <a:srgbClr val="868686"/>
                          </a:lnRef>
                          <a:fillRef idx="1">
                            <a:srgbClr val="868686"/>
                          </a:fillRef>
                          <a:effectRef idx="0">
                            <a:scrgbClr r="0" g="0" b="0"/>
                          </a:effectRef>
                          <a:fontRef idx="none"/>
                        </wps:style>
                        <wps:bodyPr/>
                      </wps:wsp>
                      <wps:wsp>
                        <wps:cNvPr id="10963" name="Rectangle 10963"/>
                        <wps:cNvSpPr/>
                        <wps:spPr>
                          <a:xfrm>
                            <a:off x="196596" y="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10964" name="Rectangle 10964"/>
                        <wps:cNvSpPr/>
                        <wps:spPr>
                          <a:xfrm>
                            <a:off x="196596" y="20421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10965" name="Rectangle 10965"/>
                        <wps:cNvSpPr/>
                        <wps:spPr>
                          <a:xfrm>
                            <a:off x="0" y="408656"/>
                            <a:ext cx="50673" cy="224380"/>
                          </a:xfrm>
                          <a:prstGeom prst="rect">
                            <a:avLst/>
                          </a:prstGeom>
                          <a:ln>
                            <a:noFill/>
                          </a:ln>
                        </wps:spPr>
                        <wps:txbx>
                          <w:txbxContent>
                            <w:p w:rsidR="002C0F56" w:rsidRDefault="00E67C6E">
                              <w:pPr>
                                <w:spacing w:after="160" w:line="259" w:lineRule="auto"/>
                                <w:ind w:left="0" w:firstLine="0"/>
                                <w:jc w:val="left"/>
                              </w:pPr>
                              <w:r>
                                <w:rPr>
                                  <w:i/>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58620" style="width:463.671pt;height:218.393pt;mso-position-horizontal-relative:char;mso-position-vertical-relative:line" coordsize="58886,27735">
                <v:shape id="Shape 10919" style="position:absolute;width:7762;height:7783;left:21804;top:9311;" coordsize="776230,778306" path="m0,0l38138,0l76402,12585l139965,12585l178230,25552l216368,38137l254506,38137l280058,50977l343621,89114l407057,114666l470746,165643l521851,204034l572574,255012l623679,306116l661817,369932l687369,433876l725507,497438l738092,523244l750677,561382l750677,599773l763645,637885l763645,676302l776230,701803l0,778306l0,0x">
                  <v:stroke weight="0pt" endcap="flat" joinstyle="miter" miterlimit="10" on="false" color="#000000" opacity="0"/>
                  <v:fill on="true" color="#4572a7"/>
                </v:shape>
                <v:shape id="Shape 10920" style="position:absolute;width:15015;height:8550;left:14551;top:16329;" coordsize="1501596,855090" path="m1501596,0l1501596,127506l1489011,191424l1476044,255329l1463458,318930l1450873,370237l1425321,421239l1387183,484853l1361631,536160l1323493,574259l1272389,625261l1234251,663666l1183528,702083l1132423,740182l1081700,765683l1018010,804087l979872,816685l941734,829589l903597,829589l865332,842187l827194,855090l636252,855090l597986,842187l572561,842187l534424,829589l496159,816685l458021,804087l419883,791184l394331,778586l356193,765683l330768,740182l292503,727584l267078,702083l228941,676264l178090,625261l127113,574259l76301,510659l63372,484853l38150,446753l25234,408336l0,370237l725367,76503l1501596,0x">
                  <v:stroke weight="0pt" endcap="flat" joinstyle="miter" miterlimit="10" on="false" color="#000000" opacity="0"/>
                  <v:fill on="true" color="#aa4643"/>
                </v:shape>
                <v:shape id="Shape 10921" style="position:absolute;width:7764;height:2937;left:14040;top:17094;" coordsize="776433,293734" path="m776433,0l51067,293734l38151,242427l25540,178826l12611,127824l0,63906l776433,0x">
                  <v:stroke weight="0pt" endcap="flat" joinstyle="miter" miterlimit="10" on="false" color="#000000" opacity="0"/>
                  <v:fill on="true" color="#89a54e"/>
                </v:shape>
                <v:shape id="Shape 10922" style="position:absolute;width:7764;height:2424;left:14040;top:15308;" coordsize="776433,242439" path="m12611,0l776433,178533l0,242439l0,127531l12611,63626l12611,0x">
                  <v:stroke weight="0pt" endcap="flat" joinstyle="miter" miterlimit="10" on="false" color="#000000" opacity="0"/>
                  <v:fill on="true" color="#71588f"/>
                </v:shape>
                <v:shape id="Shape 10923" style="position:absolute;width:7638;height:6382;left:14166;top:10711;" coordsize="763822,638215" path="m330959,0l763822,638215l0,459682l12929,434257l25540,395738l38456,357347l51066,331922l89217,268232l127367,204416l165569,140472l216546,89495l267396,38391l330959,0x">
                  <v:stroke weight="0pt" endcap="flat" joinstyle="miter" miterlimit="10" on="false" color="#000000" opacity="0"/>
                  <v:fill on="true" color="#4198af"/>
                </v:shape>
                <v:shape id="Shape 10924" style="position:absolute;width:4328;height:7783;left:17476;top:9311;" coordsize="432863,778306" path="m369173,0l432863,0l432863,778306l0,140091l51104,102081l101828,76529l152678,50977l203655,38137l254506,25552l318196,12585l369173,0x">
                  <v:stroke weight="0pt" endcap="flat" joinstyle="miter" miterlimit="10" on="false" color="#000000" opacity="0"/>
                  <v:fill on="true" color="#db843d"/>
                </v:shape>
                <v:rect id="Rectangle 555972" style="position:absolute;width:1708;height:1729;left:24731;top:12436;" filled="f" stroked="f">
                  <v:textbox inset="0,0,0,0">
                    <w:txbxContent>
                      <w:p>
                        <w:pPr>
                          <w:spacing w:before="0" w:after="160" w:line="259" w:lineRule="auto"/>
                          <w:ind w:left="0" w:firstLine="0"/>
                          <w:jc w:val="left"/>
                        </w:pPr>
                        <w:r>
                          <w:rPr>
                            <w:rFonts w:cs="Calibri" w:hAnsi="Calibri" w:eastAsia="Calibri" w:ascii="Calibri"/>
                            <w:sz w:val="20"/>
                          </w:rPr>
                          <w:t xml:space="preserve">23</w:t>
                        </w:r>
                      </w:p>
                    </w:txbxContent>
                  </v:textbox>
                </v:rect>
                <v:rect id="Rectangle 555974" style="position:absolute;width:424;height:1729;left:26005;top:12436;"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555973" style="position:absolute;width:860;height:1729;left:26386;top:12436;" filled="f" stroked="f">
                  <v:textbox inset="0,0,0,0">
                    <w:txbxContent>
                      <w:p>
                        <w:pPr>
                          <w:spacing w:before="0" w:after="160" w:line="259" w:lineRule="auto"/>
                          <w:ind w:left="0" w:firstLine="0"/>
                          <w:jc w:val="left"/>
                        </w:pPr>
                        <w:r>
                          <w:rPr>
                            <w:rFonts w:cs="Calibri" w:hAnsi="Calibri" w:eastAsia="Calibri" w:ascii="Calibri"/>
                            <w:sz w:val="20"/>
                          </w:rPr>
                          <w:t xml:space="preserve">5</w:t>
                        </w:r>
                      </w:p>
                    </w:txbxContent>
                  </v:textbox>
                </v:rect>
                <v:rect id="Rectangle 555984" style="position:absolute;width:1708;height:1729;left:22823;top:21879;" filled="f" stroked="f">
                  <v:textbox inset="0,0,0,0">
                    <w:txbxContent>
                      <w:p>
                        <w:pPr>
                          <w:spacing w:before="0" w:after="160" w:line="259" w:lineRule="auto"/>
                          <w:ind w:left="0" w:firstLine="0"/>
                          <w:jc w:val="left"/>
                        </w:pPr>
                        <w:r>
                          <w:rPr>
                            <w:rFonts w:cs="Calibri" w:hAnsi="Calibri" w:eastAsia="Calibri" w:ascii="Calibri"/>
                            <w:sz w:val="20"/>
                          </w:rPr>
                          <w:t xml:space="preserve">45</w:t>
                        </w:r>
                      </w:p>
                    </w:txbxContent>
                  </v:textbox>
                </v:rect>
                <v:rect id="Rectangle 555987" style="position:absolute;width:424;height:1729;left:24097;top:21879;"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555985" style="position:absolute;width:860;height:1729;left:24477;top:21879;" filled="f" stroked="f">
                  <v:textbox inset="0,0,0,0">
                    <w:txbxContent>
                      <w:p>
                        <w:pPr>
                          <w:spacing w:before="0" w:after="160" w:line="259" w:lineRule="auto"/>
                          <w:ind w:left="0" w:firstLine="0"/>
                          <w:jc w:val="left"/>
                        </w:pPr>
                        <w:r>
                          <w:rPr>
                            <w:rFonts w:cs="Calibri" w:hAnsi="Calibri" w:eastAsia="Calibri" w:ascii="Calibri"/>
                            <w:sz w:val="20"/>
                          </w:rPr>
                          <w:t xml:space="preserve">3</w:t>
                        </w:r>
                      </w:p>
                    </w:txbxContent>
                  </v:textbox>
                </v:rect>
                <v:rect id="Rectangle 555982" style="position:absolute;width:860;height:1729;left:15821;top:18050;" filled="f" stroked="f">
                  <v:textbox inset="0,0,0,0">
                    <w:txbxContent>
                      <w:p>
                        <w:pPr>
                          <w:spacing w:before="0" w:after="160" w:line="259" w:lineRule="auto"/>
                          <w:ind w:left="0" w:firstLine="0"/>
                          <w:jc w:val="left"/>
                        </w:pPr>
                        <w:r>
                          <w:rPr>
                            <w:rFonts w:cs="Calibri" w:hAnsi="Calibri" w:eastAsia="Calibri" w:ascii="Calibri"/>
                            <w:sz w:val="20"/>
                          </w:rPr>
                          <w:t xml:space="preserve">9</w:t>
                        </w:r>
                      </w:p>
                    </w:txbxContent>
                  </v:textbox>
                </v:rect>
                <v:rect id="Rectangle 555981" style="position:absolute;width:860;height:1729;left:14803;top:18050;" filled="f" stroked="f">
                  <v:textbox inset="0,0,0,0">
                    <w:txbxContent>
                      <w:p>
                        <w:pPr>
                          <w:spacing w:before="0" w:after="160" w:line="259" w:lineRule="auto"/>
                          <w:ind w:left="0" w:firstLine="0"/>
                          <w:jc w:val="left"/>
                        </w:pPr>
                        <w:r>
                          <w:rPr>
                            <w:rFonts w:cs="Calibri" w:hAnsi="Calibri" w:eastAsia="Calibri" w:ascii="Calibri"/>
                            <w:sz w:val="20"/>
                          </w:rPr>
                          <w:t xml:space="preserve">4</w:t>
                        </w:r>
                      </w:p>
                    </w:txbxContent>
                  </v:textbox>
                </v:rect>
                <v:rect id="Rectangle 555983" style="position:absolute;width:424;height:1729;left:15440;top:18050;"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555978" style="position:absolute;width:860;height:1729;left:14551;top:16136;" filled="f" stroked="f">
                  <v:textbox inset="0,0,0,0">
                    <w:txbxContent>
                      <w:p>
                        <w:pPr>
                          <w:spacing w:before="0" w:after="160" w:line="259" w:lineRule="auto"/>
                          <w:ind w:left="0" w:firstLine="0"/>
                          <w:jc w:val="left"/>
                        </w:pPr>
                        <w:r>
                          <w:rPr>
                            <w:rFonts w:cs="Calibri" w:hAnsi="Calibri" w:eastAsia="Calibri" w:ascii="Calibri"/>
                            <w:sz w:val="20"/>
                          </w:rPr>
                          <w:t xml:space="preserve">4</w:t>
                        </w:r>
                      </w:p>
                    </w:txbxContent>
                  </v:textbox>
                </v:rect>
                <v:rect id="Rectangle 555980" style="position:absolute;width:424;height:1729;left:15188;top:16136;"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555979" style="position:absolute;width:860;height:1729;left:15568;top:16136;" filled="f" stroked="f">
                  <v:textbox inset="0,0,0,0">
                    <w:txbxContent>
                      <w:p>
                        <w:pPr>
                          <w:spacing w:before="0" w:after="160" w:line="259" w:lineRule="auto"/>
                          <w:ind w:left="0" w:firstLine="0"/>
                          <w:jc w:val="left"/>
                        </w:pPr>
                        <w:r>
                          <w:rPr>
                            <w:rFonts w:cs="Calibri" w:hAnsi="Calibri" w:eastAsia="Calibri" w:ascii="Calibri"/>
                            <w:sz w:val="20"/>
                          </w:rPr>
                          <w:t xml:space="preserve">9</w:t>
                        </w:r>
                      </w:p>
                    </w:txbxContent>
                  </v:textbox>
                </v:rect>
                <v:rect id="Rectangle 555976" style="position:absolute;width:860;height:1729;left:17224;top:13457;" filled="f" stroked="f">
                  <v:textbox inset="0,0,0,0">
                    <w:txbxContent>
                      <w:p>
                        <w:pPr>
                          <w:spacing w:before="0" w:after="160" w:line="259" w:lineRule="auto"/>
                          <w:ind w:left="0" w:firstLine="0"/>
                          <w:jc w:val="left"/>
                        </w:pPr>
                        <w:r>
                          <w:rPr>
                            <w:rFonts w:cs="Calibri" w:hAnsi="Calibri" w:eastAsia="Calibri" w:ascii="Calibri"/>
                            <w:sz w:val="20"/>
                          </w:rPr>
                          <w:t xml:space="preserve">9</w:t>
                        </w:r>
                      </w:p>
                    </w:txbxContent>
                  </v:textbox>
                </v:rect>
                <v:rect id="Rectangle 555975" style="position:absolute;width:1708;height:1729;left:15569;top:13457;" filled="f" stroked="f">
                  <v:textbox inset="0,0,0,0">
                    <w:txbxContent>
                      <w:p>
                        <w:pPr>
                          <w:spacing w:before="0" w:after="160" w:line="259" w:lineRule="auto"/>
                          <w:ind w:left="0" w:firstLine="0"/>
                          <w:jc w:val="left"/>
                        </w:pPr>
                        <w:r>
                          <w:rPr>
                            <w:rFonts w:cs="Calibri" w:hAnsi="Calibri" w:eastAsia="Calibri" w:ascii="Calibri"/>
                            <w:sz w:val="20"/>
                          </w:rPr>
                          <w:t xml:space="preserve">11</w:t>
                        </w:r>
                      </w:p>
                    </w:txbxContent>
                  </v:textbox>
                </v:rect>
                <v:rect id="Rectangle 555977" style="position:absolute;width:424;height:1729;left:16843;top:13457;"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555970" style="position:absolute;width:860;height:1729;left:20151;top:10523;" filled="f" stroked="f">
                  <v:textbox inset="0,0,0,0">
                    <w:txbxContent>
                      <w:p>
                        <w:pPr>
                          <w:spacing w:before="0" w:after="160" w:line="259" w:lineRule="auto"/>
                          <w:ind w:left="0" w:firstLine="0"/>
                          <w:jc w:val="left"/>
                        </w:pPr>
                        <w:r>
                          <w:rPr>
                            <w:rFonts w:cs="Calibri" w:hAnsi="Calibri" w:eastAsia="Calibri" w:ascii="Calibri"/>
                            <w:sz w:val="20"/>
                          </w:rPr>
                          <w:t xml:space="preserve">5</w:t>
                        </w:r>
                      </w:p>
                    </w:txbxContent>
                  </v:textbox>
                </v:rect>
                <v:rect id="Rectangle 555971" style="position:absolute;width:424;height:1729;left:19895;top:10523;"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555969" style="position:absolute;width:860;height:1729;left:19258;top:10523;" filled="f" stroked="f">
                  <v:textbox inset="0,0,0,0">
                    <w:txbxContent>
                      <w:p>
                        <w:pPr>
                          <w:spacing w:before="0" w:after="160" w:line="259" w:lineRule="auto"/>
                          <w:ind w:left="0" w:firstLine="0"/>
                          <w:jc w:val="left"/>
                        </w:pPr>
                        <w:r>
                          <w:rPr>
                            <w:rFonts w:cs="Calibri" w:hAnsi="Calibri" w:eastAsia="Calibri" w:ascii="Calibri"/>
                            <w:sz w:val="20"/>
                          </w:rPr>
                          <w:t xml:space="preserve">9</w:t>
                        </w:r>
                      </w:p>
                    </w:txbxContent>
                  </v:textbox>
                </v:rect>
                <v:rect id="Rectangle 10931" style="position:absolute;width:47906;height:2425;left:13277;top:2477;" filled="f" stroked="f">
                  <v:textbox inset="0,0,0,0">
                    <w:txbxContent>
                      <w:p>
                        <w:pPr>
                          <w:spacing w:before="0" w:after="160" w:line="259" w:lineRule="auto"/>
                          <w:ind w:left="0" w:firstLine="0"/>
                          <w:jc w:val="left"/>
                        </w:pPr>
                        <w:r>
                          <w:rPr>
                            <w:rFonts w:cs="Calibri" w:hAnsi="Calibri" w:eastAsia="Calibri" w:ascii="Calibri"/>
                            <w:b w:val="1"/>
                            <w:sz w:val="28"/>
                          </w:rPr>
                          <w:t xml:space="preserve">Расходы консолидированного бюджета РБ на </w:t>
                        </w:r>
                      </w:p>
                    </w:txbxContent>
                  </v:textbox>
                </v:rect>
                <v:rect id="Rectangle 10932" style="position:absolute;width:28296;height:2425;left:20531;top:4650;" filled="f" stroked="f">
                  <v:textbox inset="0,0,0,0">
                    <w:txbxContent>
                      <w:p>
                        <w:pPr>
                          <w:spacing w:before="0" w:after="160" w:line="259" w:lineRule="auto"/>
                          <w:ind w:left="0" w:firstLine="0"/>
                          <w:jc w:val="left"/>
                        </w:pPr>
                        <w:r>
                          <w:rPr>
                            <w:rFonts w:cs="Calibri" w:hAnsi="Calibri" w:eastAsia="Calibri" w:ascii="Calibri"/>
                            <w:b w:val="1"/>
                            <w:sz w:val="28"/>
                          </w:rPr>
                          <w:t xml:space="preserve">образование в 2015 году, %</w:t>
                        </w:r>
                      </w:p>
                    </w:txbxContent>
                  </v:textbox>
                </v:rect>
                <v:shape id="Shape 704723" style="position:absolute;width:636;height:765;left:40894;top:7778;" coordsize="63681,76507" path="m0,0l63681,0l63681,76507l0,76507l0,0">
                  <v:stroke weight="0pt" endcap="flat" joinstyle="miter" miterlimit="10" on="false" color="#000000" opacity="0"/>
                  <v:fill on="true" color="#4572a7"/>
                </v:shape>
                <v:rect id="Rectangle 10934" style="position:absolute;width:9140;height:1729;left:41786;top:7585;" filled="f" stroked="f">
                  <v:textbox inset="0,0,0,0">
                    <w:txbxContent>
                      <w:p>
                        <w:pPr>
                          <w:spacing w:before="0" w:after="160" w:line="259" w:lineRule="auto"/>
                          <w:ind w:left="0" w:firstLine="0"/>
                          <w:jc w:val="left"/>
                        </w:pPr>
                        <w:r>
                          <w:rPr>
                            <w:rFonts w:cs="Calibri" w:hAnsi="Calibri" w:eastAsia="Calibri" w:ascii="Calibri"/>
                            <w:sz w:val="20"/>
                          </w:rPr>
                          <w:t xml:space="preserve">дошкольное</w:t>
                        </w:r>
                      </w:p>
                    </w:txbxContent>
                  </v:textbox>
                </v:rect>
                <v:shape id="Shape 704724" style="position:absolute;width:636;height:765;left:40894;top:11096;" coordsize="63681,76507" path="m0,0l63681,0l63681,76507l0,76507l0,0">
                  <v:stroke weight="0pt" endcap="flat" joinstyle="miter" miterlimit="10" on="false" color="#000000" opacity="0"/>
                  <v:fill on="true" color="#aa4643"/>
                </v:shape>
                <v:rect id="Rectangle 10936" style="position:absolute;width:20987;height:1729;left:41786;top:10903;" filled="f" stroked="f">
                  <v:textbox inset="0,0,0,0">
                    <w:txbxContent>
                      <w:p>
                        <w:pPr>
                          <w:spacing w:before="0" w:after="160" w:line="259" w:lineRule="auto"/>
                          <w:ind w:left="0" w:firstLine="0"/>
                          <w:jc w:val="left"/>
                        </w:pPr>
                        <w:r>
                          <w:rPr>
                            <w:rFonts w:cs="Calibri" w:hAnsi="Calibri" w:eastAsia="Calibri" w:ascii="Calibri"/>
                            <w:sz w:val="20"/>
                          </w:rPr>
                          <w:t xml:space="preserve">общее среднее образование</w:t>
                        </w:r>
                      </w:p>
                    </w:txbxContent>
                  </v:textbox>
                </v:rect>
                <v:shape id="Shape 704725" style="position:absolute;width:636;height:639;left:40894;top:14415;" coordsize="63681,63909" path="m0,0l63681,0l63681,63909l0,63909l0,0">
                  <v:stroke weight="0pt" endcap="flat" joinstyle="miter" miterlimit="10" on="false" color="#000000" opacity="0"/>
                  <v:fill on="true" color="#89a54e"/>
                </v:shape>
                <v:rect id="Rectangle 10938" style="position:absolute;width:12906;height:1729;left:41786;top:14096;" filled="f" stroked="f">
                  <v:textbox inset="0,0,0,0">
                    <w:txbxContent>
                      <w:p>
                        <w:pPr>
                          <w:spacing w:before="0" w:after="160" w:line="259" w:lineRule="auto"/>
                          <w:ind w:left="0" w:firstLine="0"/>
                          <w:jc w:val="left"/>
                        </w:pPr>
                        <w:r>
                          <w:rPr>
                            <w:rFonts w:cs="Calibri" w:hAnsi="Calibri" w:eastAsia="Calibri" w:ascii="Calibri"/>
                            <w:sz w:val="20"/>
                          </w:rPr>
                          <w:t xml:space="preserve">профессионально</w:t>
                        </w:r>
                      </w:p>
                    </w:txbxContent>
                  </v:textbox>
                </v:rect>
                <v:rect id="Rectangle 10939" style="position:absolute;width:519;height:1729;left:51584;top:14096;"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10940" style="position:absolute;width:8962;height:1729;left:41786;top:15755;" filled="f" stroked="f">
                  <v:textbox inset="0,0,0,0">
                    <w:txbxContent>
                      <w:p>
                        <w:pPr>
                          <w:spacing w:before="0" w:after="160" w:line="259" w:lineRule="auto"/>
                          <w:ind w:left="0" w:firstLine="0"/>
                          <w:jc w:val="left"/>
                        </w:pPr>
                        <w:r>
                          <w:rPr>
                            <w:rFonts w:cs="Calibri" w:hAnsi="Calibri" w:eastAsia="Calibri" w:ascii="Calibri"/>
                            <w:sz w:val="20"/>
                          </w:rPr>
                          <w:t xml:space="preserve">техническое</w:t>
                        </w:r>
                      </w:p>
                    </w:txbxContent>
                  </v:textbox>
                </v:rect>
                <v:shape id="Shape 704726" style="position:absolute;width:636;height:639;left:40894;top:17733;" coordsize="63681,63909" path="m0,0l63681,0l63681,63909l0,63909l0,0">
                  <v:stroke weight="0pt" endcap="flat" joinstyle="miter" miterlimit="10" on="false" color="#000000" opacity="0"/>
                  <v:fill on="true" color="#71588f"/>
                </v:shape>
                <v:rect id="Rectangle 10942" style="position:absolute;width:14891;height:1729;left:41786;top:17414;" filled="f" stroked="f">
                  <v:textbox inset="0,0,0,0">
                    <w:txbxContent>
                      <w:p>
                        <w:pPr>
                          <w:spacing w:before="0" w:after="160" w:line="259" w:lineRule="auto"/>
                          <w:ind w:left="0" w:firstLine="0"/>
                          <w:jc w:val="left"/>
                        </w:pPr>
                        <w:r>
                          <w:rPr>
                            <w:rFonts w:cs="Calibri" w:hAnsi="Calibri" w:eastAsia="Calibri" w:ascii="Calibri"/>
                            <w:sz w:val="20"/>
                          </w:rPr>
                          <w:t xml:space="preserve">среднее специльное</w:t>
                        </w:r>
                      </w:p>
                    </w:txbxContent>
                  </v:textbox>
                </v:rect>
                <v:shape id="Shape 704727" style="position:absolute;width:636;height:768;left:40894;top:20922;" coordsize="63681,76814" path="m0,0l63681,0l63681,76814l0,76814l0,0">
                  <v:stroke weight="0pt" endcap="flat" joinstyle="miter" miterlimit="10" on="false" color="#000000" opacity="0"/>
                  <v:fill on="true" color="#4198af"/>
                </v:shape>
                <v:rect id="Rectangle 10944" style="position:absolute;width:18780;height:1729;left:41786;top:20733;" filled="f" stroked="f">
                  <v:textbox inset="0,0,0,0">
                    <w:txbxContent>
                      <w:p>
                        <w:pPr>
                          <w:spacing w:before="0" w:after="160" w:line="259" w:lineRule="auto"/>
                          <w:ind w:left="0" w:firstLine="0"/>
                          <w:jc w:val="left"/>
                        </w:pPr>
                        <w:r>
                          <w:rPr>
                            <w:rFonts w:cs="Calibri" w:hAnsi="Calibri" w:eastAsia="Calibri" w:ascii="Calibri"/>
                            <w:sz w:val="20"/>
                          </w:rPr>
                          <w:t xml:space="preserve">высшее и послевузовское</w:t>
                        </w:r>
                      </w:p>
                    </w:txbxContent>
                  </v:textbox>
                </v:rect>
                <v:shape id="Shape 704728" style="position:absolute;width:636;height:768;left:40894;top:24240;" coordsize="63681,76814" path="m0,0l63681,0l63681,76814l0,76814l0,0">
                  <v:stroke weight="0pt" endcap="flat" joinstyle="miter" miterlimit="10" on="false" color="#000000" opacity="0"/>
                  <v:fill on="true" color="#db843d"/>
                </v:shape>
                <v:rect id="Rectangle 10946" style="position:absolute;width:11451;height:1729;left:41786;top:24051;" filled="f" stroked="f">
                  <v:textbox inset="0,0,0,0">
                    <w:txbxContent>
                      <w:p>
                        <w:pPr>
                          <w:spacing w:before="0" w:after="160" w:line="259" w:lineRule="auto"/>
                          <w:ind w:left="0" w:firstLine="0"/>
                          <w:jc w:val="left"/>
                        </w:pPr>
                        <w:r>
                          <w:rPr>
                            <w:rFonts w:cs="Calibri" w:hAnsi="Calibri" w:eastAsia="Calibri" w:ascii="Calibri"/>
                            <w:sz w:val="20"/>
                          </w:rPr>
                          <w:t xml:space="preserve">другие расходы</w:t>
                        </w:r>
                      </w:p>
                    </w:txbxContent>
                  </v:textbox>
                </v:rect>
                <v:shape id="Shape 10947" style="position:absolute;width:55362;height:26546;left:3524;top:1189;" coordsize="5536224,2654688" path="m0,0l5536224,0l5536224,2654688l0,2654688l0,0l0,2641784l5523638,2641784l5523638,0l0,0x">
                  <v:stroke weight="0.993152pt" endcap="flat" joinstyle="round" on="true" color="#868686"/>
                  <v:fill on="true" color="#868686"/>
                </v:shape>
                <v:rect id="Rectangle 10963" style="position:absolute;width:592;height:2625;left:1965;top:0;" filled="f" stroked="f">
                  <v:textbox inset="0,0,0,0">
                    <w:txbxContent>
                      <w:p>
                        <w:pPr>
                          <w:spacing w:before="0" w:after="160" w:line="259" w:lineRule="auto"/>
                          <w:ind w:left="0" w:firstLine="0"/>
                          <w:jc w:val="left"/>
                        </w:pPr>
                        <w:r>
                          <w:rPr/>
                          <w:t xml:space="preserve"> </w:t>
                        </w:r>
                      </w:p>
                    </w:txbxContent>
                  </v:textbox>
                </v:rect>
                <v:rect id="Rectangle 10964" style="position:absolute;width:592;height:2625;left:1965;top:2042;" filled="f" stroked="f">
                  <v:textbox inset="0,0,0,0">
                    <w:txbxContent>
                      <w:p>
                        <w:pPr>
                          <w:spacing w:before="0" w:after="160" w:line="259" w:lineRule="auto"/>
                          <w:ind w:left="0" w:firstLine="0"/>
                          <w:jc w:val="left"/>
                        </w:pPr>
                        <w:r>
                          <w:rPr/>
                          <w:t xml:space="preserve"> </w:t>
                        </w:r>
                      </w:p>
                    </w:txbxContent>
                  </v:textbox>
                </v:rect>
                <v:rect id="Rectangle 10965" style="position:absolute;width:506;height:2243;left:0;top:4086;"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 </w:t>
                        </w:r>
                      </w:p>
                    </w:txbxContent>
                  </v:textbox>
                </v:rect>
              </v:group>
            </w:pict>
          </mc:Fallback>
        </mc:AlternateContent>
      </w:r>
    </w:p>
    <w:p w:rsidR="002C0F56" w:rsidRDefault="00E67C6E">
      <w:pPr>
        <w:spacing w:after="5" w:line="271" w:lineRule="auto"/>
        <w:ind w:left="3849" w:right="396" w:hanging="2485"/>
        <w:jc w:val="left"/>
      </w:pPr>
      <w:r>
        <w:rPr>
          <w:b/>
          <w:sz w:val="24"/>
        </w:rPr>
        <w:t xml:space="preserve">Рис. 2. </w:t>
      </w:r>
      <w:r>
        <w:rPr>
          <w:b/>
          <w:sz w:val="24"/>
        </w:rPr>
        <w:t xml:space="preserve">Расходы консолидированного бюджета Республики Беларусь на образование в 2015 г. </w:t>
      </w:r>
    </w:p>
    <w:p w:rsidR="002C0F56" w:rsidRDefault="00E67C6E">
      <w:pPr>
        <w:spacing w:after="5" w:line="271" w:lineRule="auto"/>
        <w:ind w:left="673" w:hanging="10"/>
        <w:jc w:val="left"/>
      </w:pPr>
      <w:r>
        <w:rPr>
          <w:sz w:val="24"/>
        </w:rPr>
        <w:t xml:space="preserve">Источник: собственная разработка на основании [5] </w:t>
      </w:r>
    </w:p>
    <w:p w:rsidR="002C0F56" w:rsidRDefault="00E67C6E">
      <w:pPr>
        <w:spacing w:after="0" w:line="259" w:lineRule="auto"/>
        <w:ind w:left="744" w:firstLine="0"/>
        <w:jc w:val="left"/>
      </w:pPr>
      <w:r>
        <w:t xml:space="preserve"> </w:t>
      </w:r>
    </w:p>
    <w:p w:rsidR="002C0F56" w:rsidRDefault="00E67C6E">
      <w:pPr>
        <w:spacing w:after="5" w:line="270" w:lineRule="auto"/>
        <w:ind w:left="207" w:right="824" w:hanging="10"/>
        <w:jc w:val="center"/>
      </w:pPr>
      <w:r>
        <w:rPr>
          <w:i/>
          <w:sz w:val="24"/>
        </w:rPr>
        <w:t>Таблица 2</w:t>
      </w:r>
      <w:r>
        <w:rPr>
          <w:b/>
          <w:sz w:val="24"/>
        </w:rPr>
        <w:t xml:space="preserve"> – Расходы консолидированного бюджета Республики Беларусь на образование в 2013-2015 гг. </w:t>
      </w:r>
    </w:p>
    <w:tbl>
      <w:tblPr>
        <w:tblStyle w:val="TableGrid"/>
        <w:tblW w:w="9640" w:type="dxa"/>
        <w:tblInd w:w="180" w:type="dxa"/>
        <w:tblCellMar>
          <w:top w:w="14" w:type="dxa"/>
          <w:left w:w="108" w:type="dxa"/>
          <w:bottom w:w="0" w:type="dxa"/>
          <w:right w:w="52" w:type="dxa"/>
        </w:tblCellMar>
        <w:tblLook w:val="04A0" w:firstRow="1" w:lastRow="0" w:firstColumn="1" w:lastColumn="0" w:noHBand="0" w:noVBand="1"/>
      </w:tblPr>
      <w:tblGrid>
        <w:gridCol w:w="4964"/>
        <w:gridCol w:w="1558"/>
        <w:gridCol w:w="1560"/>
        <w:gridCol w:w="1558"/>
      </w:tblGrid>
      <w:tr w:rsidR="002C0F56">
        <w:trPr>
          <w:trHeight w:val="286"/>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Показатель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4" w:firstLine="0"/>
              <w:jc w:val="center"/>
            </w:pPr>
            <w:r>
              <w:rPr>
                <w:sz w:val="24"/>
              </w:rPr>
              <w:t xml:space="preserve">2013 г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1" w:firstLine="0"/>
              <w:jc w:val="center"/>
            </w:pPr>
            <w:r>
              <w:rPr>
                <w:sz w:val="24"/>
              </w:rPr>
              <w:t xml:space="preserve">2014 г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sz w:val="24"/>
              </w:rPr>
              <w:t xml:space="preserve">2015 г </w:t>
            </w:r>
          </w:p>
        </w:tc>
      </w:tr>
      <w:tr w:rsidR="002C0F56">
        <w:trPr>
          <w:trHeight w:val="562"/>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Расходы консолидированного бюджета на образование, млрд руб.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2" w:firstLine="0"/>
              <w:jc w:val="left"/>
            </w:pPr>
            <w:r>
              <w:rPr>
                <w:sz w:val="24"/>
              </w:rPr>
              <w:t xml:space="preserve">3,36 (100%)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4" w:firstLine="0"/>
              <w:jc w:val="left"/>
            </w:pPr>
            <w:r>
              <w:rPr>
                <w:sz w:val="24"/>
              </w:rPr>
              <w:t xml:space="preserve">3,88 (100%)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4,3 (100%) </w:t>
            </w:r>
          </w:p>
        </w:tc>
      </w:tr>
      <w:tr w:rsidR="002C0F56">
        <w:trPr>
          <w:trHeight w:val="562"/>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 % к общим расходам консолидированного бюджета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17,9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sz w:val="24"/>
              </w:rPr>
              <w:t xml:space="preserve">18,4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17,2 </w:t>
            </w:r>
          </w:p>
        </w:tc>
      </w:tr>
      <w:tr w:rsidR="002C0F56">
        <w:trPr>
          <w:trHeight w:val="286"/>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 % к ВВП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5,2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sz w:val="24"/>
              </w:rPr>
              <w:t xml:space="preserve">5,0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4,9 </w:t>
            </w:r>
          </w:p>
        </w:tc>
      </w:tr>
      <w:tr w:rsidR="002C0F56">
        <w:trPr>
          <w:trHeight w:val="562"/>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16" w:firstLine="0"/>
              <w:jc w:val="left"/>
            </w:pPr>
            <w:r>
              <w:rPr>
                <w:sz w:val="24"/>
              </w:rPr>
              <w:t xml:space="preserve">Из общего итога расходы на: </w:t>
            </w:r>
            <w:r>
              <w:rPr>
                <w:sz w:val="24"/>
              </w:rPr>
              <w:t xml:space="preserve">дошкольное образование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 </w:t>
            </w:r>
          </w:p>
          <w:p w:rsidR="002C0F56" w:rsidRDefault="00E67C6E">
            <w:pPr>
              <w:spacing w:after="0" w:line="259" w:lineRule="auto"/>
              <w:ind w:left="41" w:firstLine="0"/>
              <w:jc w:val="left"/>
            </w:pPr>
            <w:r>
              <w:rPr>
                <w:sz w:val="24"/>
              </w:rPr>
              <w:t xml:space="preserve">0,73 (21,7%)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 </w:t>
            </w:r>
          </w:p>
          <w:p w:rsidR="002C0F56" w:rsidRDefault="00E67C6E">
            <w:pPr>
              <w:spacing w:after="0" w:line="259" w:lineRule="auto"/>
              <w:ind w:left="43" w:firstLine="0"/>
              <w:jc w:val="left"/>
            </w:pPr>
            <w:r>
              <w:rPr>
                <w:sz w:val="24"/>
              </w:rPr>
              <w:t xml:space="preserve">0,88 (22,7%)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 </w:t>
            </w:r>
          </w:p>
          <w:p w:rsidR="002C0F56" w:rsidRDefault="00E67C6E">
            <w:pPr>
              <w:spacing w:after="0" w:line="259" w:lineRule="auto"/>
              <w:ind w:left="41" w:firstLine="0"/>
              <w:jc w:val="left"/>
            </w:pPr>
            <w:r>
              <w:rPr>
                <w:sz w:val="24"/>
              </w:rPr>
              <w:t xml:space="preserve">1,01 (23,5%) </w:t>
            </w:r>
          </w:p>
        </w:tc>
      </w:tr>
      <w:tr w:rsidR="002C0F56">
        <w:trPr>
          <w:trHeight w:val="288"/>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общее среднее образования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1" w:firstLine="0"/>
              <w:jc w:val="left"/>
            </w:pPr>
            <w:r>
              <w:rPr>
                <w:sz w:val="24"/>
              </w:rPr>
              <w:t xml:space="preserve">1,53 (45,5%)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3" w:firstLine="0"/>
              <w:jc w:val="left"/>
            </w:pPr>
            <w:r>
              <w:rPr>
                <w:sz w:val="24"/>
              </w:rPr>
              <w:t xml:space="preserve">1,77 (45,6%)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1" w:firstLine="0"/>
              <w:jc w:val="left"/>
            </w:pPr>
            <w:r>
              <w:rPr>
                <w:sz w:val="24"/>
              </w:rPr>
              <w:t xml:space="preserve">1,95 (45,3%) </w:t>
            </w:r>
          </w:p>
        </w:tc>
      </w:tr>
      <w:tr w:rsidR="002C0F56">
        <w:trPr>
          <w:trHeight w:val="286"/>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профессионально-техническое образование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0,18 (5,4%)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0,19 (4,9%)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0,21 (4,9%) </w:t>
            </w:r>
          </w:p>
        </w:tc>
      </w:tr>
      <w:tr w:rsidR="002C0F56">
        <w:trPr>
          <w:trHeight w:val="286"/>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среднее специальное образование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0,16 (4,8%)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0,19 (4,9%)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0,21 (4,9%) </w:t>
            </w:r>
          </w:p>
        </w:tc>
      </w:tr>
      <w:tr w:rsidR="002C0F56">
        <w:trPr>
          <w:trHeight w:val="286"/>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высшее и послевузовское образование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1" w:firstLine="0"/>
              <w:jc w:val="left"/>
            </w:pPr>
            <w:r>
              <w:rPr>
                <w:sz w:val="24"/>
              </w:rPr>
              <w:t xml:space="preserve">0,42 (12,5%)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3" w:firstLine="0"/>
              <w:jc w:val="left"/>
            </w:pPr>
            <w:r>
              <w:rPr>
                <w:sz w:val="24"/>
              </w:rPr>
              <w:t xml:space="preserve">0,46 (11,8%)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1" w:firstLine="0"/>
              <w:jc w:val="left"/>
            </w:pPr>
            <w:r>
              <w:rPr>
                <w:sz w:val="24"/>
              </w:rPr>
              <w:t xml:space="preserve">0,51 (11,9%) </w:t>
            </w:r>
          </w:p>
        </w:tc>
      </w:tr>
      <w:tr w:rsidR="002C0F56">
        <w:trPr>
          <w:trHeight w:val="286"/>
        </w:trPr>
        <w:tc>
          <w:tcPr>
            <w:tcW w:w="496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другие расходы в области образования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1" w:firstLine="0"/>
              <w:jc w:val="left"/>
            </w:pPr>
            <w:r>
              <w:rPr>
                <w:sz w:val="24"/>
              </w:rPr>
              <w:t xml:space="preserve">0,34 (10,1%) </w:t>
            </w:r>
          </w:p>
        </w:tc>
        <w:tc>
          <w:tcPr>
            <w:tcW w:w="15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3" w:firstLine="0"/>
              <w:jc w:val="left"/>
            </w:pPr>
            <w:r>
              <w:rPr>
                <w:sz w:val="24"/>
              </w:rPr>
              <w:t xml:space="preserve">0,39 (10,1%) </w:t>
            </w:r>
          </w:p>
        </w:tc>
        <w:tc>
          <w:tcPr>
            <w:tcW w:w="155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0,41 (9,5%) </w:t>
            </w:r>
          </w:p>
        </w:tc>
      </w:tr>
    </w:tbl>
    <w:p w:rsidR="002C0F56" w:rsidRDefault="00E67C6E">
      <w:pPr>
        <w:spacing w:after="5" w:line="271" w:lineRule="auto"/>
        <w:ind w:left="673" w:hanging="10"/>
        <w:jc w:val="left"/>
      </w:pPr>
      <w:r>
        <w:rPr>
          <w:sz w:val="24"/>
        </w:rPr>
        <w:t xml:space="preserve">Источник: собственная разработка на основании [5]. </w:t>
      </w:r>
    </w:p>
    <w:p w:rsidR="002C0F56" w:rsidRDefault="00E67C6E">
      <w:pPr>
        <w:spacing w:after="14" w:line="259" w:lineRule="auto"/>
        <w:ind w:left="663" w:firstLine="0"/>
        <w:jc w:val="left"/>
      </w:pPr>
      <w:r>
        <w:rPr>
          <w:sz w:val="24"/>
        </w:rPr>
        <w:t xml:space="preserve"> </w:t>
      </w:r>
    </w:p>
    <w:p w:rsidR="002C0F56" w:rsidRDefault="00E67C6E">
      <w:pPr>
        <w:spacing w:after="10"/>
        <w:ind w:left="165" w:right="870"/>
      </w:pPr>
      <w:r>
        <w:t>Наибольший удельный вес занимают расходы на общее среднее образование, около 45%: в 2015 г. они составили 1,01 млрд. руб., и увеличились на 0,13 млрд. руб. или 0,8% по сравнению с 2014 годом. Далее идут расходы на дошкольное образование – около 22% Расходы</w:t>
      </w:r>
      <w:r>
        <w:t xml:space="preserve"> консолидированного бюджета на профессионально-техническое и среднее специальное образования составляют около 4,9%, примерно 0,2 млрд. руб. за последние три года. Что касается высшего </w:t>
      </w:r>
      <w:r>
        <w:lastRenderedPageBreak/>
        <w:t>и послевузовского образования, то в 2015 году расходы составили 0,51 млр</w:t>
      </w:r>
      <w:r>
        <w:t>д. руб., что увеличились на 0,05 млрд. руб. или 0,1%. Другие расходы в области образования из консолидированного бюджета в 2015 году составили 0,41 млрд. руб., что по сравнению с 2013 г. увеличились на 0,07 млрд. руб. Расходы консолидированного бюджета Рес</w:t>
      </w:r>
      <w:r>
        <w:t xml:space="preserve">публики Беларусь в 2015 году на образование более наглядно представлены на рисунке 2. </w:t>
      </w:r>
    </w:p>
    <w:p w:rsidR="002C0F56" w:rsidRDefault="00E67C6E">
      <w:pPr>
        <w:spacing w:after="4"/>
        <w:ind w:left="165" w:right="867"/>
      </w:pPr>
      <w:r>
        <w:t>Республика Беларусь должна сосредоточивать свои усилия на обеспечении свободного развития, достижении благосостояния и достойной жизни каждого гражданина, становлении тв</w:t>
      </w:r>
      <w:r>
        <w:t xml:space="preserve">орческих, интеллектуальных и производительных сил нации. Решение этой проблемы связано с формированием и совершенствованием высококачественной национальной системы образования, государственной и общественной поддержкой ее приоритетного развития в качестве </w:t>
      </w:r>
      <w:r>
        <w:t xml:space="preserve">определяющего фактора научно-технического, социальноэкономического и культурно-духовного прогресса, возрождения национального самосознания белорусского народа.  </w:t>
      </w:r>
    </w:p>
    <w:p w:rsidR="002C0F56" w:rsidRDefault="00E67C6E">
      <w:pPr>
        <w:spacing w:after="22" w:line="259" w:lineRule="auto"/>
        <w:ind w:left="0" w:right="55" w:firstLine="0"/>
        <w:jc w:val="center"/>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26"/>
        </w:numPr>
        <w:ind w:right="865"/>
      </w:pPr>
      <w:r>
        <w:t>Багдасарьян Н.Г., Буланова М.В. Роль образования в трансформации человеч</w:t>
      </w:r>
      <w:r>
        <w:t xml:space="preserve">еского потенциала в человеческий капитал/ Молодёжь ХХI века - будущее российской науки. – М. -2012. </w:t>
      </w:r>
    </w:p>
    <w:p w:rsidR="002C0F56" w:rsidRDefault="00E67C6E">
      <w:pPr>
        <w:numPr>
          <w:ilvl w:val="0"/>
          <w:numId w:val="26"/>
        </w:numPr>
        <w:ind w:right="865"/>
      </w:pPr>
      <w:r>
        <w:t xml:space="preserve">Сорокина, Т.В. Финансирование образования в Республике Беларусь : </w:t>
      </w:r>
    </w:p>
    <w:p w:rsidR="002C0F56" w:rsidRDefault="00E67C6E">
      <w:pPr>
        <w:ind w:left="165" w:right="302" w:firstLine="0"/>
      </w:pPr>
      <w:r>
        <w:t xml:space="preserve">монография / Т.В. Сорокина, М.Е. Карпицкая, Н.А. Кузнецова, С.В. Спирина. – </w:t>
      </w:r>
    </w:p>
    <w:p w:rsidR="002C0F56" w:rsidRDefault="00E67C6E">
      <w:pPr>
        <w:ind w:left="165" w:right="302" w:firstLine="0"/>
      </w:pPr>
      <w:r>
        <w:t xml:space="preserve">Гродно : ГрГУ, 2010. – 203 с </w:t>
      </w:r>
    </w:p>
    <w:p w:rsidR="002C0F56" w:rsidRDefault="00E67C6E">
      <w:pPr>
        <w:numPr>
          <w:ilvl w:val="0"/>
          <w:numId w:val="26"/>
        </w:numPr>
        <w:ind w:right="865"/>
      </w:pPr>
      <w:r>
        <w:t xml:space="preserve">Национальный статистический комитет [Электронный ресурс]. – 2017. – Режим доступа: </w:t>
      </w:r>
      <w:hyperlink r:id="rId164">
        <w:r>
          <w:t>http</w:t>
        </w:r>
      </w:hyperlink>
      <w:hyperlink r:id="rId165">
        <w:r>
          <w:t>://</w:t>
        </w:r>
      </w:hyperlink>
      <w:hyperlink r:id="rId166">
        <w:r>
          <w:t>www</w:t>
        </w:r>
      </w:hyperlink>
      <w:hyperlink r:id="rId167">
        <w:r>
          <w:t>.</w:t>
        </w:r>
      </w:hyperlink>
      <w:hyperlink r:id="rId168">
        <w:r>
          <w:t>belstat</w:t>
        </w:r>
      </w:hyperlink>
      <w:hyperlink r:id="rId169">
        <w:r>
          <w:t>.</w:t>
        </w:r>
      </w:hyperlink>
      <w:hyperlink r:id="rId170">
        <w:r>
          <w:t>gov</w:t>
        </w:r>
      </w:hyperlink>
      <w:hyperlink r:id="rId171">
        <w:r>
          <w:t>.</w:t>
        </w:r>
      </w:hyperlink>
      <w:hyperlink r:id="rId172">
        <w:r>
          <w:t>by</w:t>
        </w:r>
      </w:hyperlink>
      <w:hyperlink r:id="rId173">
        <w:r>
          <w:t>/</w:t>
        </w:r>
      </w:hyperlink>
      <w:hyperlink r:id="rId174">
        <w:r>
          <w:t>ofitsialnaya</w:t>
        </w:r>
      </w:hyperlink>
      <w:hyperlink r:id="rId175">
        <w:r>
          <w:t>-</w:t>
        </w:r>
      </w:hyperlink>
      <w:hyperlink r:id="rId176">
        <w:r>
          <w:t>statistika</w:t>
        </w:r>
      </w:hyperlink>
      <w:hyperlink r:id="rId177">
        <w:r>
          <w:t>/</w:t>
        </w:r>
      </w:hyperlink>
      <w:hyperlink r:id="rId178">
        <w:r>
          <w:t>solialnaya</w:t>
        </w:r>
      </w:hyperlink>
      <w:hyperlink r:id="rId179"/>
      <w:hyperlink r:id="rId180">
        <w:r>
          <w:t>sfera</w:t>
        </w:r>
      </w:hyperlink>
      <w:hyperlink r:id="rId181">
        <w:r>
          <w:t>/</w:t>
        </w:r>
      </w:hyperlink>
      <w:hyperlink r:id="rId182">
        <w:r>
          <w:t>obrazovanie</w:t>
        </w:r>
      </w:hyperlink>
      <w:hyperlink r:id="rId183">
        <w:r>
          <w:t>/</w:t>
        </w:r>
      </w:hyperlink>
      <w:hyperlink r:id="rId184">
        <w:r>
          <w:t>godovye</w:t>
        </w:r>
      </w:hyperlink>
      <w:hyperlink r:id="rId185">
        <w:r>
          <w:t>-</w:t>
        </w:r>
      </w:hyperlink>
      <w:hyperlink r:id="rId186">
        <w:r>
          <w:t>dannye</w:t>
        </w:r>
      </w:hyperlink>
      <w:hyperlink r:id="rId187">
        <w:r>
          <w:t>_5/</w:t>
        </w:r>
      </w:hyperlink>
      <w:hyperlink r:id="rId188">
        <w:r>
          <w:t>osnovnye</w:t>
        </w:r>
      </w:hyperlink>
      <w:hyperlink r:id="rId189">
        <w:r>
          <w:t>-</w:t>
        </w:r>
      </w:hyperlink>
      <w:hyperlink r:id="rId190">
        <w:r>
          <w:t>pokazateli</w:t>
        </w:r>
      </w:hyperlink>
      <w:hyperlink r:id="rId191">
        <w:r>
          <w:t>-</w:t>
        </w:r>
      </w:hyperlink>
      <w:hyperlink r:id="rId192">
        <w:r>
          <w:t>obraz</w:t>
        </w:r>
        <w:r>
          <w:t>ovaniya</w:t>
        </w:r>
      </w:hyperlink>
      <w:hyperlink r:id="rId193">
        <w:r>
          <w:t>/.</w:t>
        </w:r>
      </w:hyperlink>
      <w:r>
        <w:t xml:space="preserve"> – Дата доступа: 10.04.2017. </w:t>
      </w:r>
    </w:p>
    <w:p w:rsidR="002C0F56" w:rsidRDefault="00E67C6E">
      <w:pPr>
        <w:numPr>
          <w:ilvl w:val="0"/>
          <w:numId w:val="26"/>
        </w:numPr>
        <w:spacing w:after="8"/>
        <w:ind w:right="865"/>
      </w:pPr>
      <w:r>
        <w:t>Образование в интересах устойчивого развития Беларуси [Электронный р</w:t>
      </w:r>
      <w:r>
        <w:t xml:space="preserve">есурс]. – 2017. – Режим доступа: </w:t>
      </w:r>
      <w:hyperlink r:id="rId194">
        <w:r>
          <w:t>http</w:t>
        </w:r>
      </w:hyperlink>
      <w:hyperlink r:id="rId195">
        <w:r>
          <w:t>://</w:t>
        </w:r>
      </w:hyperlink>
      <w:hyperlink r:id="rId196">
        <w:r>
          <w:t>elib</w:t>
        </w:r>
      </w:hyperlink>
      <w:hyperlink r:id="rId197">
        <w:r>
          <w:t>.</w:t>
        </w:r>
      </w:hyperlink>
      <w:hyperlink r:id="rId198">
        <w:r>
          <w:t>bspu</w:t>
        </w:r>
      </w:hyperlink>
      <w:hyperlink r:id="rId199">
        <w:r>
          <w:t>.</w:t>
        </w:r>
      </w:hyperlink>
      <w:hyperlink r:id="rId200">
        <w:r>
          <w:t>by</w:t>
        </w:r>
      </w:hyperlink>
      <w:hyperlink r:id="rId201">
        <w:r>
          <w:t>/</w:t>
        </w:r>
      </w:hyperlink>
      <w:hyperlink r:id="rId202">
        <w:r>
          <w:t>bitstream</w:t>
        </w:r>
      </w:hyperlink>
      <w:hyperlink r:id="rId203">
        <w:r>
          <w:t>/</w:t>
        </w:r>
      </w:hyperlink>
      <w:hyperlink r:id="rId204">
        <w:r>
          <w:t>doc</w:t>
        </w:r>
      </w:hyperlink>
      <w:hyperlink r:id="rId205">
        <w:r>
          <w:t>/5098/1/%</w:t>
        </w:r>
      </w:hyperlink>
      <w:hyperlink r:id="rId206">
        <w:r>
          <w:t>D</w:t>
        </w:r>
      </w:hyperlink>
      <w:hyperlink r:id="rId207">
        <w:r>
          <w:t>0%9</w:t>
        </w:r>
      </w:hyperlink>
      <w:hyperlink r:id="rId208">
        <w:r>
          <w:t>E</w:t>
        </w:r>
      </w:hyperlink>
      <w:hyperlink r:id="rId209">
        <w:r>
          <w:t>%</w:t>
        </w:r>
      </w:hyperlink>
      <w:hyperlink r:id="rId210">
        <w:r>
          <w:t>D</w:t>
        </w:r>
      </w:hyperlink>
      <w:hyperlink r:id="rId211">
        <w:r>
          <w:t>0%</w:t>
        </w:r>
      </w:hyperlink>
      <w:hyperlink r:id="rId212">
        <w:r>
          <w:t>B</w:t>
        </w:r>
      </w:hyperlink>
      <w:hyperlink r:id="rId213">
        <w:r>
          <w:t>1%</w:t>
        </w:r>
      </w:hyperlink>
      <w:hyperlink r:id="rId214">
        <w:r>
          <w:t>D</w:t>
        </w:r>
      </w:hyperlink>
      <w:hyperlink r:id="rId215">
        <w:r>
          <w:t>1%80%</w:t>
        </w:r>
      </w:hyperlink>
      <w:hyperlink r:id="rId216">
        <w:r>
          <w:t>D</w:t>
        </w:r>
      </w:hyperlink>
      <w:hyperlink r:id="rId217">
        <w:r>
          <w:t>0%</w:t>
        </w:r>
      </w:hyperlink>
      <w:hyperlink r:id="rId218">
        <w:r>
          <w:t>B</w:t>
        </w:r>
      </w:hyperlink>
      <w:hyperlink r:id="rId219">
        <w:r>
          <w:t>0%</w:t>
        </w:r>
      </w:hyperlink>
      <w:hyperlink r:id="rId220">
        <w:r>
          <w:t>D</w:t>
        </w:r>
      </w:hyperlink>
      <w:hyperlink r:id="rId221">
        <w:r>
          <w:t xml:space="preserve">0 </w:t>
        </w:r>
      </w:hyperlink>
      <w:hyperlink r:id="rId222">
        <w:r>
          <w:t>%</w:t>
        </w:r>
      </w:hyperlink>
      <w:hyperlink r:id="rId223">
        <w:r>
          <w:t>B</w:t>
        </w:r>
      </w:hyperlink>
      <w:hyperlink r:id="rId224">
        <w:r>
          <w:t>7%</w:t>
        </w:r>
      </w:hyperlink>
      <w:hyperlink r:id="rId225">
        <w:r>
          <w:t>D</w:t>
        </w:r>
      </w:hyperlink>
      <w:hyperlink r:id="rId226">
        <w:r>
          <w:t>0%</w:t>
        </w:r>
      </w:hyperlink>
      <w:hyperlink r:id="rId227">
        <w:r>
          <w:t>BE</w:t>
        </w:r>
      </w:hyperlink>
      <w:hyperlink r:id="rId228">
        <w:r>
          <w:t>%</w:t>
        </w:r>
      </w:hyperlink>
      <w:hyperlink r:id="rId229">
        <w:r>
          <w:t>D</w:t>
        </w:r>
      </w:hyperlink>
      <w:hyperlink r:id="rId230">
        <w:r>
          <w:t>0%</w:t>
        </w:r>
      </w:hyperlink>
      <w:hyperlink r:id="rId231">
        <w:r>
          <w:t>B</w:t>
        </w:r>
      </w:hyperlink>
      <w:hyperlink r:id="rId232">
        <w:r>
          <w:t>2%</w:t>
        </w:r>
      </w:hyperlink>
      <w:hyperlink r:id="rId233">
        <w:r>
          <w:t>D</w:t>
        </w:r>
      </w:hyperlink>
      <w:hyperlink r:id="rId234">
        <w:r>
          <w:t>0%</w:t>
        </w:r>
      </w:hyperlink>
      <w:hyperlink r:id="rId235">
        <w:r>
          <w:t>B</w:t>
        </w:r>
      </w:hyperlink>
      <w:hyperlink r:id="rId236">
        <w:r>
          <w:t>0%</w:t>
        </w:r>
      </w:hyperlink>
      <w:hyperlink r:id="rId237">
        <w:r>
          <w:t>D</w:t>
        </w:r>
      </w:hyperlink>
      <w:hyperlink r:id="rId238">
        <w:r>
          <w:t>0%</w:t>
        </w:r>
      </w:hyperlink>
      <w:hyperlink r:id="rId239">
        <w:r>
          <w:t>BD</w:t>
        </w:r>
      </w:hyperlink>
      <w:hyperlink r:id="rId240">
        <w:r>
          <w:t>%</w:t>
        </w:r>
      </w:hyperlink>
      <w:hyperlink r:id="rId241">
        <w:r>
          <w:t>D</w:t>
        </w:r>
      </w:hyperlink>
      <w:hyperlink r:id="rId242">
        <w:r>
          <w:t>0%</w:t>
        </w:r>
      </w:hyperlink>
      <w:hyperlink r:id="rId243">
        <w:r>
          <w:t>B</w:t>
        </w:r>
      </w:hyperlink>
      <w:hyperlink r:id="rId244">
        <w:r>
          <w:t>8%</w:t>
        </w:r>
      </w:hyperlink>
      <w:hyperlink r:id="rId245">
        <w:r>
          <w:t>D</w:t>
        </w:r>
      </w:hyperlink>
      <w:hyperlink r:id="rId246">
        <w:r>
          <w:t>0%</w:t>
        </w:r>
      </w:hyperlink>
      <w:hyperlink r:id="rId247">
        <w:r>
          <w:t>B</w:t>
        </w:r>
      </w:hyperlink>
      <w:hyperlink r:id="rId248">
        <w:r>
          <w:t>5%20%</w:t>
        </w:r>
      </w:hyperlink>
      <w:hyperlink r:id="rId249">
        <w:r>
          <w:t>D</w:t>
        </w:r>
      </w:hyperlink>
      <w:hyperlink r:id="rId250">
        <w:r>
          <w:t>0%</w:t>
        </w:r>
      </w:hyperlink>
      <w:hyperlink r:id="rId251">
        <w:r>
          <w:t>B</w:t>
        </w:r>
      </w:hyperlink>
      <w:hyperlink r:id="rId252">
        <w:r>
          <w:t>2%20</w:t>
        </w:r>
      </w:hyperlink>
    </w:p>
    <w:p w:rsidR="002C0F56" w:rsidRDefault="00E67C6E">
      <w:pPr>
        <w:ind w:left="165" w:right="302" w:firstLine="0"/>
      </w:pPr>
      <w:hyperlink r:id="rId253">
        <w:r>
          <w:t>%</w:t>
        </w:r>
      </w:hyperlink>
      <w:hyperlink r:id="rId254">
        <w:r>
          <w:t>D</w:t>
        </w:r>
      </w:hyperlink>
      <w:hyperlink r:id="rId255">
        <w:r>
          <w:t>0%</w:t>
        </w:r>
      </w:hyperlink>
      <w:hyperlink r:id="rId256">
        <w:r>
          <w:t>B</w:t>
        </w:r>
      </w:hyperlink>
      <w:hyperlink r:id="rId257">
        <w:r>
          <w:t>8%</w:t>
        </w:r>
      </w:hyperlink>
      <w:hyperlink r:id="rId258">
        <w:r>
          <w:t>D</w:t>
        </w:r>
      </w:hyperlink>
      <w:hyperlink r:id="rId259">
        <w:r>
          <w:t>0%</w:t>
        </w:r>
      </w:hyperlink>
      <w:hyperlink r:id="rId260">
        <w:r>
          <w:t>BD</w:t>
        </w:r>
      </w:hyperlink>
      <w:hyperlink r:id="rId261">
        <w:r>
          <w:t>%</w:t>
        </w:r>
      </w:hyperlink>
      <w:hyperlink r:id="rId262">
        <w:r>
          <w:t>D</w:t>
        </w:r>
      </w:hyperlink>
      <w:hyperlink r:id="rId263">
        <w:r>
          <w:t>1%82.</w:t>
        </w:r>
      </w:hyperlink>
      <w:hyperlink r:id="rId264">
        <w:r>
          <w:t>pdf</w:t>
        </w:r>
      </w:hyperlink>
      <w:hyperlink r:id="rId265">
        <w:r>
          <w:t>.</w:t>
        </w:r>
      </w:hyperlink>
      <w:r>
        <w:t xml:space="preserve"> – Дата доступа: 10.04.2017. </w:t>
      </w:r>
    </w:p>
    <w:p w:rsidR="002C0F56" w:rsidRDefault="00E67C6E">
      <w:pPr>
        <w:numPr>
          <w:ilvl w:val="0"/>
          <w:numId w:val="26"/>
        </w:numPr>
        <w:ind w:right="865"/>
      </w:pPr>
      <w:r>
        <w:t xml:space="preserve">Национальный статистический комитет Республики Беларусь [Электронный ресурс]. – 2017. </w:t>
      </w:r>
      <w:r>
        <w:t xml:space="preserve">– Режим доступа: </w:t>
      </w:r>
      <w:hyperlink r:id="rId266">
        <w:r>
          <w:t>http://www.belstat.gov.by</w:t>
        </w:r>
      </w:hyperlink>
      <w:hyperlink r:id="rId267">
        <w:r>
          <w:t xml:space="preserve"> </w:t>
        </w:r>
      </w:hyperlink>
      <w:r>
        <w:t xml:space="preserve">– Дата доступа: 10.04.2017. </w:t>
      </w:r>
    </w:p>
    <w:p w:rsidR="002C0F56" w:rsidRDefault="00E67C6E">
      <w:pPr>
        <w:spacing w:after="0" w:line="259" w:lineRule="auto"/>
        <w:ind w:left="744" w:firstLine="0"/>
        <w:jc w:val="left"/>
      </w:pPr>
      <w:r>
        <w:rPr>
          <w:b/>
        </w:rPr>
        <w:t xml:space="preserve"> </w:t>
      </w:r>
    </w:p>
    <w:p w:rsidR="002C0F56" w:rsidRDefault="00E67C6E">
      <w:pPr>
        <w:spacing w:after="0" w:line="259" w:lineRule="auto"/>
        <w:ind w:left="744" w:firstLine="0"/>
        <w:jc w:val="left"/>
      </w:pPr>
      <w:r>
        <w:rPr>
          <w:b/>
        </w:rPr>
        <w:t xml:space="preserve"> </w:t>
      </w:r>
    </w:p>
    <w:p w:rsidR="002C0F56" w:rsidRDefault="00E67C6E">
      <w:pPr>
        <w:spacing w:after="0" w:line="259" w:lineRule="auto"/>
        <w:ind w:left="744" w:firstLine="0"/>
        <w:jc w:val="left"/>
      </w:pPr>
      <w:r>
        <w:rPr>
          <w:b/>
        </w:rPr>
        <w:t xml:space="preserve"> </w:t>
      </w:r>
    </w:p>
    <w:p w:rsidR="002C0F56" w:rsidRDefault="00E67C6E">
      <w:pPr>
        <w:spacing w:after="0" w:line="259" w:lineRule="auto"/>
        <w:ind w:left="744" w:firstLine="0"/>
        <w:jc w:val="left"/>
      </w:pPr>
      <w:r>
        <w:rPr>
          <w:b/>
        </w:rPr>
        <w:lastRenderedPageBreak/>
        <w:t xml:space="preserve"> </w:t>
      </w:r>
    </w:p>
    <w:p w:rsidR="002C0F56" w:rsidRDefault="00E67C6E">
      <w:pPr>
        <w:spacing w:after="0" w:line="259" w:lineRule="auto"/>
        <w:ind w:left="744" w:firstLine="0"/>
        <w:jc w:val="left"/>
      </w:pPr>
      <w:r>
        <w:rPr>
          <w:b/>
        </w:rPr>
        <w:t xml:space="preserve"> </w:t>
      </w:r>
    </w:p>
    <w:p w:rsidR="002C0F56" w:rsidRDefault="00E67C6E">
      <w:pPr>
        <w:spacing w:after="25" w:line="259" w:lineRule="auto"/>
        <w:ind w:left="10" w:right="856" w:hanging="10"/>
        <w:jc w:val="right"/>
      </w:pPr>
      <w:r>
        <w:rPr>
          <w:b/>
        </w:rPr>
        <w:t xml:space="preserve">Болтунова Л.Н. </w:t>
      </w:r>
    </w:p>
    <w:p w:rsidR="002C0F56" w:rsidRDefault="00E67C6E">
      <w:pPr>
        <w:spacing w:after="11" w:line="270" w:lineRule="auto"/>
        <w:ind w:left="10" w:right="862" w:hanging="10"/>
        <w:jc w:val="right"/>
      </w:pPr>
      <w:r>
        <w:t xml:space="preserve">Научный руководитель: Овчаренко О.И., к.т.н., доц.  </w:t>
      </w:r>
    </w:p>
    <w:p w:rsidR="002C0F56" w:rsidRDefault="00E67C6E">
      <w:pPr>
        <w:spacing w:after="0" w:line="267" w:lineRule="auto"/>
        <w:ind w:left="905" w:right="860" w:hanging="10"/>
        <w:jc w:val="right"/>
      </w:pPr>
      <w:r>
        <w:rPr>
          <w:i/>
        </w:rPr>
        <w:t xml:space="preserve">Таганрогский </w:t>
      </w:r>
      <w:r>
        <w:rPr>
          <w:i/>
        </w:rPr>
        <w:t xml:space="preserve">институт управления и экономики </w:t>
      </w:r>
    </w:p>
    <w:p w:rsidR="002C0F56" w:rsidRDefault="00E67C6E">
      <w:pPr>
        <w:spacing w:after="0" w:line="259" w:lineRule="auto"/>
        <w:ind w:left="744" w:firstLine="0"/>
        <w:jc w:val="left"/>
      </w:pPr>
      <w:r>
        <w:t xml:space="preserve"> </w:t>
      </w:r>
    </w:p>
    <w:p w:rsidR="002C0F56" w:rsidRDefault="00E67C6E">
      <w:pPr>
        <w:pStyle w:val="1"/>
        <w:spacing w:after="15" w:line="271" w:lineRule="auto"/>
        <w:ind w:left="493" w:right="0"/>
        <w:jc w:val="left"/>
      </w:pPr>
      <w:r>
        <w:t xml:space="preserve">АВТОМАТИЗАЦИЯ ПРОЦЕССОВ УЧЕТА АДМИНИСТРАТИВНЫХ </w:t>
      </w:r>
    </w:p>
    <w:p w:rsidR="002C0F56" w:rsidRDefault="00E67C6E">
      <w:pPr>
        <w:pStyle w:val="1"/>
        <w:ind w:left="700" w:right="1380"/>
      </w:pPr>
      <w:r>
        <w:t xml:space="preserve">ПРАВОНАРУШЕНИЙ В ТАМОЖЕННЫХ ОРГАНАХ </w:t>
      </w:r>
    </w:p>
    <w:p w:rsidR="002C0F56" w:rsidRDefault="00E67C6E">
      <w:pPr>
        <w:spacing w:after="0" w:line="259" w:lineRule="auto"/>
        <w:ind w:left="744" w:firstLine="0"/>
        <w:jc w:val="left"/>
      </w:pPr>
      <w:r>
        <w:t xml:space="preserve"> </w:t>
      </w:r>
    </w:p>
    <w:p w:rsidR="002C0F56" w:rsidRDefault="00E67C6E">
      <w:pPr>
        <w:spacing w:after="5"/>
        <w:ind w:left="165" w:right="866"/>
      </w:pPr>
      <w:r>
        <w:t>Задача повышение уровня информационной обеспеченности процесса управления, качества принимаемых управленческих решений, сокращение чис</w:t>
      </w:r>
      <w:r>
        <w:t xml:space="preserve">ленности аппарата управления, автоматизация деятельности сотрудников аппарата управления по учету, регистрации и контролю в таможенных органах может быть решена только при использовании современных информационных технологий.  </w:t>
      </w:r>
    </w:p>
    <w:p w:rsidR="002C0F56" w:rsidRDefault="00E67C6E">
      <w:pPr>
        <w:spacing w:after="0"/>
        <w:ind w:left="165" w:right="864"/>
      </w:pPr>
      <w:r>
        <w:t>В работе рассмотрены этапы проектирования и создания информационной системы (ИС), автоматизирующей процессы учета административных правонарушений и контроля исполнения постановлений о назначении административных наказаний в таможенных органах [1]. Учет и к</w:t>
      </w:r>
      <w:r>
        <w:t xml:space="preserve">онтроль административных правонарушений позволит обеспечить своевременное поступление средств в федеральный бюджет, в качестве штрафов за совершение административных правонарушений. Проведена оценка эффективности построенной базы данных (БД). </w:t>
      </w:r>
    </w:p>
    <w:p w:rsidR="002C0F56" w:rsidRDefault="00E67C6E">
      <w:pPr>
        <w:spacing w:after="0"/>
        <w:ind w:left="165" w:right="865"/>
      </w:pPr>
      <w:r>
        <w:t xml:space="preserve">Несмотря на </w:t>
      </w:r>
      <w:r>
        <w:t>снижение активности участников внешней экономической деятельности в связи со сложившимися экономическими условиями, количество обрабатываемых документов на бумажных носителях в таможенных органах с каждым годом увеличивается. Не сокращается количество писе</w:t>
      </w:r>
      <w:r>
        <w:t>м и запросов правоохранительных и  фискальных органов, а также процессуальных документов судебных органов. Продолжают накапливаться документы, исполненные с нарушением сроков, и это несмотря на предпринимаемые в таможенных органах меры по их сокращению. По</w:t>
      </w:r>
      <w:r>
        <w:t xml:space="preserve">этому тема исследований, посвященная проектированию и созданию базы данных (БД), автоматизирующей процессы учета административных правонарушений и контроля исполнения постановлений о назначении административных наказаний, является актуальной. </w:t>
      </w:r>
    </w:p>
    <w:p w:rsidR="002C0F56" w:rsidRDefault="00E67C6E">
      <w:pPr>
        <w:spacing w:after="63"/>
        <w:ind w:left="165" w:right="871"/>
      </w:pPr>
      <w:r>
        <w:t>Анализ деяте</w:t>
      </w:r>
      <w:r>
        <w:t xml:space="preserve">льности отдела по учету и регистрации постановлений о назначении административных наказаний по делам об административных правонарушениях показал следующее: </w:t>
      </w:r>
    </w:p>
    <w:p w:rsidR="002C0F56" w:rsidRDefault="00E67C6E">
      <w:pPr>
        <w:numPr>
          <w:ilvl w:val="0"/>
          <w:numId w:val="27"/>
        </w:numPr>
        <w:spacing w:after="57"/>
        <w:ind w:right="864"/>
      </w:pPr>
      <w:r>
        <w:lastRenderedPageBreak/>
        <w:t>увеличилось количество административных штрафов и запросов о ходе исполнительного производства, при</w:t>
      </w:r>
      <w:r>
        <w:t xml:space="preserve">чинах задержки исполнения и перспективах взыскания денежных средств;  </w:t>
      </w:r>
    </w:p>
    <w:p w:rsidR="002C0F56" w:rsidRDefault="00E67C6E">
      <w:pPr>
        <w:numPr>
          <w:ilvl w:val="0"/>
          <w:numId w:val="27"/>
        </w:numPr>
        <w:ind w:right="864"/>
      </w:pPr>
      <w:r>
        <w:t xml:space="preserve">продолжает расти количество дел, возбуждаемых по факту административных правонарушений (АП), а также документов исполненных с нарушением сроков.  </w:t>
      </w:r>
    </w:p>
    <w:p w:rsidR="002C0F56" w:rsidRDefault="00E67C6E">
      <w:pPr>
        <w:spacing w:after="0"/>
        <w:ind w:left="165" w:right="871"/>
      </w:pPr>
      <w:r>
        <w:t>Данные факты подчеркивают необходимост</w:t>
      </w:r>
      <w:r>
        <w:t>ь создания информационной системы, автоматизирующей процедуры учета и регистрации дел, а также позволяющей осуществлять контроль за их исполнением. Своевременный учет и контроль АП позволит обеспечить поступление средств в федеральный бюджет, в качестве шт</w:t>
      </w:r>
      <w:r>
        <w:t xml:space="preserve">рафов за совершение административных правонарушений. </w:t>
      </w:r>
    </w:p>
    <w:p w:rsidR="002C0F56" w:rsidRDefault="00E67C6E">
      <w:pPr>
        <w:ind w:left="165" w:right="302"/>
      </w:pPr>
      <w:r>
        <w:t xml:space="preserve">Целью исследований является совершенствование технологий управления, связанных с учетом, регистрацией и хранением дел в таможенных органах. </w:t>
      </w:r>
    </w:p>
    <w:p w:rsidR="002C0F56" w:rsidRDefault="00E67C6E">
      <w:pPr>
        <w:spacing w:after="60"/>
        <w:ind w:left="744" w:right="302" w:firstLine="0"/>
      </w:pPr>
      <w:r>
        <w:t xml:space="preserve">Для этого были поставлены и решены следующие задачи: </w:t>
      </w:r>
    </w:p>
    <w:p w:rsidR="002C0F56" w:rsidRDefault="00E67C6E">
      <w:pPr>
        <w:numPr>
          <w:ilvl w:val="0"/>
          <w:numId w:val="27"/>
        </w:numPr>
        <w:spacing w:after="63"/>
        <w:ind w:right="864"/>
      </w:pPr>
      <w:r>
        <w:t>проведе</w:t>
      </w:r>
      <w:r>
        <w:t xml:space="preserve">н  анализ деятельности отдела по учету и регистрации постановлений о назначении административных наказаний по делам об административных правонарушениях; </w:t>
      </w:r>
    </w:p>
    <w:p w:rsidR="002C0F56" w:rsidRDefault="00E67C6E">
      <w:pPr>
        <w:numPr>
          <w:ilvl w:val="0"/>
          <w:numId w:val="27"/>
        </w:numPr>
        <w:spacing w:after="59"/>
        <w:ind w:right="864"/>
      </w:pPr>
      <w:r>
        <w:t>рассмотрены особенности проектирования реляционных баз данных с использованием информационных технолог</w:t>
      </w:r>
      <w:r>
        <w:t xml:space="preserve">ий (ИТ); </w:t>
      </w:r>
    </w:p>
    <w:p w:rsidR="002C0F56" w:rsidRDefault="00E67C6E">
      <w:pPr>
        <w:numPr>
          <w:ilvl w:val="0"/>
          <w:numId w:val="27"/>
        </w:numPr>
        <w:spacing w:after="10"/>
        <w:ind w:right="864"/>
      </w:pPr>
      <w:r>
        <w:t xml:space="preserve">выделены основные функции, которые должна выполнять БД по учету, регистрации и контролю исполнения административных правонарушений в таможенных органах; </w:t>
      </w:r>
      <w:r>
        <w:rPr>
          <w:rFonts w:ascii="Segoe UI Symbol" w:eastAsia="Segoe UI Symbol" w:hAnsi="Segoe UI Symbol" w:cs="Segoe UI Symbol"/>
        </w:rPr>
        <w:t></w:t>
      </w:r>
      <w:r>
        <w:rPr>
          <w:rFonts w:ascii="Arial" w:eastAsia="Arial" w:hAnsi="Arial" w:cs="Arial"/>
        </w:rPr>
        <w:t xml:space="preserve"> </w:t>
      </w:r>
      <w:r>
        <w:t xml:space="preserve">построены концептуальная, логическая и физическая модели БД. </w:t>
      </w:r>
    </w:p>
    <w:p w:rsidR="002C0F56" w:rsidRDefault="00E67C6E">
      <w:pPr>
        <w:spacing w:after="62"/>
        <w:ind w:left="165" w:right="864"/>
      </w:pPr>
      <w:r>
        <w:t xml:space="preserve">В результате анализа деятельности отдела по учету и регистрации постановлений об административных правонарушениях были выделены основные функции по учету, которые должна выполнять ИС:  </w:t>
      </w:r>
    </w:p>
    <w:p w:rsidR="002C0F56" w:rsidRDefault="00E67C6E">
      <w:pPr>
        <w:numPr>
          <w:ilvl w:val="0"/>
          <w:numId w:val="27"/>
        </w:numPr>
        <w:spacing w:after="12"/>
        <w:ind w:right="864"/>
      </w:pPr>
      <w:r>
        <w:t xml:space="preserve">учет постановлений по делам об административных правонарушениях; </w:t>
      </w:r>
    </w:p>
    <w:p w:rsidR="002C0F56" w:rsidRDefault="00E67C6E">
      <w:pPr>
        <w:numPr>
          <w:ilvl w:val="0"/>
          <w:numId w:val="27"/>
        </w:numPr>
        <w:spacing w:after="63"/>
        <w:ind w:right="864"/>
      </w:pPr>
      <w:r>
        <w:t xml:space="preserve">учет постановлений таможенных органов о взыскании задолженности по уплате таможенных платежей и пеней за просрочку уплаты таможенных платежей за счет имущества организаций-должников; </w:t>
      </w:r>
    </w:p>
    <w:p w:rsidR="002C0F56" w:rsidRDefault="00E67C6E">
      <w:pPr>
        <w:numPr>
          <w:ilvl w:val="0"/>
          <w:numId w:val="27"/>
        </w:numPr>
        <w:spacing w:after="59"/>
        <w:ind w:right="864"/>
      </w:pPr>
      <w:r>
        <w:t xml:space="preserve">учет юридических и физических лиц, имеющих задолженность перед таможней </w:t>
      </w:r>
      <w:r>
        <w:t xml:space="preserve">по вынесенным постановлениям по делам об административных правонарушениях; </w:t>
      </w:r>
    </w:p>
    <w:p w:rsidR="002C0F56" w:rsidRDefault="00E67C6E">
      <w:pPr>
        <w:numPr>
          <w:ilvl w:val="0"/>
          <w:numId w:val="27"/>
        </w:numPr>
        <w:spacing w:after="64"/>
        <w:ind w:right="864"/>
      </w:pPr>
      <w:r>
        <w:t xml:space="preserve">учет сведений о таможенной декларации (ТД) (номер декларации,  дата оформления декларации, код товара по ТНВЭД, наименование товара, страна происхождения, отправления и назначения </w:t>
      </w:r>
      <w:r>
        <w:t xml:space="preserve">товара, валюта сделки, </w:t>
      </w:r>
      <w:r>
        <w:lastRenderedPageBreak/>
        <w:t xml:space="preserve">стоимость груза в рублях и в валюте сделки, вид транспорта, вид грузопотока и др.); </w:t>
      </w:r>
    </w:p>
    <w:p w:rsidR="002C0F56" w:rsidRDefault="00E67C6E">
      <w:pPr>
        <w:numPr>
          <w:ilvl w:val="0"/>
          <w:numId w:val="27"/>
        </w:numPr>
        <w:spacing w:after="12"/>
        <w:ind w:right="864"/>
      </w:pPr>
      <w:r>
        <w:t xml:space="preserve">учет сведений о таможенных постах, осуществлявших оформление ТД. </w:t>
      </w:r>
    </w:p>
    <w:p w:rsidR="002C0F56" w:rsidRDefault="00E67C6E">
      <w:pPr>
        <w:spacing w:after="58"/>
        <w:ind w:left="165" w:right="302"/>
      </w:pPr>
      <w:r>
        <w:t>Также ИС должна позволять осуществлять контроль и быстро производить поиск и выбор</w:t>
      </w:r>
      <w:r>
        <w:t xml:space="preserve">ку информации по следующим запросам: </w:t>
      </w:r>
    </w:p>
    <w:p w:rsidR="002C0F56" w:rsidRDefault="00E67C6E">
      <w:pPr>
        <w:numPr>
          <w:ilvl w:val="0"/>
          <w:numId w:val="27"/>
        </w:numPr>
        <w:spacing w:after="12"/>
        <w:ind w:right="864"/>
      </w:pPr>
      <w:r>
        <w:t xml:space="preserve">контроль исполнения постановлений; </w:t>
      </w:r>
    </w:p>
    <w:p w:rsidR="002C0F56" w:rsidRDefault="00E67C6E">
      <w:pPr>
        <w:numPr>
          <w:ilvl w:val="0"/>
          <w:numId w:val="27"/>
        </w:numPr>
        <w:spacing w:after="12"/>
        <w:ind w:right="864"/>
      </w:pPr>
      <w:r>
        <w:t xml:space="preserve">контроль за движением и реализацией товаров, обращенных в </w:t>
      </w:r>
    </w:p>
    <w:p w:rsidR="002C0F56" w:rsidRDefault="00E67C6E">
      <w:pPr>
        <w:spacing w:after="62"/>
        <w:ind w:left="165" w:right="302" w:firstLine="0"/>
      </w:pPr>
      <w:r>
        <w:t xml:space="preserve">федеральную собственность, а также предметов залога; </w:t>
      </w:r>
    </w:p>
    <w:p w:rsidR="002C0F56" w:rsidRDefault="00E67C6E">
      <w:pPr>
        <w:numPr>
          <w:ilvl w:val="0"/>
          <w:numId w:val="27"/>
        </w:numPr>
        <w:ind w:right="864"/>
      </w:pPr>
      <w:r>
        <w:t>контроль за поступлением на счета, определенные федеральной таможенно</w:t>
      </w:r>
      <w:r>
        <w:t xml:space="preserve">й службой (ФТС)  России, сумм денежных средств, полученных в результате исполнения постановлений по делам об административных правонарушениях. </w:t>
      </w:r>
    </w:p>
    <w:p w:rsidR="002C0F56" w:rsidRDefault="00E67C6E">
      <w:pPr>
        <w:ind w:left="165" w:right="302"/>
      </w:pPr>
      <w:r>
        <w:t>ИС должна содержать функции, позволяющие осуществлять анализ состояния дел об АП и формировать следующие аналити</w:t>
      </w:r>
      <w:r>
        <w:t xml:space="preserve">ческие отчеты: </w:t>
      </w:r>
    </w:p>
    <w:p w:rsidR="002C0F56" w:rsidRDefault="00E67C6E">
      <w:pPr>
        <w:numPr>
          <w:ilvl w:val="0"/>
          <w:numId w:val="27"/>
        </w:numPr>
        <w:spacing w:after="15" w:line="268" w:lineRule="auto"/>
        <w:ind w:right="864"/>
      </w:pPr>
      <w:r>
        <w:t xml:space="preserve">общее количество требований об уплате таможенных платежей (ТП); </w:t>
      </w:r>
    </w:p>
    <w:p w:rsidR="002C0F56" w:rsidRDefault="00E67C6E">
      <w:pPr>
        <w:numPr>
          <w:ilvl w:val="0"/>
          <w:numId w:val="27"/>
        </w:numPr>
        <w:spacing w:after="65"/>
        <w:ind w:right="864"/>
      </w:pPr>
      <w:r>
        <w:t>анализ состояния дел об административных правонарушениях (количество дел о взыскании денежных средств в бесспорном порядке; количество решений о приостановлении операций по сч</w:t>
      </w:r>
      <w:r>
        <w:t xml:space="preserve">етам в банках; количество постановлений о взыскании задолженности по уплате ТП за счет имущества должников и др.); </w:t>
      </w:r>
    </w:p>
    <w:p w:rsidR="002C0F56" w:rsidRDefault="00E67C6E">
      <w:pPr>
        <w:numPr>
          <w:ilvl w:val="0"/>
          <w:numId w:val="27"/>
        </w:numPr>
        <w:spacing w:after="59"/>
        <w:ind w:right="864"/>
      </w:pPr>
      <w:r>
        <w:t>годовой поквартальный отчет с указанием сумм взысканных платежей и числа юридических и физических лиц, имеющих задолженности перед таможней;</w:t>
      </w:r>
      <w:r>
        <w:t xml:space="preserve"> </w:t>
      </w:r>
    </w:p>
    <w:p w:rsidR="002C0F56" w:rsidRDefault="00E67C6E">
      <w:pPr>
        <w:numPr>
          <w:ilvl w:val="0"/>
          <w:numId w:val="27"/>
        </w:numPr>
        <w:ind w:right="864"/>
      </w:pPr>
      <w:r>
        <w:t xml:space="preserve">различные отчетные формы, подготовка статистической отчетности по формам, утвержденным ФТС России. </w:t>
      </w:r>
    </w:p>
    <w:p w:rsidR="002C0F56" w:rsidRDefault="00E67C6E">
      <w:pPr>
        <w:spacing w:after="0"/>
        <w:ind w:left="165" w:right="861"/>
      </w:pPr>
      <w:r>
        <w:t>Такая постановка задачи позволила выделить следующие массивы информации: Административные правонарушения; Декларации; Декларанты и Таможенный пост, а также массивы, содержащие справочную информацию: Валюта; Вид грузопотока; Страна и Транспорт. Концептуальн</w:t>
      </w:r>
      <w:r>
        <w:t xml:space="preserve">ая модель БД представлена на рис. 1. </w:t>
      </w:r>
    </w:p>
    <w:p w:rsidR="002C0F56" w:rsidRDefault="00E67C6E">
      <w:pPr>
        <w:spacing w:after="0" w:line="259" w:lineRule="auto"/>
        <w:ind w:left="0" w:right="1901" w:firstLine="0"/>
        <w:jc w:val="right"/>
      </w:pPr>
      <w:r>
        <w:rPr>
          <w:noProof/>
        </w:rPr>
        <w:lastRenderedPageBreak/>
        <w:drawing>
          <wp:inline distT="0" distB="0" distL="0" distR="0">
            <wp:extent cx="5060950" cy="2375535"/>
            <wp:effectExtent l="0" t="0" r="0" b="0"/>
            <wp:docPr id="12046" name="Picture 12046"/>
            <wp:cNvGraphicFramePr/>
            <a:graphic xmlns:a="http://schemas.openxmlformats.org/drawingml/2006/main">
              <a:graphicData uri="http://schemas.openxmlformats.org/drawingml/2006/picture">
                <pic:pic xmlns:pic="http://schemas.openxmlformats.org/drawingml/2006/picture">
                  <pic:nvPicPr>
                    <pic:cNvPr id="12046" name="Picture 12046"/>
                    <pic:cNvPicPr/>
                  </pic:nvPicPr>
                  <pic:blipFill>
                    <a:blip r:embed="rId268"/>
                    <a:stretch>
                      <a:fillRect/>
                    </a:stretch>
                  </pic:blipFill>
                  <pic:spPr>
                    <a:xfrm>
                      <a:off x="0" y="0"/>
                      <a:ext cx="5060950" cy="2375535"/>
                    </a:xfrm>
                    <a:prstGeom prst="rect">
                      <a:avLst/>
                    </a:prstGeom>
                  </pic:spPr>
                </pic:pic>
              </a:graphicData>
            </a:graphic>
          </wp:inline>
        </w:drawing>
      </w:r>
      <w:r>
        <w:t xml:space="preserve"> </w:t>
      </w:r>
    </w:p>
    <w:p w:rsidR="002C0F56" w:rsidRDefault="00E67C6E">
      <w:pPr>
        <w:pStyle w:val="4"/>
        <w:ind w:left="1181" w:right="1374"/>
      </w:pPr>
      <w:r>
        <w:t xml:space="preserve">Рис.1.  Концептуальная модель базы данных </w:t>
      </w:r>
    </w:p>
    <w:p w:rsidR="002C0F56" w:rsidRDefault="00E67C6E">
      <w:pPr>
        <w:spacing w:after="0" w:line="259" w:lineRule="auto"/>
        <w:ind w:left="735" w:firstLine="0"/>
        <w:jc w:val="left"/>
      </w:pPr>
      <w:r>
        <w:t xml:space="preserve"> </w:t>
      </w:r>
    </w:p>
    <w:p w:rsidR="002C0F56" w:rsidRDefault="00E67C6E">
      <w:pPr>
        <w:ind w:left="165" w:right="865"/>
      </w:pPr>
      <w:r>
        <w:t>Построенная БД объединила информацию о состоянии дел по административным правонарушениям практически в четырех основных таблицах и четырех таблицах-справочниках  практиче</w:t>
      </w:r>
      <w:r>
        <w:t xml:space="preserve">ски по 40 полям. Все поля каждой таблицы представлены полностью, без сокращений, поэтому можно получить </w:t>
      </w:r>
    </w:p>
    <w:p w:rsidR="002C0F56" w:rsidRDefault="00E67C6E">
      <w:pPr>
        <w:ind w:left="165" w:right="868" w:firstLine="0"/>
      </w:pPr>
      <w:r>
        <w:t>детальную информацию о каждой таможенной декларации,  внешнеэкономическом контракте, декларанте, а также содержании административного правонарушения, с</w:t>
      </w:r>
      <w:r>
        <w:t xml:space="preserve">татьи, размера таможенной пошлины и состоянии задолженности. </w:t>
      </w:r>
    </w:p>
    <w:p w:rsidR="002C0F56" w:rsidRDefault="00E67C6E">
      <w:pPr>
        <w:ind w:left="165" w:right="872"/>
      </w:pPr>
      <w:r>
        <w:t>Анализ эффективности ИС показал, что ее внедрение позволит в 5 раз сократить временные затраты при ведении дел в таможенных органах. Также внедрение ИС приведет к уменьшению численности служащих</w:t>
      </w:r>
      <w:r>
        <w:t xml:space="preserve"> и сокращению фонда заработной платы на 28%. </w:t>
      </w:r>
    </w:p>
    <w:p w:rsidR="002C0F56" w:rsidRDefault="00E67C6E">
      <w:pPr>
        <w:spacing w:after="2"/>
        <w:ind w:left="165" w:right="869"/>
      </w:pPr>
      <w:r>
        <w:t>В заключение следует отметить, что внедрение современных информационных технологий в таможенных органах предъявляет новые повышенные требования к подготовке квалифицированных специалистов, способных использоват</w:t>
      </w:r>
      <w:r>
        <w:t>ь их в своей профессиональной деятельности. Поэтому задача высших учебных заведений в современных условиях заключается в том, чтобы не только дать студенту определенные знания, но и развить практические навыки, необходимые квалифицированному специалисту [2</w:t>
      </w:r>
      <w:r>
        <w:t xml:space="preserve">]. </w:t>
      </w:r>
    </w:p>
    <w:p w:rsidR="002C0F56" w:rsidRDefault="00E67C6E">
      <w:pPr>
        <w:spacing w:after="27"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28"/>
        </w:numPr>
        <w:ind w:right="869"/>
      </w:pPr>
      <w:r>
        <w:t>Болтунова Л.Н. Повышение эффективности учета, регистрации и хранения дел в таможенных органах с использованием информационных технологий Овчаренко О.И., Болтунова Л.Н. // В сб. материалов Международной научно-практической конферен</w:t>
      </w:r>
      <w:r>
        <w:t xml:space="preserve">ции: Фундаментальные научные исследования: </w:t>
      </w:r>
      <w:r>
        <w:lastRenderedPageBreak/>
        <w:t xml:space="preserve">теоретические и практические аспекты. Западно-Сибирский научный центр. - 2016. - С. 269-272. </w:t>
      </w:r>
    </w:p>
    <w:p w:rsidR="002C0F56" w:rsidRDefault="00E67C6E">
      <w:pPr>
        <w:numPr>
          <w:ilvl w:val="0"/>
          <w:numId w:val="28"/>
        </w:numPr>
        <w:spacing w:after="0"/>
        <w:ind w:right="869"/>
      </w:pPr>
      <w:r>
        <w:t xml:space="preserve">Овчаренко О.И. Образовательные технологии как средство формирования профессиональной компетентности будущих специалистов. [Текст] /Овчаренко О.И. //Вестник Таганрогского института управления и экономики.- 2015.- 1(21).- С.115-118. </w:t>
      </w:r>
    </w:p>
    <w:p w:rsidR="002C0F56" w:rsidRDefault="00E67C6E">
      <w:pPr>
        <w:spacing w:after="0" w:line="259" w:lineRule="auto"/>
        <w:ind w:left="744" w:firstLine="0"/>
        <w:jc w:val="left"/>
      </w:pPr>
      <w:r>
        <w:t xml:space="preserve"> </w:t>
      </w:r>
    </w:p>
    <w:p w:rsidR="002C0F56" w:rsidRDefault="00E67C6E">
      <w:pPr>
        <w:spacing w:after="31" w:line="259" w:lineRule="auto"/>
        <w:ind w:left="744" w:firstLine="0"/>
        <w:jc w:val="left"/>
      </w:pPr>
      <w:r>
        <w:t xml:space="preserve"> </w:t>
      </w:r>
    </w:p>
    <w:p w:rsidR="002C0F56" w:rsidRDefault="00E67C6E">
      <w:pPr>
        <w:spacing w:after="25" w:line="259" w:lineRule="auto"/>
        <w:ind w:left="10" w:right="856" w:hanging="10"/>
        <w:jc w:val="right"/>
      </w:pPr>
      <w:r>
        <w:rPr>
          <w:b/>
        </w:rPr>
        <w:t xml:space="preserve">Бородина В. А. </w:t>
      </w:r>
    </w:p>
    <w:p w:rsidR="002C0F56" w:rsidRDefault="00E67C6E">
      <w:pPr>
        <w:spacing w:after="11" w:line="270" w:lineRule="auto"/>
        <w:ind w:left="10" w:right="862" w:hanging="10"/>
        <w:jc w:val="right"/>
      </w:pPr>
      <w:r>
        <w:t>Науч</w:t>
      </w:r>
      <w:r>
        <w:t xml:space="preserve">ный руководитель: Хитрых О. В. </w:t>
      </w:r>
    </w:p>
    <w:p w:rsidR="002C0F56" w:rsidRDefault="00E67C6E">
      <w:pPr>
        <w:spacing w:after="0" w:line="267" w:lineRule="auto"/>
        <w:ind w:left="905" w:right="860" w:hanging="10"/>
        <w:jc w:val="right"/>
      </w:pPr>
      <w:r>
        <w:rPr>
          <w:i/>
        </w:rPr>
        <w:t xml:space="preserve">Луганский национальный университет им. Тараса Шевченко </w:t>
      </w:r>
    </w:p>
    <w:p w:rsidR="002C0F56" w:rsidRDefault="00E67C6E">
      <w:pPr>
        <w:spacing w:after="0" w:line="259" w:lineRule="auto"/>
        <w:ind w:left="0" w:right="797" w:firstLine="0"/>
        <w:jc w:val="right"/>
      </w:pPr>
      <w:r>
        <w:rPr>
          <w:i/>
        </w:rPr>
        <w:t xml:space="preserve"> </w:t>
      </w:r>
    </w:p>
    <w:p w:rsidR="002C0F56" w:rsidRDefault="00E67C6E">
      <w:pPr>
        <w:pStyle w:val="1"/>
        <w:ind w:left="700" w:right="1381"/>
      </w:pPr>
      <w:r>
        <w:t xml:space="preserve">РЕАЛИЗАЦИЯ НЕПАРАМЕТРИЧЕСКОЙ СТАТИСТИКИ </w:t>
      </w:r>
    </w:p>
    <w:p w:rsidR="002C0F56" w:rsidRDefault="00E67C6E">
      <w:pPr>
        <w:pStyle w:val="1"/>
        <w:ind w:left="700" w:right="1381"/>
      </w:pPr>
      <w:r>
        <w:t xml:space="preserve">СРЕДСТВАМИ MICROSOFT EXCEL  </w:t>
      </w:r>
    </w:p>
    <w:p w:rsidR="002C0F56" w:rsidRDefault="00E67C6E">
      <w:pPr>
        <w:spacing w:after="0" w:line="259" w:lineRule="auto"/>
        <w:ind w:left="744" w:firstLine="0"/>
        <w:jc w:val="left"/>
      </w:pPr>
      <w:r>
        <w:t xml:space="preserve"> </w:t>
      </w:r>
    </w:p>
    <w:p w:rsidR="002C0F56" w:rsidRDefault="00E67C6E">
      <w:pPr>
        <w:ind w:left="165" w:right="866"/>
      </w:pPr>
      <w:r>
        <w:t>В последнее время широко развиваются непараметрические статистические методы. Любой непараметр</w:t>
      </w:r>
      <w:r>
        <w:t xml:space="preserve">ический метод - это статистический метод с некоторыми желанными качествами, которые сохраняются при относительно слабых предположениях о рассмотренных генеральных совокупностях, из которых получены данные. </w:t>
      </w:r>
    </w:p>
    <w:p w:rsidR="002C0F56" w:rsidRDefault="00E67C6E">
      <w:pPr>
        <w:ind w:left="165" w:right="302"/>
      </w:pPr>
      <w:r>
        <w:t xml:space="preserve">Непараметрические методы исследовали такие ученые как Макаров А. А., Рунион Р., Сидоренко Е. В., Тюрин Ю. Н., Урбах В. Ю., Холлендер М. и др. </w:t>
      </w:r>
    </w:p>
    <w:p w:rsidR="002C0F56" w:rsidRDefault="00E67C6E">
      <w:pPr>
        <w:spacing w:after="12"/>
        <w:ind w:left="744" w:right="302" w:firstLine="0"/>
      </w:pPr>
      <w:r>
        <w:t xml:space="preserve">Объект исследования: непараметрическая статистика. </w:t>
      </w:r>
    </w:p>
    <w:p w:rsidR="002C0F56" w:rsidRDefault="00E67C6E">
      <w:pPr>
        <w:ind w:left="165" w:right="302"/>
      </w:pPr>
      <w:r>
        <w:t>Предмет исследования: реализация непараметрической статистики</w:t>
      </w:r>
      <w:r>
        <w:t xml:space="preserve"> средствами электронных таблиц Ехсеl. </w:t>
      </w:r>
    </w:p>
    <w:p w:rsidR="002C0F56" w:rsidRDefault="00E67C6E">
      <w:pPr>
        <w:ind w:left="165" w:right="869"/>
      </w:pPr>
      <w:r>
        <w:t xml:space="preserve">Цель работы: разработать и реализовать в виде функции пользователя наиболее употребительные статистические непараметрические критерии, относящиеся к проверке гипотез о значимости различий двух зависимых выборок. </w:t>
      </w:r>
    </w:p>
    <w:p w:rsidR="002C0F56" w:rsidRDefault="00E67C6E">
      <w:pPr>
        <w:ind w:left="165" w:right="302"/>
      </w:pPr>
      <w:r>
        <w:t xml:space="preserve">Исходя из выбранной цели исследования, были поставлены следующие задачи: </w:t>
      </w:r>
    </w:p>
    <w:p w:rsidR="002C0F56" w:rsidRDefault="00E67C6E">
      <w:pPr>
        <w:numPr>
          <w:ilvl w:val="0"/>
          <w:numId w:val="29"/>
        </w:numPr>
        <w:ind w:right="302"/>
      </w:pPr>
      <w:r>
        <w:t xml:space="preserve">Проанализировать литературу по теме исследования, подобрать наиболее употребительные статистические непараметрические критерии. </w:t>
      </w:r>
    </w:p>
    <w:p w:rsidR="002C0F56" w:rsidRDefault="00E67C6E">
      <w:pPr>
        <w:numPr>
          <w:ilvl w:val="0"/>
          <w:numId w:val="29"/>
        </w:numPr>
        <w:ind w:right="302"/>
      </w:pPr>
      <w:r>
        <w:t>Проанализировать содержание пакета анализа электронны</w:t>
      </w:r>
      <w:r>
        <w:t xml:space="preserve">х таблиц и его встроенных статистических функций. </w:t>
      </w:r>
    </w:p>
    <w:p w:rsidR="002C0F56" w:rsidRDefault="00E67C6E">
      <w:pPr>
        <w:numPr>
          <w:ilvl w:val="0"/>
          <w:numId w:val="29"/>
        </w:numPr>
        <w:ind w:right="302"/>
      </w:pPr>
      <w:r>
        <w:t xml:space="preserve">Сравнить статистические возможности электронных таблиц Ехсеl с одним из известных статистических пакетов. </w:t>
      </w:r>
    </w:p>
    <w:p w:rsidR="002C0F56" w:rsidRDefault="00E67C6E">
      <w:pPr>
        <w:numPr>
          <w:ilvl w:val="0"/>
          <w:numId w:val="29"/>
        </w:numPr>
        <w:spacing w:after="11"/>
        <w:ind w:right="302"/>
      </w:pPr>
      <w:r>
        <w:t>Реализовать выбраны статистические критерии в виде функций на языке VBA. 5.</w:t>
      </w:r>
      <w:r>
        <w:rPr>
          <w:rFonts w:ascii="Arial" w:eastAsia="Arial" w:hAnsi="Arial" w:cs="Arial"/>
        </w:rPr>
        <w:t xml:space="preserve"> </w:t>
      </w:r>
      <w:r>
        <w:t>Протестировать реализо</w:t>
      </w:r>
      <w:r>
        <w:t xml:space="preserve">ваны функции на модельных примерах. </w:t>
      </w:r>
    </w:p>
    <w:p w:rsidR="002C0F56" w:rsidRDefault="00E67C6E">
      <w:pPr>
        <w:ind w:left="165" w:right="302"/>
      </w:pPr>
      <w:r>
        <w:lastRenderedPageBreak/>
        <w:t xml:space="preserve">Быстрое развитие непараметрических методов обусловлено следующими факторами: </w:t>
      </w:r>
    </w:p>
    <w:p w:rsidR="002C0F56" w:rsidRDefault="00E67C6E">
      <w:pPr>
        <w:numPr>
          <w:ilvl w:val="0"/>
          <w:numId w:val="30"/>
        </w:numPr>
        <w:ind w:right="868"/>
      </w:pPr>
      <w:r>
        <w:t>Непараметрические методы требуют немногих предположений относительно генеральных совокупностей, из которых извлечены данные. В частности, эти</w:t>
      </w:r>
      <w:r>
        <w:t xml:space="preserve"> методы, в отличие от своих предшественников, не требуют традиционных предположений о нормальном распределении генеральных совокупностей. </w:t>
      </w:r>
    </w:p>
    <w:p w:rsidR="002C0F56" w:rsidRDefault="00E67C6E">
      <w:pPr>
        <w:numPr>
          <w:ilvl w:val="0"/>
          <w:numId w:val="30"/>
        </w:numPr>
        <w:ind w:right="868"/>
      </w:pPr>
      <w:r>
        <w:t xml:space="preserve">Непараметрические методы часто (хотя не всегда) проще в применении, чем их конкуренты из нормальной теории. </w:t>
      </w:r>
    </w:p>
    <w:p w:rsidR="002C0F56" w:rsidRDefault="00E67C6E">
      <w:pPr>
        <w:numPr>
          <w:ilvl w:val="0"/>
          <w:numId w:val="30"/>
        </w:numPr>
        <w:ind w:right="868"/>
      </w:pPr>
      <w:r>
        <w:t>Непараме</w:t>
      </w:r>
      <w:r>
        <w:t xml:space="preserve">трические приемы обычно понятны. </w:t>
      </w:r>
    </w:p>
    <w:p w:rsidR="002C0F56" w:rsidRDefault="00E67C6E">
      <w:pPr>
        <w:numPr>
          <w:ilvl w:val="0"/>
          <w:numId w:val="30"/>
        </w:numPr>
        <w:ind w:right="868"/>
      </w:pPr>
      <w:r>
        <w:t xml:space="preserve">Непараметрические методы могут быть применены в ситуациях, когда методы нормальной теории не «работают». Например, для многих (непараметрических) методов нужны не действительные значения наблюдений, а только их ранги. </w:t>
      </w:r>
    </w:p>
    <w:p w:rsidR="002C0F56" w:rsidRDefault="00E67C6E">
      <w:pPr>
        <w:numPr>
          <w:ilvl w:val="0"/>
          <w:numId w:val="30"/>
        </w:numPr>
        <w:spacing w:after="0"/>
        <w:ind w:right="868"/>
      </w:pPr>
      <w:r>
        <w:t>Хот</w:t>
      </w:r>
      <w:r>
        <w:t>я на первый взгляд может показаться, что, применяя ранговые процедуры, мы теряем много существенной информации, содержащейся в выборке, теоретические исследования показали, что это совсем не так. Обычно непараметрические процедуры лишь ненамного менее эффе</w:t>
      </w:r>
      <w:r>
        <w:t xml:space="preserve">ктивны, чем их конкуренты из нормальной теории, если генеральные совокупности рассматриваемых нормальные, однако они могут оказаться гораздо эффективнее, чем их соперники, если распределение генеральных совокупностей отличны от нормального. </w:t>
      </w:r>
    </w:p>
    <w:p w:rsidR="002C0F56" w:rsidRDefault="00E67C6E">
      <w:pPr>
        <w:ind w:left="165" w:right="872"/>
      </w:pPr>
      <w:r>
        <w:t>Анализ электро</w:t>
      </w:r>
      <w:r>
        <w:t xml:space="preserve">нных таблиц Ехсеl показал, что в списке встроенных функции в пакете анализа отсутствуют непараметрические критерии, за исключением критерия Пирсона </w:t>
      </w:r>
      <w:r>
        <w:rPr>
          <w:i/>
        </w:rPr>
        <w:t>x</w:t>
      </w:r>
      <w:r>
        <w:rPr>
          <w:vertAlign w:val="superscript"/>
        </w:rPr>
        <w:t>2</w:t>
      </w:r>
      <w:r>
        <w:t>. Исходя из этого выбрана тема работы «Реализация непараметрической статистики средствами Мiсrosoft Ехсеl»</w:t>
      </w:r>
      <w:r>
        <w:t xml:space="preserve">. </w:t>
      </w:r>
    </w:p>
    <w:p w:rsidR="002C0F56" w:rsidRDefault="00E67C6E">
      <w:pPr>
        <w:ind w:left="165" w:right="872"/>
      </w:pPr>
      <w:r>
        <w:t xml:space="preserve">Было рассмотрено описание возможностей непараметрической статистики, которое содержит алгоритмы расчетов распространенных статистических непараметрических критериев, посвященных проверке гипотез о значимости отличий двух зависимых выборок. Такие как: </w:t>
      </w:r>
    </w:p>
    <w:p w:rsidR="002C0F56" w:rsidRDefault="00E67C6E">
      <w:pPr>
        <w:ind w:left="744" w:right="302" w:firstLine="0"/>
      </w:pPr>
      <w:r>
        <w:t>А</w:t>
      </w:r>
      <w:r>
        <w:t xml:space="preserve">лгоритм 1 – расчет критерия знаков: </w:t>
      </w:r>
    </w:p>
    <w:p w:rsidR="002C0F56" w:rsidRDefault="00E67C6E">
      <w:pPr>
        <w:numPr>
          <w:ilvl w:val="0"/>
          <w:numId w:val="31"/>
        </w:numPr>
        <w:ind w:right="302"/>
      </w:pPr>
      <w:r>
        <w:t xml:space="preserve">Подсчитать количество нулевых сдвигов и исключить их из рассмотрения. В результате n уменьшится на количество нулевых реакций. </w:t>
      </w:r>
    </w:p>
    <w:p w:rsidR="002C0F56" w:rsidRDefault="00E67C6E">
      <w:pPr>
        <w:numPr>
          <w:ilvl w:val="0"/>
          <w:numId w:val="31"/>
        </w:numPr>
        <w:ind w:right="302"/>
      </w:pPr>
      <w:r>
        <w:t xml:space="preserve">Определить преобладающее направление изменений. Считать сдвиги в преобладающем направлении «типичными». </w:t>
      </w:r>
    </w:p>
    <w:p w:rsidR="002C0F56" w:rsidRDefault="00E67C6E">
      <w:pPr>
        <w:numPr>
          <w:ilvl w:val="0"/>
          <w:numId w:val="31"/>
        </w:numPr>
        <w:ind w:right="302"/>
      </w:pPr>
      <w:r>
        <w:t xml:space="preserve">Определить количество «нетипичных» сдвигов. Считать это число эмпирическим значением G. </w:t>
      </w:r>
    </w:p>
    <w:p w:rsidR="002C0F56" w:rsidRDefault="00E67C6E">
      <w:pPr>
        <w:numPr>
          <w:ilvl w:val="0"/>
          <w:numId w:val="31"/>
        </w:numPr>
        <w:ind w:right="302"/>
      </w:pPr>
      <w:r>
        <w:lastRenderedPageBreak/>
        <w:t>Определить критическое значение G для данного n. 5. Сопоставит</w:t>
      </w:r>
      <w:r>
        <w:t>ь G</w:t>
      </w:r>
      <w:r>
        <w:rPr>
          <w:vertAlign w:val="subscript"/>
        </w:rPr>
        <w:t>емп</w:t>
      </w:r>
      <w:r>
        <w:t>. с G</w:t>
      </w:r>
      <w:r>
        <w:rPr>
          <w:vertAlign w:val="subscript"/>
        </w:rPr>
        <w:t>кр</w:t>
      </w:r>
      <w:r>
        <w:t>. Если G</w:t>
      </w:r>
      <w:r>
        <w:rPr>
          <w:vertAlign w:val="subscript"/>
        </w:rPr>
        <w:t>емп</w:t>
      </w:r>
      <w:r>
        <w:t>. меньше G</w:t>
      </w:r>
      <w:r>
        <w:rPr>
          <w:vertAlign w:val="subscript"/>
        </w:rPr>
        <w:t>кр</w:t>
      </w:r>
      <w:r>
        <w:t xml:space="preserve"> или хотя бы равен ему, сдвиг в типовой сторону можно считать действительным. </w:t>
      </w:r>
    </w:p>
    <w:p w:rsidR="002C0F56" w:rsidRDefault="00E67C6E">
      <w:pPr>
        <w:ind w:left="744" w:right="302" w:firstLine="0"/>
      </w:pPr>
      <w:r>
        <w:t xml:space="preserve">Алгоритм 2. Расчет критерия Уилкоксона </w:t>
      </w:r>
    </w:p>
    <w:p w:rsidR="002C0F56" w:rsidRDefault="00E67C6E">
      <w:pPr>
        <w:numPr>
          <w:ilvl w:val="0"/>
          <w:numId w:val="32"/>
        </w:numPr>
        <w:ind w:right="302"/>
      </w:pPr>
      <w:r>
        <w:t xml:space="preserve">Составить список испытуемых в любом порядке, например в алфавитном порядке. </w:t>
      </w:r>
    </w:p>
    <w:p w:rsidR="002C0F56" w:rsidRDefault="00E67C6E">
      <w:pPr>
        <w:numPr>
          <w:ilvl w:val="0"/>
          <w:numId w:val="32"/>
        </w:numPr>
        <w:ind w:right="302"/>
      </w:pPr>
      <w:r>
        <w:t>Вычислить разность между</w:t>
      </w:r>
      <w:r>
        <w:t xml:space="preserve"> индивидуальными значениями в первом и втором замерах («после» - «до»). Определить, какие сдвиги считать типичным и сформулировать соответствующие гипотезы. </w:t>
      </w:r>
    </w:p>
    <w:p w:rsidR="002C0F56" w:rsidRDefault="00E67C6E">
      <w:pPr>
        <w:numPr>
          <w:ilvl w:val="0"/>
          <w:numId w:val="32"/>
        </w:numPr>
        <w:ind w:right="302"/>
      </w:pPr>
      <w:r>
        <w:t xml:space="preserve">Перевести разницы в абсолютных величинах. </w:t>
      </w:r>
    </w:p>
    <w:p w:rsidR="002C0F56" w:rsidRDefault="00E67C6E">
      <w:pPr>
        <w:numPr>
          <w:ilvl w:val="0"/>
          <w:numId w:val="32"/>
        </w:numPr>
        <w:ind w:right="302"/>
      </w:pPr>
      <w:r>
        <w:t>Проранжировать абсолютные величины, присваивая меньшему</w:t>
      </w:r>
      <w:r>
        <w:t xml:space="preserve"> значению меньший ранг. </w:t>
      </w:r>
    </w:p>
    <w:p w:rsidR="002C0F56" w:rsidRDefault="00E67C6E">
      <w:pPr>
        <w:numPr>
          <w:ilvl w:val="0"/>
          <w:numId w:val="32"/>
        </w:numPr>
        <w:ind w:right="302"/>
      </w:pPr>
      <w:r>
        <w:t xml:space="preserve">Отметить ранги, соответствующие нетипичным сдвигам. </w:t>
      </w:r>
    </w:p>
    <w:p w:rsidR="002C0F56" w:rsidRDefault="00E67C6E">
      <w:pPr>
        <w:numPr>
          <w:ilvl w:val="0"/>
          <w:numId w:val="32"/>
        </w:numPr>
        <w:ind w:right="302"/>
      </w:pPr>
      <w:r>
        <w:t xml:space="preserve">Подсчитать их сумму по формуле </w:t>
      </w:r>
    </w:p>
    <w:p w:rsidR="002C0F56" w:rsidRDefault="00E67C6E">
      <w:pPr>
        <w:ind w:left="744" w:right="302" w:firstLine="0"/>
      </w:pPr>
      <w:r>
        <w:t>Т = ΣR</w:t>
      </w:r>
      <w:r>
        <w:rPr>
          <w:vertAlign w:val="subscript"/>
        </w:rPr>
        <w:t>у</w:t>
      </w:r>
      <w:r>
        <w:t>, где R</w:t>
      </w:r>
      <w:r>
        <w:rPr>
          <w:vertAlign w:val="subscript"/>
        </w:rPr>
        <w:t>r</w:t>
      </w:r>
      <w:r>
        <w:t xml:space="preserve"> - ранговые значения нетипичных сдвигов. </w:t>
      </w:r>
    </w:p>
    <w:p w:rsidR="002C0F56" w:rsidRDefault="00E67C6E">
      <w:pPr>
        <w:numPr>
          <w:ilvl w:val="0"/>
          <w:numId w:val="32"/>
        </w:numPr>
        <w:spacing w:after="16"/>
        <w:ind w:right="302"/>
      </w:pPr>
      <w:r>
        <w:t>Определить критические значения Т для предоставленного n по таблице критических значений.</w:t>
      </w:r>
      <w:r>
        <w:t xml:space="preserve"> Если Т</w:t>
      </w:r>
      <w:r>
        <w:rPr>
          <w:vertAlign w:val="subscript"/>
        </w:rPr>
        <w:t>эмп</w:t>
      </w:r>
      <w:r>
        <w:t>≤Т</w:t>
      </w:r>
      <w:r>
        <w:rPr>
          <w:vertAlign w:val="subscript"/>
        </w:rPr>
        <w:t>кр</w:t>
      </w:r>
      <w:r>
        <w:t xml:space="preserve">, сдвиг в типичную сторону по интенсивности достоверно преобладает. </w:t>
      </w:r>
    </w:p>
    <w:p w:rsidR="002C0F56" w:rsidRDefault="00E67C6E">
      <w:pPr>
        <w:spacing w:after="0"/>
        <w:ind w:left="165" w:right="873"/>
      </w:pPr>
      <w:r>
        <w:t>Избранные статистические критерии были реализованы в виде функций методами MS Excel в виде функций пользователя на языке Visual Basic for Application и протестированы на мод</w:t>
      </w:r>
      <w:r>
        <w:t xml:space="preserve">ельных примерах. Также с помощью программы Workshop была создана справочная система для разработанных в течение работы функций. </w:t>
      </w:r>
    </w:p>
    <w:p w:rsidR="002C0F56" w:rsidRDefault="00E67C6E">
      <w:pPr>
        <w:ind w:left="165" w:right="866"/>
      </w:pPr>
      <w:r>
        <w:t>Реализованные непараметрические критерии могут использоваться студентами - психологами в ходе изучения курса «Математические ме</w:t>
      </w:r>
      <w:r>
        <w:t xml:space="preserve">тоды в психологии», студентами - социологами при изучении курса «Количественные методы в социологии», студентами - информатиками в ходе курса «Анализ данных», магистрантами и аспирантами различных специальностей для анализа данных исследований. </w:t>
      </w:r>
    </w:p>
    <w:p w:rsidR="002C0F56" w:rsidRDefault="00E67C6E">
      <w:pPr>
        <w:ind w:left="165" w:right="868"/>
      </w:pPr>
      <w:r>
        <w:t>Направлени</w:t>
      </w:r>
      <w:r>
        <w:t xml:space="preserve">е дальнейших исследований: непараметрические критерии для независимых выборок, такие как критерий Манна-Уитни и др., а так же одним из путей продолжения работы может быть дополнение и расширение списка реализованных непараметрических критериев. </w:t>
      </w:r>
    </w:p>
    <w:p w:rsidR="002C0F56" w:rsidRDefault="00E67C6E">
      <w:pPr>
        <w:spacing w:after="27" w:line="259" w:lineRule="auto"/>
        <w:ind w:left="0" w:right="55" w:firstLine="0"/>
        <w:jc w:val="center"/>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33"/>
        </w:numPr>
        <w:ind w:right="302"/>
      </w:pPr>
      <w:r>
        <w:t xml:space="preserve">Математический энциклопедический словарь./Гл. ред. Ю.В. Прохоров; </w:t>
      </w:r>
    </w:p>
    <w:p w:rsidR="002C0F56" w:rsidRDefault="00E67C6E">
      <w:pPr>
        <w:ind w:left="165" w:right="302" w:firstLine="0"/>
      </w:pPr>
      <w:r>
        <w:t xml:space="preserve">Ред. кол.: С.И. Адян, Н.С. Бахвалов, В.И. Битюцков, А.П. Ершов, </w:t>
      </w:r>
    </w:p>
    <w:p w:rsidR="002C0F56" w:rsidRDefault="00E67C6E">
      <w:pPr>
        <w:spacing w:after="12"/>
        <w:ind w:left="744" w:right="302" w:firstLine="0"/>
      </w:pPr>
      <w:r>
        <w:lastRenderedPageBreak/>
        <w:t xml:space="preserve">Л.Д. Кудрявцев, А. Л. Юшкевич. - М.: Сов. энциклопедия, 1988. - 847с., ил. </w:t>
      </w:r>
    </w:p>
    <w:p w:rsidR="002C0F56" w:rsidRDefault="00E67C6E">
      <w:pPr>
        <w:numPr>
          <w:ilvl w:val="0"/>
          <w:numId w:val="33"/>
        </w:numPr>
        <w:ind w:right="302"/>
      </w:pPr>
      <w:r>
        <w:t xml:space="preserve">Рунион Р. Справочник по непараметрической статистике: Современный подход. - М.: Финансы и статистика, 1982. - 198 с., Ил. </w:t>
      </w:r>
    </w:p>
    <w:p w:rsidR="002C0F56" w:rsidRDefault="00E67C6E">
      <w:pPr>
        <w:numPr>
          <w:ilvl w:val="0"/>
          <w:numId w:val="33"/>
        </w:numPr>
        <w:ind w:right="302"/>
      </w:pPr>
      <w:r>
        <w:t xml:space="preserve">Сидоренко Е.В. Методы математической обработки в психологии. </w:t>
      </w:r>
    </w:p>
    <w:p w:rsidR="002C0F56" w:rsidRDefault="00E67C6E">
      <w:pPr>
        <w:numPr>
          <w:ilvl w:val="0"/>
          <w:numId w:val="33"/>
        </w:numPr>
        <w:ind w:right="302"/>
      </w:pPr>
      <w:r>
        <w:t>Леман Э. Проверка статистических гипотез. М.: Просвещение, 1964. - 348с</w:t>
      </w:r>
      <w:r>
        <w:t xml:space="preserve">. </w:t>
      </w:r>
    </w:p>
    <w:p w:rsidR="002C0F56" w:rsidRDefault="00E67C6E">
      <w:pPr>
        <w:numPr>
          <w:ilvl w:val="0"/>
          <w:numId w:val="33"/>
        </w:numPr>
        <w:spacing w:after="12"/>
        <w:ind w:right="302"/>
      </w:pPr>
      <w:r>
        <w:t xml:space="preserve">Ван дер Варден Б. Л. Математическая статистика. М.: Просвещение, </w:t>
      </w:r>
    </w:p>
    <w:p w:rsidR="002C0F56" w:rsidRDefault="00E67C6E">
      <w:pPr>
        <w:spacing w:after="12"/>
        <w:ind w:left="165" w:right="302" w:firstLine="0"/>
      </w:pPr>
      <w:r>
        <w:t xml:space="preserve">1960. - 434 с. </w:t>
      </w:r>
    </w:p>
    <w:p w:rsidR="002C0F56" w:rsidRDefault="00E67C6E">
      <w:pPr>
        <w:numPr>
          <w:ilvl w:val="0"/>
          <w:numId w:val="34"/>
        </w:numPr>
        <w:ind w:right="302"/>
      </w:pPr>
      <w:r>
        <w:t xml:space="preserve">Толстова Ю.Н. Логика математического анализа социологических данных. М.: Наука, 1991 - 112 с. </w:t>
      </w:r>
    </w:p>
    <w:p w:rsidR="002C0F56" w:rsidRDefault="00E67C6E">
      <w:pPr>
        <w:numPr>
          <w:ilvl w:val="0"/>
          <w:numId w:val="34"/>
        </w:numPr>
        <w:ind w:right="302"/>
      </w:pPr>
      <w:r>
        <w:t>Бадасова Г.А. Личностные факторы суггестора, способствующие внушающее воздей</w:t>
      </w:r>
      <w:r>
        <w:t xml:space="preserve">ствию. Курсовая работа выпускницы специального факультета социальной психологии СПбГУ. СПб, 1994. 75 с. </w:t>
      </w:r>
    </w:p>
    <w:p w:rsidR="002C0F56" w:rsidRDefault="00E67C6E">
      <w:pPr>
        <w:numPr>
          <w:ilvl w:val="0"/>
          <w:numId w:val="34"/>
        </w:numPr>
        <w:ind w:right="302"/>
      </w:pPr>
      <w:r>
        <w:t xml:space="preserve">Гаек Я.; Шидак С. Теория ранговых критериев. М.: Наука, 1971. - 321 с. </w:t>
      </w:r>
    </w:p>
    <w:p w:rsidR="002C0F56" w:rsidRDefault="00E67C6E">
      <w:pPr>
        <w:numPr>
          <w:ilvl w:val="0"/>
          <w:numId w:val="34"/>
        </w:numPr>
        <w:ind w:right="302"/>
      </w:pPr>
      <w:r>
        <w:t>Захаров В.П. Применение математических методов в социальнопсихологических иссле</w:t>
      </w:r>
      <w:r>
        <w:t xml:space="preserve">дованиях. Учебное пособие. Л.: ЛГУ, 1985. - 64 с. </w:t>
      </w:r>
    </w:p>
    <w:p w:rsidR="002C0F56" w:rsidRDefault="00E67C6E">
      <w:pPr>
        <w:numPr>
          <w:ilvl w:val="0"/>
          <w:numId w:val="34"/>
        </w:numPr>
        <w:ind w:right="302"/>
      </w:pPr>
      <w:r>
        <w:t xml:space="preserve">Кендалл М.Дж., Стюарт А. Статистические алгоритмы в социологических исследованиях. Новосибирск: Наука, 1985..- 207 с.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spacing w:after="25" w:line="259" w:lineRule="auto"/>
        <w:ind w:left="10" w:right="856" w:hanging="10"/>
        <w:jc w:val="right"/>
      </w:pPr>
      <w:r>
        <w:rPr>
          <w:b/>
        </w:rPr>
        <w:t xml:space="preserve">Брусильцева В.О. </w:t>
      </w:r>
    </w:p>
    <w:p w:rsidR="002C0F56" w:rsidRDefault="00E67C6E">
      <w:pPr>
        <w:spacing w:after="11" w:line="270" w:lineRule="auto"/>
        <w:ind w:left="10" w:right="862" w:hanging="10"/>
        <w:jc w:val="right"/>
      </w:pPr>
      <w:r>
        <w:t xml:space="preserve">Научный руководитель: Корниенко Е.В., к.соц.н., доц.  </w:t>
      </w:r>
    </w:p>
    <w:p w:rsidR="002C0F56" w:rsidRDefault="00E67C6E">
      <w:pPr>
        <w:spacing w:after="0" w:line="267" w:lineRule="auto"/>
        <w:ind w:left="905" w:right="860" w:hanging="10"/>
        <w:jc w:val="right"/>
      </w:pPr>
      <w:r>
        <w:rPr>
          <w:i/>
        </w:rPr>
        <w:t xml:space="preserve">Таганрогский институт управления и экономики </w:t>
      </w:r>
    </w:p>
    <w:p w:rsidR="002C0F56" w:rsidRDefault="00E67C6E">
      <w:pPr>
        <w:spacing w:after="0" w:line="259" w:lineRule="auto"/>
        <w:ind w:left="744" w:firstLine="0"/>
        <w:jc w:val="left"/>
      </w:pPr>
      <w:r>
        <w:rPr>
          <w:b/>
        </w:rPr>
        <w:t xml:space="preserve"> </w:t>
      </w:r>
    </w:p>
    <w:p w:rsidR="002C0F56" w:rsidRDefault="00E67C6E">
      <w:pPr>
        <w:pStyle w:val="1"/>
        <w:ind w:left="700" w:right="1380"/>
      </w:pPr>
      <w:r>
        <w:t xml:space="preserve">ПРОБЛЕМЫ РЕАЛИЗАЦИИ КАДРОВОЙ ПОЛИТИКИ В </w:t>
      </w:r>
    </w:p>
    <w:p w:rsidR="002C0F56" w:rsidRDefault="00E67C6E">
      <w:pPr>
        <w:pStyle w:val="1"/>
        <w:ind w:left="700" w:right="1380"/>
      </w:pPr>
      <w:r>
        <w:t xml:space="preserve">СОВРЕМЕННЫХ ОРГАНИЗАЦИЯХ </w:t>
      </w:r>
    </w:p>
    <w:p w:rsidR="002C0F56" w:rsidRDefault="00E67C6E">
      <w:pPr>
        <w:spacing w:after="28" w:line="259" w:lineRule="auto"/>
        <w:ind w:left="744" w:firstLine="0"/>
        <w:jc w:val="left"/>
      </w:pPr>
      <w:r>
        <w:t xml:space="preserve"> </w:t>
      </w:r>
    </w:p>
    <w:p w:rsidR="002C0F56" w:rsidRDefault="00E67C6E">
      <w:pPr>
        <w:spacing w:after="5"/>
        <w:ind w:left="165" w:right="871"/>
      </w:pPr>
      <w:r>
        <w:t>Подбор команды – это искусство, необходимое руководителю, для того чтобы его фирма работала успешно. Практика предпринимательской деятельно</w:t>
      </w:r>
      <w:r>
        <w:t>сти свидетельствует, что значительного успеха добиваются только те предприниматели – руководители, которые смогли сформировать в своих организациях эффективно и слаженно действующую команду кадров, поэтому эта проблема является весьма актуальной на сегодня</w:t>
      </w:r>
      <w:r>
        <w:t xml:space="preserve">шний день. </w:t>
      </w:r>
    </w:p>
    <w:p w:rsidR="002C0F56" w:rsidRDefault="00E67C6E">
      <w:pPr>
        <w:ind w:left="165" w:right="302"/>
      </w:pPr>
      <w:r>
        <w:t xml:space="preserve">Цель данной работы заключается в рассмотрении существующей кадровой политики как основы и стратегии управления персоналом.  </w:t>
      </w:r>
    </w:p>
    <w:p w:rsidR="002C0F56" w:rsidRDefault="00E67C6E">
      <w:pPr>
        <w:ind w:left="165" w:right="872"/>
      </w:pPr>
      <w:r>
        <w:t>ООО «МАХТАЛ» занимается производством ортопедических матрасов и товаров для сна. Организация имеет уникальную автоматиз</w:t>
      </w:r>
      <w:r>
        <w:t xml:space="preserve">ированную конвейерную линию, собственное пружинное производство, где </w:t>
      </w:r>
      <w:r>
        <w:lastRenderedPageBreak/>
        <w:t xml:space="preserve">изготавливаются пружинные блоки. Все комплектующие и готовые изделия тестируются в собственной лаборатории качества, сертифицированной ISO тестирующей по европейским стандартам.  </w:t>
      </w:r>
    </w:p>
    <w:p w:rsidR="002C0F56" w:rsidRDefault="00E67C6E">
      <w:pPr>
        <w:spacing w:after="0"/>
        <w:ind w:left="165" w:right="302"/>
      </w:pPr>
      <w:r>
        <w:t xml:space="preserve">Цель «МАХТАЛ» – сделать сон покупателей комфортным и здоровым. Все материалы, используемые «МАХТАЛ» в своих матрасах и аксессуарах для сна, абсолютно безопасны и соответствуют нормам, в том числе противопожарной безопасности  </w:t>
      </w:r>
    </w:p>
    <w:p w:rsidR="002C0F56" w:rsidRDefault="00E67C6E">
      <w:pPr>
        <w:spacing w:after="9"/>
        <w:ind w:left="165" w:right="873"/>
      </w:pPr>
      <w:r>
        <w:t>Структура предприятия – это е</w:t>
      </w:r>
      <w:r>
        <w:t xml:space="preserve">го внутреннее строение, характеризующее состав подразделений и систему связи, подчиненность и взаимодействие между ними [1]. </w:t>
      </w:r>
    </w:p>
    <w:p w:rsidR="002C0F56" w:rsidRDefault="00E67C6E">
      <w:pPr>
        <w:ind w:left="165" w:right="302"/>
      </w:pPr>
      <w:r>
        <w:t xml:space="preserve">На предприятии ООО «МАХТАЛ» с момента создания существует следующая организационная структура (рисунок 1). </w:t>
      </w:r>
    </w:p>
    <w:p w:rsidR="002C0F56" w:rsidRDefault="00E67C6E">
      <w:pPr>
        <w:spacing w:after="0" w:line="259" w:lineRule="auto"/>
        <w:ind w:left="744" w:right="2023" w:firstLine="0"/>
        <w:jc w:val="left"/>
      </w:pPr>
      <w:r>
        <w:t xml:space="preserve"> </w:t>
      </w:r>
    </w:p>
    <w:p w:rsidR="002C0F56" w:rsidRDefault="00E67C6E">
      <w:pPr>
        <w:spacing w:after="0" w:line="259" w:lineRule="auto"/>
        <w:ind w:left="0" w:right="1951" w:firstLine="0"/>
        <w:jc w:val="right"/>
      </w:pPr>
      <w:r>
        <w:rPr>
          <w:noProof/>
        </w:rPr>
        <w:drawing>
          <wp:inline distT="0" distB="0" distL="0" distR="0">
            <wp:extent cx="4296410" cy="2819400"/>
            <wp:effectExtent l="0" t="0" r="0" b="0"/>
            <wp:docPr id="12675" name="Picture 12675"/>
            <wp:cNvGraphicFramePr/>
            <a:graphic xmlns:a="http://schemas.openxmlformats.org/drawingml/2006/main">
              <a:graphicData uri="http://schemas.openxmlformats.org/drawingml/2006/picture">
                <pic:pic xmlns:pic="http://schemas.openxmlformats.org/drawingml/2006/picture">
                  <pic:nvPicPr>
                    <pic:cNvPr id="12675" name="Picture 12675"/>
                    <pic:cNvPicPr/>
                  </pic:nvPicPr>
                  <pic:blipFill>
                    <a:blip r:embed="rId269"/>
                    <a:stretch>
                      <a:fillRect/>
                    </a:stretch>
                  </pic:blipFill>
                  <pic:spPr>
                    <a:xfrm>
                      <a:off x="0" y="0"/>
                      <a:ext cx="4296410" cy="2819400"/>
                    </a:xfrm>
                    <a:prstGeom prst="rect">
                      <a:avLst/>
                    </a:prstGeom>
                  </pic:spPr>
                </pic:pic>
              </a:graphicData>
            </a:graphic>
          </wp:inline>
        </w:drawing>
      </w:r>
      <w:r>
        <w:t xml:space="preserve"> </w:t>
      </w:r>
    </w:p>
    <w:p w:rsidR="002C0F56" w:rsidRDefault="00E67C6E">
      <w:pPr>
        <w:spacing w:after="5" w:line="271" w:lineRule="auto"/>
        <w:ind w:left="2307" w:right="396" w:hanging="10"/>
        <w:jc w:val="left"/>
      </w:pPr>
      <w:r>
        <w:rPr>
          <w:b/>
          <w:sz w:val="24"/>
        </w:rPr>
        <w:t>Рис. 1. Организац</w:t>
      </w:r>
      <w:r>
        <w:rPr>
          <w:b/>
          <w:sz w:val="24"/>
        </w:rPr>
        <w:t xml:space="preserve">ионная структура ООО «МАХТАЛ» </w:t>
      </w:r>
    </w:p>
    <w:p w:rsidR="002C0F56" w:rsidRDefault="00E67C6E">
      <w:pPr>
        <w:spacing w:after="0" w:line="259" w:lineRule="auto"/>
        <w:ind w:left="744" w:firstLine="0"/>
        <w:jc w:val="left"/>
      </w:pPr>
      <w:r>
        <w:t xml:space="preserve"> </w:t>
      </w:r>
    </w:p>
    <w:p w:rsidR="002C0F56" w:rsidRDefault="00E67C6E">
      <w:pPr>
        <w:spacing w:after="0"/>
        <w:ind w:left="165" w:right="871"/>
      </w:pPr>
      <w:r>
        <w:t>Основными преимуществами данной организационной структуры являются: несложное ее строение; четкое распределение задач и ответственности между отделами и всеми работниками; осуществление в данной структуре принципа единонача</w:t>
      </w:r>
      <w:r>
        <w:t xml:space="preserve">лия и личной ответственности за результаты своей работы; оперативность, точность и четкость управленческих решений [2]. </w:t>
      </w:r>
    </w:p>
    <w:p w:rsidR="002C0F56" w:rsidRDefault="00E67C6E">
      <w:pPr>
        <w:spacing w:after="1"/>
        <w:ind w:left="165" w:right="867"/>
      </w:pPr>
      <w:r>
        <w:t>В данной структуре присутствуют и недостатки: информационная перегрузка, вследствие множества контактов с подчиненными; жесткость струк</w:t>
      </w:r>
      <w:r>
        <w:t xml:space="preserve">туры; разобщенность горизонтальных связей в производственных системах. </w:t>
      </w:r>
    </w:p>
    <w:p w:rsidR="002C0F56" w:rsidRDefault="00E67C6E">
      <w:pPr>
        <w:ind w:left="165" w:right="302"/>
      </w:pPr>
      <w:r>
        <w:t xml:space="preserve">На предприятии ООО «МАХТАЛ» действует реактивная кадровая политика.  </w:t>
      </w:r>
    </w:p>
    <w:p w:rsidR="002C0F56" w:rsidRDefault="00E67C6E">
      <w:pPr>
        <w:spacing w:after="0"/>
        <w:ind w:left="165" w:right="868"/>
      </w:pPr>
      <w:r>
        <w:lastRenderedPageBreak/>
        <w:t>Кадровая служба предприятия контролирует работу персонала и следит за возникновением кризисных ситуаций. Возможным</w:t>
      </w:r>
      <w:r>
        <w:t xml:space="preserve">и причинами могут быть: конфликтные ситуации в трудовом коллективе, недостаток высококвалифицированных работников для решения сложных задач, недостаточная мотивация работников к более продуктивному и качественному труду [3]. </w:t>
      </w:r>
    </w:p>
    <w:p w:rsidR="002C0F56" w:rsidRDefault="00E67C6E">
      <w:pPr>
        <w:ind w:left="165" w:right="876"/>
      </w:pPr>
      <w:r>
        <w:t xml:space="preserve">Специалист по кадрам предпринимает меры по управлению кризисной ситуацией, ориентируется на анализ и устранение причин возникновения проблем в кадровых вопросах [4]. </w:t>
      </w:r>
    </w:p>
    <w:p w:rsidR="002C0F56" w:rsidRDefault="00E67C6E">
      <w:pPr>
        <w:spacing w:after="9"/>
        <w:ind w:left="165" w:right="871"/>
      </w:pPr>
      <w:r>
        <w:t>Персонал предприятия – это совокупность физических лиц, состоящих с фирмой как юридически</w:t>
      </w:r>
      <w:r>
        <w:t xml:space="preserve">м лицом в отношениях, регулируемых договором найма [5].  </w:t>
      </w:r>
    </w:p>
    <w:p w:rsidR="002C0F56" w:rsidRDefault="00E67C6E">
      <w:pPr>
        <w:spacing w:after="5"/>
        <w:ind w:left="165" w:right="867"/>
      </w:pPr>
      <w:r>
        <w:t>В состав ООО «МАХТАЛ» входят: директор, начальник управления, менеджер по производству, технологи, менеджер по сбыту, сотрудники по рекламе, менеджер по финансам, бухгалтер, экономист, менеджер по п</w:t>
      </w:r>
      <w:r>
        <w:t xml:space="preserve">ерсоналу, ассистент менеджера по персоналу, контролер, рабочие, креативный специалист, секретарь руководителя, инженер по производству в плановораспределительном бюро.  </w:t>
      </w:r>
    </w:p>
    <w:p w:rsidR="002C0F56" w:rsidRDefault="00E67C6E">
      <w:pPr>
        <w:ind w:left="165" w:right="866"/>
      </w:pPr>
      <w:r>
        <w:t>Каждый сотрудник организации ООО «МАХТАЛ» имеет свою должностную инструкцию, в которой</w:t>
      </w:r>
      <w:r>
        <w:t xml:space="preserve"> описаны все его функции и обязанности. Директор контролирует деятельность предприятия. Начальник управления занимается организационными вопросами. Менеджер по производству занимается организацией технического процесса изготовления продукции ООО «МАХТАЛ». </w:t>
      </w:r>
      <w:r>
        <w:t>Технологи предприятия решают технологические задачи и проблемы, возникающие на производстве. Менеджер по сбыту занимается вопросами, связанными со сбытом продукции, а именно ищет наиболее выгодные пути сбыта продукции. Сотрудник по рекламе ищет возможные с</w:t>
      </w:r>
      <w:r>
        <w:t>пособы наиболее выгодных видов рекламирования товаров предприятия. Менеджер по финансам занимается разработкой инвестиционной политики, определением расходования средств, финансовым планированием и прогнозированием. Бухгалтер ведёт учёт финансово-хозяйстве</w:t>
      </w:r>
      <w:r>
        <w:t>нной деятельности предприятия. Экономист принимает участие в системе планирования бюджета организации и осуществляет контроль за его расходами, проводит аудит. Менеджер по персоналу определяет потребность в работниках и изучает рынок труда с целью определе</w:t>
      </w:r>
      <w:r>
        <w:t xml:space="preserve">ния возможных источников обеспечения необходимыми кадрами. Подбирает персонал, обучает, координирует работу по повышению квалификации сотрудников и развитию их карьеры. Ассистент менеджера по персоналу подбирает новых сотрудников и проводит собеседования. </w:t>
      </w:r>
      <w:r>
        <w:t xml:space="preserve">Контролер занимается контролем качества продукции, </w:t>
      </w:r>
      <w:r>
        <w:lastRenderedPageBreak/>
        <w:t>выпускаемой на предприятии, следит за ходом выполнения технологических процессов [6]. Рабочие занимаются непосредственным изготовлением продукции. Креативный специалист исследует потребности и желания поку</w:t>
      </w:r>
      <w:r>
        <w:t>пателей для улучшения качества и внешнего вида изготавливаемого товара. Секретарь выполняет поручения директора различного характера. Инженер по производству в планово-распределительном бюро распределяет заказы, поступающие на участки, распределяет объем р</w:t>
      </w:r>
      <w:r>
        <w:t xml:space="preserve">аботы на участках.  </w:t>
      </w:r>
    </w:p>
    <w:p w:rsidR="002C0F56" w:rsidRDefault="00E67C6E">
      <w:pPr>
        <w:spacing w:after="0" w:line="259" w:lineRule="auto"/>
        <w:ind w:left="0" w:right="1687" w:firstLine="0"/>
        <w:jc w:val="right"/>
      </w:pPr>
      <w:r>
        <w:rPr>
          <w:noProof/>
        </w:rPr>
        <w:drawing>
          <wp:inline distT="0" distB="0" distL="0" distR="0">
            <wp:extent cx="4636008" cy="2380488"/>
            <wp:effectExtent l="0" t="0" r="0" b="0"/>
            <wp:docPr id="689287" name="Picture 689287"/>
            <wp:cNvGraphicFramePr/>
            <a:graphic xmlns:a="http://schemas.openxmlformats.org/drawingml/2006/main">
              <a:graphicData uri="http://schemas.openxmlformats.org/drawingml/2006/picture">
                <pic:pic xmlns:pic="http://schemas.openxmlformats.org/drawingml/2006/picture">
                  <pic:nvPicPr>
                    <pic:cNvPr id="689287" name="Picture 689287"/>
                    <pic:cNvPicPr/>
                  </pic:nvPicPr>
                  <pic:blipFill>
                    <a:blip r:embed="rId270"/>
                    <a:stretch>
                      <a:fillRect/>
                    </a:stretch>
                  </pic:blipFill>
                  <pic:spPr>
                    <a:xfrm>
                      <a:off x="0" y="0"/>
                      <a:ext cx="4636008" cy="2380488"/>
                    </a:xfrm>
                    <a:prstGeom prst="rect">
                      <a:avLst/>
                    </a:prstGeom>
                  </pic:spPr>
                </pic:pic>
              </a:graphicData>
            </a:graphic>
          </wp:inline>
        </w:drawing>
      </w:r>
      <w:r>
        <w:t xml:space="preserve"> </w:t>
      </w:r>
    </w:p>
    <w:p w:rsidR="002C0F56" w:rsidRDefault="00E67C6E">
      <w:pPr>
        <w:spacing w:after="5" w:line="271" w:lineRule="auto"/>
        <w:ind w:left="327" w:right="396" w:hanging="10"/>
        <w:jc w:val="left"/>
      </w:pPr>
      <w:r>
        <w:rPr>
          <w:b/>
          <w:sz w:val="24"/>
        </w:rPr>
        <w:t xml:space="preserve">Рис. 2. Динамика персонала ООО «МАХТАЛ» по стажу работы и возрасту за 2016 год </w:t>
      </w:r>
    </w:p>
    <w:p w:rsidR="002C0F56" w:rsidRDefault="00E67C6E">
      <w:pPr>
        <w:spacing w:after="0" w:line="259" w:lineRule="auto"/>
        <w:ind w:left="744" w:firstLine="0"/>
        <w:jc w:val="left"/>
      </w:pPr>
      <w:r>
        <w:t xml:space="preserve"> </w:t>
      </w:r>
    </w:p>
    <w:p w:rsidR="002C0F56" w:rsidRDefault="00E67C6E">
      <w:pPr>
        <w:spacing w:after="2"/>
        <w:ind w:left="165" w:right="875"/>
      </w:pPr>
      <w:r>
        <w:t>Как видим из рис.2, в организации количество сотрудников женского пола преобладает над мужским. Это связано с тем, что в организации большая потребность в женских профессиях, таких как бухгалтер, инженер по подготовке производства, технолог, секретарь и т.</w:t>
      </w:r>
      <w:r>
        <w:t xml:space="preserve">д.  </w:t>
      </w:r>
    </w:p>
    <w:p w:rsidR="002C0F56" w:rsidRDefault="00E67C6E">
      <w:pPr>
        <w:spacing w:after="0"/>
        <w:ind w:left="165" w:right="869"/>
      </w:pPr>
      <w:r>
        <w:t>По результатам анализа можно сделать вывод о том, что в ООО «МАХТАЛ» работают преимущественно зрелые и опытные сотрудники. Это объясняется тем, что руководство при приеме на работу отдает предпочтение более опытным сотрудникам. Это неблагоприятно сказ</w:t>
      </w:r>
      <w:r>
        <w:t xml:space="preserve">ывается на работе предприятия, так как препятствует передаче профессионального опыта. </w:t>
      </w:r>
    </w:p>
    <w:p w:rsidR="002C0F56" w:rsidRDefault="00E67C6E">
      <w:pPr>
        <w:ind w:left="165" w:right="516"/>
      </w:pPr>
      <w:r>
        <w:t xml:space="preserve">В таблице 1 приведены данные по движению персонала за период с 2013 по 2016 годы и производительности его труда.  </w:t>
      </w:r>
    </w:p>
    <w:p w:rsidR="002C0F56" w:rsidRDefault="00E67C6E">
      <w:pPr>
        <w:spacing w:after="10"/>
        <w:ind w:left="165" w:right="870"/>
      </w:pPr>
      <w:r>
        <w:t>Заметим, что коэффициент текучести персонала вырос, но</w:t>
      </w:r>
      <w:r>
        <w:t xml:space="preserve"> находится в допустимых пределах. Коэффициент по обновлению сотрудников и выбытию увеличился. </w:t>
      </w:r>
    </w:p>
    <w:p w:rsidR="002C0F56" w:rsidRDefault="00E67C6E">
      <w:pPr>
        <w:spacing w:after="5" w:line="271" w:lineRule="auto"/>
        <w:ind w:left="3052" w:right="396" w:hanging="1981"/>
        <w:jc w:val="left"/>
      </w:pPr>
      <w:r>
        <w:rPr>
          <w:i/>
          <w:sz w:val="24"/>
        </w:rPr>
        <w:t>Таблица 1</w:t>
      </w:r>
      <w:r>
        <w:rPr>
          <w:sz w:val="24"/>
        </w:rPr>
        <w:t xml:space="preserve"> – </w:t>
      </w:r>
      <w:r>
        <w:rPr>
          <w:b/>
          <w:sz w:val="24"/>
        </w:rPr>
        <w:t>Анализ текучести и производительности труда работников ООО «МАХТАЛ» за период 2013–2016 гг</w:t>
      </w:r>
      <w:r>
        <w:rPr>
          <w:sz w:val="24"/>
        </w:rPr>
        <w:t xml:space="preserve">. </w:t>
      </w:r>
    </w:p>
    <w:tbl>
      <w:tblPr>
        <w:tblStyle w:val="TableGrid"/>
        <w:tblW w:w="9573" w:type="dxa"/>
        <w:tblInd w:w="214" w:type="dxa"/>
        <w:tblCellMar>
          <w:top w:w="14" w:type="dxa"/>
          <w:left w:w="110" w:type="dxa"/>
          <w:bottom w:w="0" w:type="dxa"/>
          <w:right w:w="51" w:type="dxa"/>
        </w:tblCellMar>
        <w:tblLook w:val="04A0" w:firstRow="1" w:lastRow="0" w:firstColumn="1" w:lastColumn="0" w:noHBand="0" w:noVBand="1"/>
      </w:tblPr>
      <w:tblGrid>
        <w:gridCol w:w="6009"/>
        <w:gridCol w:w="914"/>
        <w:gridCol w:w="917"/>
        <w:gridCol w:w="917"/>
        <w:gridCol w:w="816"/>
      </w:tblGrid>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 </w:t>
            </w:r>
          </w:p>
        </w:tc>
        <w:tc>
          <w:tcPr>
            <w:tcW w:w="914"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34" w:type="dxa"/>
            <w:gridSpan w:val="2"/>
            <w:tcBorders>
              <w:top w:val="single" w:sz="4" w:space="0" w:color="000000"/>
              <w:left w:val="nil"/>
              <w:bottom w:val="single" w:sz="4" w:space="0" w:color="000000"/>
              <w:right w:val="nil"/>
            </w:tcBorders>
          </w:tcPr>
          <w:p w:rsidR="002C0F56" w:rsidRDefault="00E67C6E">
            <w:pPr>
              <w:spacing w:after="0" w:line="259" w:lineRule="auto"/>
              <w:ind w:left="0" w:right="160" w:firstLine="0"/>
              <w:jc w:val="center"/>
            </w:pPr>
            <w:r>
              <w:rPr>
                <w:sz w:val="24"/>
              </w:rPr>
              <w:t xml:space="preserve">Год </w:t>
            </w:r>
          </w:p>
        </w:tc>
        <w:tc>
          <w:tcPr>
            <w:tcW w:w="816"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Показатель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2013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2014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2015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8" w:firstLine="0"/>
              <w:jc w:val="left"/>
            </w:pPr>
            <w:r>
              <w:rPr>
                <w:sz w:val="24"/>
              </w:rPr>
              <w:t xml:space="preserve">2016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Среднесписочная численность персонала, чел.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40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42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48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53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 xml:space="preserve">Принято на работу, чел.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3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5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9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8 </w:t>
            </w:r>
          </w:p>
        </w:tc>
      </w:tr>
      <w:tr w:rsidR="002C0F56">
        <w:trPr>
          <w:trHeight w:val="288"/>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Количество уволенных за год, в том числе: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3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3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6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5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по собственному желанию, чел.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1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1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за нарушение трудовой дисциплины, чел.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1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1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0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0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Коэффициент оборота по приему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7" w:firstLine="0"/>
              <w:jc w:val="left"/>
            </w:pPr>
            <w:r>
              <w:rPr>
                <w:sz w:val="24"/>
              </w:rPr>
              <w:t xml:space="preserve">0,075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0,12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sz w:val="24"/>
              </w:rPr>
              <w:t xml:space="preserve">0,19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0,15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Коэффициент оборота по выбытию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7" w:firstLine="0"/>
              <w:jc w:val="left"/>
            </w:pPr>
            <w:r>
              <w:rPr>
                <w:sz w:val="24"/>
              </w:rPr>
              <w:t xml:space="preserve">0,075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9" w:firstLine="0"/>
              <w:jc w:val="left"/>
            </w:pPr>
            <w:r>
              <w:rPr>
                <w:sz w:val="24"/>
              </w:rPr>
              <w:t xml:space="preserve">0,071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7" w:firstLine="0"/>
              <w:jc w:val="left"/>
            </w:pPr>
            <w:r>
              <w:rPr>
                <w:sz w:val="24"/>
              </w:rPr>
              <w:t xml:space="preserve">0,125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6" w:firstLine="0"/>
              <w:jc w:val="left"/>
            </w:pPr>
            <w:r>
              <w:rPr>
                <w:sz w:val="24"/>
              </w:rPr>
              <w:t xml:space="preserve">0,094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Коэффициент текучести кадров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0,15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0,19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sz w:val="24"/>
              </w:rPr>
              <w:t xml:space="preserve">0,31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0,25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Коэффициент постоянства кадров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7" w:firstLine="0"/>
              <w:jc w:val="left"/>
            </w:pPr>
            <w:r>
              <w:rPr>
                <w:sz w:val="24"/>
              </w:rPr>
              <w:t xml:space="preserve">0,925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9" w:firstLine="0"/>
              <w:jc w:val="left"/>
            </w:pPr>
            <w:r>
              <w:rPr>
                <w:sz w:val="24"/>
              </w:rPr>
              <w:t xml:space="preserve">0,927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7" w:firstLine="0"/>
              <w:jc w:val="left"/>
            </w:pPr>
            <w:r>
              <w:rPr>
                <w:sz w:val="24"/>
              </w:rPr>
              <w:t xml:space="preserve">0,935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6" w:firstLine="0"/>
              <w:jc w:val="left"/>
            </w:pPr>
            <w:r>
              <w:rPr>
                <w:sz w:val="24"/>
              </w:rPr>
              <w:t xml:space="preserve">0,943 </w:t>
            </w:r>
          </w:p>
        </w:tc>
      </w:tr>
      <w:tr w:rsidR="002C0F56">
        <w:trPr>
          <w:trHeight w:val="564"/>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Среднегодовая </w:t>
            </w:r>
            <w:r>
              <w:rPr>
                <w:sz w:val="24"/>
              </w:rPr>
              <w:tab/>
              <w:t xml:space="preserve">выработка </w:t>
            </w:r>
            <w:r>
              <w:rPr>
                <w:sz w:val="24"/>
              </w:rPr>
              <w:tab/>
              <w:t xml:space="preserve">на </w:t>
            </w:r>
            <w:r>
              <w:rPr>
                <w:sz w:val="24"/>
              </w:rPr>
              <w:tab/>
              <w:t xml:space="preserve">одного </w:t>
            </w:r>
            <w:r>
              <w:rPr>
                <w:sz w:val="24"/>
              </w:rPr>
              <w:tab/>
              <w:t xml:space="preserve">работника, млн.руб.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4,88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5,83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sz w:val="24"/>
              </w:rPr>
              <w:t xml:space="preserve">6,35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5,85 </w:t>
            </w:r>
          </w:p>
        </w:tc>
      </w:tr>
      <w:tr w:rsidR="002C0F56">
        <w:trPr>
          <w:trHeight w:val="286"/>
        </w:trPr>
        <w:tc>
          <w:tcPr>
            <w:tcW w:w="60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Среднегодовая выработка на одного работника, шт.  </w:t>
            </w:r>
          </w:p>
        </w:tc>
        <w:tc>
          <w:tcPr>
            <w:tcW w:w="9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 w:firstLine="0"/>
              <w:jc w:val="left"/>
            </w:pPr>
            <w:r>
              <w:rPr>
                <w:sz w:val="24"/>
              </w:rPr>
              <w:t xml:space="preserve">325,00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9" w:firstLine="0"/>
              <w:jc w:val="left"/>
            </w:pPr>
            <w:r>
              <w:rPr>
                <w:sz w:val="24"/>
              </w:rPr>
              <w:t xml:space="preserve">388,81 </w:t>
            </w:r>
          </w:p>
        </w:tc>
        <w:tc>
          <w:tcPr>
            <w:tcW w:w="9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 w:firstLine="0"/>
              <w:jc w:val="left"/>
            </w:pPr>
            <w:r>
              <w:rPr>
                <w:sz w:val="24"/>
              </w:rPr>
              <w:t xml:space="preserve">423,54 </w:t>
            </w:r>
          </w:p>
        </w:tc>
        <w:tc>
          <w:tcPr>
            <w:tcW w:w="81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390 </w:t>
            </w:r>
          </w:p>
        </w:tc>
      </w:tr>
    </w:tbl>
    <w:p w:rsidR="002C0F56" w:rsidRDefault="00E67C6E">
      <w:pPr>
        <w:spacing w:after="0" w:line="259" w:lineRule="auto"/>
        <w:ind w:left="744" w:firstLine="0"/>
        <w:jc w:val="left"/>
      </w:pPr>
      <w:r>
        <w:t xml:space="preserve"> </w:t>
      </w:r>
    </w:p>
    <w:p w:rsidR="002C0F56" w:rsidRDefault="00E67C6E">
      <w:pPr>
        <w:spacing w:after="0"/>
        <w:ind w:left="165" w:right="871"/>
      </w:pPr>
      <w:r>
        <w:t>Важным показателем, является то, что в 2015 и 2016 году из 11 уволившихся сотрудников по собственному желанию уволилось 4, что говорит о проблемах, связанных с организацией работы персонала. Среднегодовой показатель выработки уменьшился. Это связано с тем,</w:t>
      </w:r>
      <w:r>
        <w:t xml:space="preserve"> что за последние годы увеличилась среднесписочная численность, а объем выпуска продукции изменился незначительно.  </w:t>
      </w:r>
    </w:p>
    <w:p w:rsidR="002C0F56" w:rsidRDefault="00E67C6E">
      <w:pPr>
        <w:ind w:left="165" w:right="302"/>
      </w:pPr>
      <w:r>
        <w:t xml:space="preserve">Одним из важнейших показателей является уровень образования сотрудников (таблица 2). </w:t>
      </w:r>
    </w:p>
    <w:p w:rsidR="002C0F56" w:rsidRDefault="00E67C6E">
      <w:pPr>
        <w:spacing w:after="10"/>
        <w:ind w:left="165" w:right="872"/>
      </w:pPr>
      <w:r>
        <w:t>Из таблицы 2 видно, что большая часть персонала имеет</w:t>
      </w:r>
      <w:r>
        <w:t xml:space="preserve"> высшее образование, и число таковых работников возросло: в структуре персонала его доля неизменно превышает 50%. Эти данные говорят о том, что организация заинтересована в подборе работников с высшим образованием. Данный факт несомненно положительно сказы</w:t>
      </w:r>
      <w:r>
        <w:t xml:space="preserve">вается на работе организации. </w:t>
      </w:r>
    </w:p>
    <w:p w:rsidR="002C0F56" w:rsidRDefault="00E67C6E">
      <w:pPr>
        <w:spacing w:after="0" w:line="259" w:lineRule="auto"/>
        <w:ind w:left="744" w:firstLine="0"/>
        <w:jc w:val="left"/>
      </w:pPr>
      <w:r>
        <w:t xml:space="preserve"> </w:t>
      </w:r>
    </w:p>
    <w:p w:rsidR="002C0F56" w:rsidRDefault="00E67C6E">
      <w:pPr>
        <w:spacing w:after="5" w:line="271" w:lineRule="auto"/>
        <w:ind w:left="4554" w:right="491" w:hanging="3735"/>
        <w:jc w:val="left"/>
      </w:pPr>
      <w:r>
        <w:rPr>
          <w:i/>
          <w:sz w:val="24"/>
        </w:rPr>
        <w:t>Таблица 2</w:t>
      </w:r>
      <w:r>
        <w:rPr>
          <w:sz w:val="24"/>
        </w:rPr>
        <w:t xml:space="preserve"> – </w:t>
      </w:r>
      <w:r>
        <w:rPr>
          <w:b/>
          <w:sz w:val="24"/>
        </w:rPr>
        <w:t xml:space="preserve">Состояние уровня образования работников на предприятии с 2013 по 2016 год </w:t>
      </w:r>
    </w:p>
    <w:tbl>
      <w:tblPr>
        <w:tblStyle w:val="TableGrid"/>
        <w:tblW w:w="8594" w:type="dxa"/>
        <w:tblInd w:w="704" w:type="dxa"/>
        <w:tblCellMar>
          <w:top w:w="14" w:type="dxa"/>
          <w:left w:w="108" w:type="dxa"/>
          <w:bottom w:w="0" w:type="dxa"/>
          <w:right w:w="115" w:type="dxa"/>
        </w:tblCellMar>
        <w:tblLook w:val="04A0" w:firstRow="1" w:lastRow="0" w:firstColumn="1" w:lastColumn="0" w:noHBand="0" w:noVBand="1"/>
      </w:tblPr>
      <w:tblGrid>
        <w:gridCol w:w="2597"/>
        <w:gridCol w:w="742"/>
        <w:gridCol w:w="756"/>
        <w:gridCol w:w="744"/>
        <w:gridCol w:w="756"/>
        <w:gridCol w:w="742"/>
        <w:gridCol w:w="756"/>
        <w:gridCol w:w="745"/>
        <w:gridCol w:w="756"/>
      </w:tblGrid>
      <w:tr w:rsidR="002C0F56">
        <w:trPr>
          <w:trHeight w:val="286"/>
        </w:trPr>
        <w:tc>
          <w:tcPr>
            <w:tcW w:w="25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1498"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2013 </w:t>
            </w:r>
          </w:p>
        </w:tc>
        <w:tc>
          <w:tcPr>
            <w:tcW w:w="1500"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2014 </w:t>
            </w:r>
          </w:p>
        </w:tc>
        <w:tc>
          <w:tcPr>
            <w:tcW w:w="1498"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2015 </w:t>
            </w:r>
          </w:p>
        </w:tc>
        <w:tc>
          <w:tcPr>
            <w:tcW w:w="1501"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2016 </w:t>
            </w:r>
          </w:p>
        </w:tc>
      </w:tr>
      <w:tr w:rsidR="002C0F56">
        <w:trPr>
          <w:trHeight w:val="286"/>
        </w:trPr>
        <w:tc>
          <w:tcPr>
            <w:tcW w:w="25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Вид образования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9" w:firstLine="0"/>
              <w:jc w:val="left"/>
            </w:pPr>
            <w:r>
              <w:rPr>
                <w:sz w:val="24"/>
              </w:rPr>
              <w:t xml:space="preserve">чел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3" w:firstLine="0"/>
              <w:jc w:val="center"/>
            </w:pPr>
            <w:r>
              <w:rPr>
                <w:sz w:val="24"/>
              </w:rPr>
              <w:t xml:space="preserve">% </w:t>
            </w:r>
          </w:p>
        </w:tc>
        <w:tc>
          <w:tcPr>
            <w:tcW w:w="7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left"/>
            </w:pPr>
            <w:r>
              <w:rPr>
                <w:sz w:val="24"/>
              </w:rPr>
              <w:t xml:space="preserve">чел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9" w:firstLine="0"/>
              <w:jc w:val="left"/>
            </w:pPr>
            <w:r>
              <w:rPr>
                <w:sz w:val="24"/>
              </w:rPr>
              <w:t xml:space="preserve">чел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3" w:firstLine="0"/>
              <w:jc w:val="center"/>
            </w:pPr>
            <w:r>
              <w:rPr>
                <w:sz w:val="24"/>
              </w:rPr>
              <w:t xml:space="preserve">% </w:t>
            </w:r>
          </w:p>
        </w:tc>
        <w:tc>
          <w:tcPr>
            <w:tcW w:w="7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left"/>
            </w:pPr>
            <w:r>
              <w:rPr>
                <w:sz w:val="24"/>
              </w:rPr>
              <w:t xml:space="preserve">чел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 </w:t>
            </w:r>
          </w:p>
        </w:tc>
      </w:tr>
      <w:tr w:rsidR="002C0F56">
        <w:trPr>
          <w:trHeight w:val="286"/>
        </w:trPr>
        <w:tc>
          <w:tcPr>
            <w:tcW w:w="25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Высшее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20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50 </w:t>
            </w:r>
          </w:p>
        </w:tc>
        <w:tc>
          <w:tcPr>
            <w:tcW w:w="7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23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55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26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54 </w:t>
            </w:r>
          </w:p>
        </w:tc>
        <w:tc>
          <w:tcPr>
            <w:tcW w:w="7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31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58 </w:t>
            </w:r>
          </w:p>
        </w:tc>
      </w:tr>
      <w:tr w:rsidR="002C0F56">
        <w:trPr>
          <w:trHeight w:val="286"/>
        </w:trPr>
        <w:tc>
          <w:tcPr>
            <w:tcW w:w="25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Неполное высшее </w:t>
            </w:r>
            <w:r>
              <w:rPr>
                <w:sz w:val="24"/>
              </w:rPr>
              <w:t xml:space="preserve">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12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30 </w:t>
            </w:r>
          </w:p>
        </w:tc>
        <w:tc>
          <w:tcPr>
            <w:tcW w:w="7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16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38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18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38 </w:t>
            </w:r>
          </w:p>
        </w:tc>
        <w:tc>
          <w:tcPr>
            <w:tcW w:w="7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16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30 </w:t>
            </w:r>
          </w:p>
        </w:tc>
      </w:tr>
      <w:tr w:rsidR="002C0F56">
        <w:trPr>
          <w:trHeight w:val="286"/>
        </w:trPr>
        <w:tc>
          <w:tcPr>
            <w:tcW w:w="25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Среднее специальное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8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20 </w:t>
            </w:r>
          </w:p>
        </w:tc>
        <w:tc>
          <w:tcPr>
            <w:tcW w:w="7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3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7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8 </w:t>
            </w:r>
          </w:p>
        </w:tc>
        <w:tc>
          <w:tcPr>
            <w:tcW w:w="7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6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11 </w:t>
            </w:r>
          </w:p>
        </w:tc>
      </w:tr>
      <w:tr w:rsidR="002C0F56">
        <w:trPr>
          <w:trHeight w:val="288"/>
        </w:trPr>
        <w:tc>
          <w:tcPr>
            <w:tcW w:w="25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Итого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40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left"/>
            </w:pPr>
            <w:r>
              <w:rPr>
                <w:sz w:val="24"/>
              </w:rPr>
              <w:t xml:space="preserve">100 </w:t>
            </w:r>
          </w:p>
        </w:tc>
        <w:tc>
          <w:tcPr>
            <w:tcW w:w="7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42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9" w:firstLine="0"/>
              <w:jc w:val="left"/>
            </w:pPr>
            <w:r>
              <w:rPr>
                <w:sz w:val="24"/>
              </w:rPr>
              <w:t xml:space="preserve">100 </w:t>
            </w:r>
          </w:p>
        </w:tc>
        <w:tc>
          <w:tcPr>
            <w:tcW w:w="7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48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left"/>
            </w:pPr>
            <w:r>
              <w:rPr>
                <w:sz w:val="24"/>
              </w:rPr>
              <w:t xml:space="preserve">100 </w:t>
            </w:r>
          </w:p>
        </w:tc>
        <w:tc>
          <w:tcPr>
            <w:tcW w:w="7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53 </w:t>
            </w:r>
          </w:p>
        </w:tc>
        <w:tc>
          <w:tcPr>
            <w:tcW w:w="7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9" w:firstLine="0"/>
              <w:jc w:val="left"/>
            </w:pPr>
            <w:r>
              <w:rPr>
                <w:sz w:val="24"/>
              </w:rPr>
              <w:t xml:space="preserve">100 </w:t>
            </w:r>
          </w:p>
        </w:tc>
      </w:tr>
    </w:tbl>
    <w:p w:rsidR="002C0F56" w:rsidRDefault="00E67C6E">
      <w:pPr>
        <w:spacing w:after="0" w:line="259" w:lineRule="auto"/>
        <w:ind w:left="744" w:firstLine="0"/>
        <w:jc w:val="left"/>
      </w:pPr>
      <w:r>
        <w:t xml:space="preserve"> </w:t>
      </w:r>
    </w:p>
    <w:p w:rsidR="002C0F56" w:rsidRDefault="00E67C6E">
      <w:pPr>
        <w:ind w:left="165" w:right="871"/>
      </w:pPr>
      <w:r>
        <w:t>В заключении отметим, что возрастание роли кадровой политики в российских организациях вызвано коренными изменениями социальных и экономических условий, в которых они действуют. Однако политика управления персоналом отечественных предприятий сводится, в ос</w:t>
      </w:r>
      <w:r>
        <w:t xml:space="preserve">новном, к приёму и </w:t>
      </w:r>
      <w:r>
        <w:lastRenderedPageBreak/>
        <w:t xml:space="preserve">увольнению работников, оформлению кадровой документации, а этого недостаточно для эффективного ведения бизнеса в современных условиях.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35"/>
        </w:numPr>
        <w:ind w:right="347"/>
      </w:pPr>
      <w:r>
        <w:t xml:space="preserve">Ерхова, М.В. Управление персоналом: учеб. пособие: 2 ч. [Текст] / М.В. Ерхова. – </w:t>
      </w:r>
      <w:r>
        <w:t xml:space="preserve">Ульяновск: УВАУ ГА, 2012. – Ч. 1. – 116 с. </w:t>
      </w:r>
    </w:p>
    <w:p w:rsidR="002C0F56" w:rsidRDefault="00E67C6E">
      <w:pPr>
        <w:numPr>
          <w:ilvl w:val="0"/>
          <w:numId w:val="35"/>
        </w:numPr>
        <w:spacing w:after="10"/>
        <w:ind w:right="347"/>
      </w:pPr>
      <w:r>
        <w:t>Гордеева, А.Г. Кадровая политика как стратегия управления персоналом: В сборнике: Бизнес технологии в России: теория и практика. Материалы III международной научно–практической конференции. – Саратов. – 2015. – С</w:t>
      </w:r>
      <w:r>
        <w:t xml:space="preserve">. 29–31.  </w:t>
      </w:r>
    </w:p>
    <w:p w:rsidR="002C0F56" w:rsidRDefault="00E67C6E">
      <w:pPr>
        <w:numPr>
          <w:ilvl w:val="0"/>
          <w:numId w:val="35"/>
        </w:numPr>
        <w:spacing w:after="6"/>
        <w:ind w:right="347"/>
      </w:pPr>
      <w:r>
        <w:t xml:space="preserve">Баярсайхан, О.Э., Серкова Н.В. Кадровая политика организации в условиях кризиса [Текст] // Экономика и социум – 2015. – № 2–1 (15). – С. 517– 518.  </w:t>
      </w:r>
    </w:p>
    <w:p w:rsidR="002C0F56" w:rsidRDefault="00E67C6E">
      <w:pPr>
        <w:numPr>
          <w:ilvl w:val="0"/>
          <w:numId w:val="35"/>
        </w:numPr>
        <w:ind w:right="347"/>
      </w:pPr>
      <w:r>
        <w:t xml:space="preserve">Игнатов, В.Г., Радченко А.И., Сулемов В.А. и др. Кадровое обеспечение государственной службы [Текст]. – Ростов н/Д, 2015. – 234 с. </w:t>
      </w:r>
    </w:p>
    <w:p w:rsidR="002C0F56" w:rsidRDefault="00E67C6E">
      <w:pPr>
        <w:numPr>
          <w:ilvl w:val="0"/>
          <w:numId w:val="35"/>
        </w:numPr>
        <w:spacing w:after="12"/>
        <w:ind w:right="347"/>
      </w:pPr>
      <w:r>
        <w:t xml:space="preserve">Знаменский, Д.Ю. Кадровая политика и кадровый аудит организации: </w:t>
      </w:r>
    </w:p>
    <w:p w:rsidR="002C0F56" w:rsidRDefault="00E67C6E">
      <w:pPr>
        <w:ind w:left="165" w:right="302" w:firstLine="0"/>
      </w:pPr>
      <w:r>
        <w:t>учебник для магистров [Текст] / Д.Ю. Знаменский, Н.А. Омел</w:t>
      </w:r>
      <w:r>
        <w:t xml:space="preserve">ьченко; под общ. ред. Н.А. Омельченко. – М.: Издательство Юрайт, 2015. – 455 с. </w:t>
      </w:r>
    </w:p>
    <w:p w:rsidR="002C0F56" w:rsidRDefault="00E67C6E">
      <w:pPr>
        <w:numPr>
          <w:ilvl w:val="0"/>
          <w:numId w:val="35"/>
        </w:numPr>
        <w:ind w:right="347"/>
      </w:pPr>
      <w:r>
        <w:t xml:space="preserve">Епишкин, И.А. Управление человеческими ресурсами. Учебное пособие для бакалавров направления «Менеджмент» [Текст]. – М.: МИИТ, 2013. – 157 с. </w:t>
      </w:r>
    </w:p>
    <w:p w:rsidR="002C0F56" w:rsidRDefault="00E67C6E">
      <w:pPr>
        <w:spacing w:after="0" w:line="259" w:lineRule="auto"/>
        <w:ind w:left="744" w:firstLine="0"/>
        <w:jc w:val="left"/>
      </w:pPr>
      <w:r>
        <w:t xml:space="preserve"> </w:t>
      </w:r>
    </w:p>
    <w:p w:rsidR="002C0F56" w:rsidRDefault="00E67C6E">
      <w:pPr>
        <w:spacing w:after="27" w:line="259" w:lineRule="auto"/>
        <w:ind w:left="744" w:firstLine="0"/>
        <w:jc w:val="left"/>
      </w:pPr>
      <w:r>
        <w:t xml:space="preserve"> </w:t>
      </w:r>
    </w:p>
    <w:p w:rsidR="002C0F56" w:rsidRDefault="00E67C6E">
      <w:pPr>
        <w:pStyle w:val="1"/>
        <w:spacing w:after="25" w:line="259" w:lineRule="auto"/>
        <w:ind w:right="856"/>
        <w:jc w:val="right"/>
      </w:pPr>
      <w:r>
        <w:t xml:space="preserve">Бурик П.И. </w:t>
      </w:r>
      <w:r>
        <w:rPr>
          <w:b w:val="0"/>
        </w:rPr>
        <w:t xml:space="preserve">Научный руководитель: Друк В.Ю., к.э.н., доц.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rPr>
          <w:b/>
        </w:rPr>
        <w:t xml:space="preserve"> </w:t>
      </w:r>
    </w:p>
    <w:p w:rsidR="002C0F56" w:rsidRDefault="00E67C6E">
      <w:pPr>
        <w:pStyle w:val="1"/>
        <w:ind w:left="700" w:right="1376"/>
      </w:pPr>
      <w:r>
        <w:t xml:space="preserve">СОСТОЯНИЕ МАЛОГО ПРЕДПРИНИМАТЕЛЬСТВА В РЕСПУБЛИКЕ БЕЛАРУСЬ </w:t>
      </w:r>
    </w:p>
    <w:p w:rsidR="002C0F56" w:rsidRDefault="00E67C6E">
      <w:pPr>
        <w:spacing w:after="0" w:line="259" w:lineRule="auto"/>
        <w:ind w:left="744" w:firstLine="0"/>
        <w:jc w:val="left"/>
      </w:pPr>
      <w:r>
        <w:rPr>
          <w:b/>
        </w:rPr>
        <w:t xml:space="preserve"> </w:t>
      </w:r>
    </w:p>
    <w:p w:rsidR="002C0F56" w:rsidRDefault="00E67C6E">
      <w:pPr>
        <w:spacing w:after="9"/>
        <w:ind w:left="165" w:right="862"/>
      </w:pPr>
      <w:r>
        <w:t xml:space="preserve">Роль малого предпринимательства в мировой экономике резко возросла в 80-90-е годы. По данным ООН, в целом </w:t>
      </w:r>
      <w:r>
        <w:t>на малых и средних предприятиях в мире занято почти 50% трудового населения и производится 33-60% национального продукта.Как и в других странах, развитие малого предпринимательства также оказывает огромное влияние насоциальноэкономический рост Республики Б</w:t>
      </w:r>
      <w:r>
        <w:t xml:space="preserve">еларусь. Субъекты предпринимательской деятельности способствуют повышению благосостояния граждан, формированию конкурентной среды, росту производства товаров, расширению сферы услуг, поддержанию макроэкономической и социальной стабильности. </w:t>
      </w:r>
    </w:p>
    <w:p w:rsidR="002C0F56" w:rsidRDefault="00E67C6E">
      <w:pPr>
        <w:ind w:left="165" w:right="871"/>
      </w:pPr>
      <w:r>
        <w:t xml:space="preserve">Законом Республики Беларусь «О поддержке малого и среднего предпринимательства» от 1 июля 2010 г. № 148-Зопределены субъекты малого предпринимательства:индивидуальные предприниматели,микроорганизации </w:t>
      </w:r>
      <w:r>
        <w:lastRenderedPageBreak/>
        <w:t>(численность работников - до 15 человек),малые организац</w:t>
      </w:r>
      <w:r>
        <w:t xml:space="preserve">ии (со средней численностью работников от 16 до 100 человек) [2]. </w:t>
      </w:r>
    </w:p>
    <w:p w:rsidR="002C0F56" w:rsidRDefault="00E67C6E">
      <w:pPr>
        <w:spacing w:after="5"/>
        <w:ind w:left="165" w:right="868"/>
      </w:pPr>
      <w:r>
        <w:t>Таким образом, на законодательном уровне критерием к отнесению к субъектам малого предпринимательства является численность работников. В то время как в некоторых странах имеются и другие кр</w:t>
      </w:r>
      <w:r>
        <w:t xml:space="preserve">итерии – годовой оборот и сумма баланса. Однако, в нашей стране годовой оборот является критерием к отнесению к субъектам малого предпринимательства при принятии решения о финансировании, например, в соответствии с программами поддержки МСП. </w:t>
      </w:r>
    </w:p>
    <w:p w:rsidR="002C0F56" w:rsidRDefault="00E67C6E">
      <w:pPr>
        <w:spacing w:after="0"/>
        <w:ind w:left="165" w:right="871"/>
      </w:pPr>
      <w:r>
        <w:t>Согласноиссле</w:t>
      </w:r>
      <w:r>
        <w:t>дованию Всемирного банка,наша страназаняла 37 место в отчете «Ведение бизнеса 2017» среди 190 государств мира, и улучшила за последний год свою позицию на 13 рейтинговых пунктов.Несмотря на активную работу правительства по улучшению положения Беларуси в да</w:t>
      </w:r>
      <w:r>
        <w:t xml:space="preserve">нном рейтинге, представители МСП отмечают ухудшение условий ведения предпринимательской деятельности. </w:t>
      </w:r>
    </w:p>
    <w:p w:rsidR="002C0F56" w:rsidRDefault="00E67C6E">
      <w:pPr>
        <w:spacing w:after="0"/>
        <w:ind w:left="165" w:right="873"/>
      </w:pPr>
      <w:r>
        <w:t>Малый бизнес развивается на территории Беларуси неравномерно.Распределение субъектов малого предпринимательства по регионам характеризуется достаточно вы</w:t>
      </w:r>
      <w:r>
        <w:t xml:space="preserve">сокой степенью концентрации в столице (37,7%) и крупных городах. В остальных регионах данный показатель характеризуется относительной равномерностью (7 - 9%) [3]. </w:t>
      </w:r>
    </w:p>
    <w:p w:rsidR="002C0F56" w:rsidRDefault="00E67C6E">
      <w:pPr>
        <w:ind w:left="165" w:right="866"/>
      </w:pPr>
      <w:r>
        <w:t>Плотность малого и среднего бизнеса (количество субъектов малого и среднего предпринимательс</w:t>
      </w:r>
      <w:r>
        <w:t xml:space="preserve">тва на 1000 жителей) в Беларуси сопоставима с зарубежными показателями (Россия – 39 единиц, Польша – 37 единиц, Латвия – 35 единиц, Литва – 32 единицы). </w:t>
      </w:r>
    </w:p>
    <w:p w:rsidR="002C0F56" w:rsidRDefault="00E67C6E">
      <w:pPr>
        <w:ind w:left="165" w:right="302"/>
      </w:pPr>
      <w:r>
        <w:t xml:space="preserve">Рассмотрим динамику количества субъектов малого предпринимательства (рисунок 1). </w:t>
      </w:r>
    </w:p>
    <w:p w:rsidR="002C0F56" w:rsidRDefault="00E67C6E">
      <w:pPr>
        <w:spacing w:after="0"/>
        <w:ind w:left="165" w:right="867"/>
      </w:pPr>
      <w:r>
        <w:t>Таким образом, можно</w:t>
      </w:r>
      <w:r>
        <w:t xml:space="preserve"> отметить положительный рост количества субъектов малого предпринимательства в период с 2012 по 2014 гг., однако за счет сокращения количества микроорганизаций и индивидуальных предпринимателей в 2015 году произошло сокращение общего количества на 4% по ср</w:t>
      </w:r>
      <w:r>
        <w:t xml:space="preserve">авнению с 2014 годом.Как видим из графика, наибольшее количество субъектов являются индивидуальными предпринимателями (70% от общего количества субъектов малого предпринимательства). </w:t>
      </w:r>
    </w:p>
    <w:p w:rsidR="002C0F56" w:rsidRDefault="00E67C6E">
      <w:pPr>
        <w:spacing w:after="0"/>
        <w:ind w:left="165" w:right="867"/>
      </w:pPr>
      <w:r>
        <w:t>В последние годы объемы продаж резко снизились, и это говорит о том, что</w:t>
      </w:r>
      <w:r>
        <w:t xml:space="preserve"> экономическое положение субъектов малого предпринимательства заметно ухудшилось. Согласно опросу представителей малого предпринимательства, проведенному Исследовательским центром ИПМ, в 2016 г. 59,6% респондентов отметили, что объемы продаж на их предприя</w:t>
      </w:r>
      <w:r>
        <w:t xml:space="preserve">тии за прошедшийгод значительно или несколько сократились. Об увеличении объемов продаж заявили только 11,8% респондентов. Такая негативная динамикасохраняется на протяжении </w:t>
      </w:r>
      <w:r>
        <w:lastRenderedPageBreak/>
        <w:t>последних двух лет. В 2015 г. 63,4% респондентов ответило, что на ихпредприятии пр</w:t>
      </w:r>
      <w:r>
        <w:t xml:space="preserve">оизошло сокращение объемов продаж.  </w:t>
      </w:r>
    </w:p>
    <w:p w:rsidR="002C0F56" w:rsidRDefault="00E67C6E">
      <w:pPr>
        <w:spacing w:after="0" w:line="259" w:lineRule="auto"/>
        <w:ind w:left="744" w:firstLine="0"/>
        <w:jc w:val="left"/>
      </w:pPr>
      <w:r>
        <w:t xml:space="preserve"> </w:t>
      </w:r>
    </w:p>
    <w:p w:rsidR="002C0F56" w:rsidRDefault="00E67C6E">
      <w:pPr>
        <w:spacing w:after="15" w:line="259" w:lineRule="auto"/>
        <w:ind w:left="744" w:firstLine="0"/>
        <w:jc w:val="left"/>
      </w:pPr>
      <w:r>
        <w:rPr>
          <w:noProof/>
        </w:rPr>
        <w:drawing>
          <wp:inline distT="0" distB="0" distL="0" distR="0">
            <wp:extent cx="5998210" cy="1787525"/>
            <wp:effectExtent l="0" t="0" r="0" b="0"/>
            <wp:docPr id="13829" name="Picture 13829"/>
            <wp:cNvGraphicFramePr/>
            <a:graphic xmlns:a="http://schemas.openxmlformats.org/drawingml/2006/main">
              <a:graphicData uri="http://schemas.openxmlformats.org/drawingml/2006/picture">
                <pic:pic xmlns:pic="http://schemas.openxmlformats.org/drawingml/2006/picture">
                  <pic:nvPicPr>
                    <pic:cNvPr id="13829" name="Picture 13829"/>
                    <pic:cNvPicPr/>
                  </pic:nvPicPr>
                  <pic:blipFill>
                    <a:blip r:embed="rId271"/>
                    <a:stretch>
                      <a:fillRect/>
                    </a:stretch>
                  </pic:blipFill>
                  <pic:spPr>
                    <a:xfrm>
                      <a:off x="0" y="0"/>
                      <a:ext cx="5998210" cy="1787525"/>
                    </a:xfrm>
                    <a:prstGeom prst="rect">
                      <a:avLst/>
                    </a:prstGeom>
                  </pic:spPr>
                </pic:pic>
              </a:graphicData>
            </a:graphic>
          </wp:inline>
        </w:drawing>
      </w:r>
    </w:p>
    <w:p w:rsidR="002C0F56" w:rsidRDefault="00E67C6E">
      <w:pPr>
        <w:spacing w:after="0" w:line="259" w:lineRule="auto"/>
        <w:ind w:left="180" w:firstLine="0"/>
        <w:jc w:val="left"/>
      </w:pPr>
      <w:r>
        <w:t xml:space="preserve"> </w:t>
      </w:r>
    </w:p>
    <w:p w:rsidR="002C0F56" w:rsidRDefault="00E67C6E">
      <w:pPr>
        <w:spacing w:after="5" w:line="271" w:lineRule="auto"/>
        <w:ind w:left="1191" w:right="396" w:hanging="10"/>
        <w:jc w:val="left"/>
      </w:pPr>
      <w:r>
        <w:rPr>
          <w:sz w:val="24"/>
        </w:rPr>
        <w:t>Рис. 1.</w:t>
      </w:r>
      <w:r>
        <w:rPr>
          <w:b/>
          <w:sz w:val="24"/>
        </w:rPr>
        <w:t xml:space="preserve"> Количество субъектов малого предпринимательства в 2012-2015 гг. </w:t>
      </w:r>
    </w:p>
    <w:p w:rsidR="002C0F56" w:rsidRDefault="00E67C6E">
      <w:pPr>
        <w:spacing w:after="5" w:line="271" w:lineRule="auto"/>
        <w:ind w:left="673" w:hanging="10"/>
        <w:jc w:val="left"/>
      </w:pPr>
      <w:r>
        <w:rPr>
          <w:sz w:val="24"/>
        </w:rPr>
        <w:t xml:space="preserve">Источник –[2] </w:t>
      </w:r>
    </w:p>
    <w:p w:rsidR="002C0F56" w:rsidRDefault="00E67C6E">
      <w:pPr>
        <w:spacing w:after="0" w:line="259" w:lineRule="auto"/>
        <w:ind w:left="744" w:firstLine="0"/>
        <w:jc w:val="left"/>
      </w:pPr>
      <w:r>
        <w:t xml:space="preserve"> </w:t>
      </w:r>
    </w:p>
    <w:p w:rsidR="002C0F56" w:rsidRDefault="00E67C6E">
      <w:pPr>
        <w:ind w:left="165" w:right="872"/>
      </w:pPr>
      <w:r>
        <w:t xml:space="preserve">В связи с неплатежеспособностью контрагентов, МСП столкнулись с еще одной острой проблемой - </w:t>
      </w:r>
      <w:r>
        <w:t xml:space="preserve">рост дебиторской задолженности. Согласно результатам опроса, за 2016 г. 26,5% респондентов столкнулись с данной проблемой. Об уменьшении объемов дебиторской задолженностизаявило только 13,4% респондентов.  </w:t>
      </w:r>
    </w:p>
    <w:p w:rsidR="002C0F56" w:rsidRDefault="00E67C6E">
      <w:pPr>
        <w:spacing w:after="11"/>
        <w:ind w:left="165" w:right="866"/>
      </w:pPr>
      <w:r>
        <w:t>Доступ к кредитным ресурсам для МСП достаточно ог</w:t>
      </w:r>
      <w:r>
        <w:t xml:space="preserve">раничен, поэтому среди данных субъектов хозяйствования проблема роста кредиторскойзадолженности менее острая. </w:t>
      </w:r>
    </w:p>
    <w:p w:rsidR="002C0F56" w:rsidRDefault="00E67C6E">
      <w:pPr>
        <w:spacing w:after="0"/>
        <w:ind w:left="165" w:right="871"/>
      </w:pPr>
      <w:r>
        <w:t>Ограниченные финансовые возможности сектора также отражаются в слабой инвестиционной активности. Соответственно масштабы сокращения инвестиций вс</w:t>
      </w:r>
      <w:r>
        <w:t xml:space="preserve">ледствиеэкономической стагнации не столь значительны. В 2016 г. о сокращении инвестиций сказало 27,8% респондентов при положительной динамике у 13,9% предприятий.  </w:t>
      </w:r>
    </w:p>
    <w:p w:rsidR="002C0F56" w:rsidRDefault="00E67C6E">
      <w:pPr>
        <w:spacing w:after="10"/>
        <w:ind w:left="165" w:right="872"/>
      </w:pPr>
      <w:r>
        <w:t xml:space="preserve">Более выражена реакция малого предпринимательства на кризис в динамике занятости. Согласно </w:t>
      </w:r>
      <w:r>
        <w:t xml:space="preserve">опросу, за 2016 г. о падении занятости сообщило 39,3% респондентов, в то время как о росте говорили 16,8% респондентов[4]. </w:t>
      </w:r>
    </w:p>
    <w:p w:rsidR="002C0F56" w:rsidRDefault="00E67C6E">
      <w:pPr>
        <w:spacing w:after="0"/>
        <w:ind w:left="165" w:right="865"/>
      </w:pPr>
      <w:r>
        <w:t>Таким образом, на основании проведенного анализа развития малого предпринимательства в Республике Беларусь, можно сделать вывод о то</w:t>
      </w:r>
      <w:r>
        <w:t>м, что в последнее время наблюдается ухудшение состояния сферы малого предпринимательства. Негативное влияние оказываетне только экономический кризис, но и изменения в регуляторной среде. Большинство представителей малого предпринимательства сконцентрирова</w:t>
      </w:r>
      <w:r>
        <w:t xml:space="preserve">но на задаче сохранения своего бизнеса, для чего, в первую очередь, проводит оптимизацию издержек. Следствием этого является сокращение занятости в секторе.  </w:t>
      </w:r>
    </w:p>
    <w:p w:rsidR="002C0F56" w:rsidRDefault="00E67C6E">
      <w:pPr>
        <w:spacing w:after="0"/>
        <w:ind w:left="165" w:right="866"/>
      </w:pPr>
      <w:r>
        <w:lastRenderedPageBreak/>
        <w:t>Однако, несмотря на сложные экономические условия, государство пытается содействовать развитию ма</w:t>
      </w:r>
      <w:r>
        <w:t xml:space="preserve">лого предпринимательства в стране. Государственной программой «Малое и среднее предпринимательство в Республике Беларусь» на 2016–2020 годы предусмотрено увеличение количества центров поддержки предпринимательства и инкубаторов малого предпринимательства, </w:t>
      </w:r>
      <w:r>
        <w:t xml:space="preserve">оказание государственной финансовой поддержки субъектам малого и среднего предпринимательства на сумму 86,076 млн. руб., реализация программы финансовой поддержки малого и среднего предпринимательства ОАО «Банк развития Республики Беларусь» на сумму 500,0 </w:t>
      </w:r>
      <w:r>
        <w:t xml:space="preserve">млн. руб. и другие мероприятия [5].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36"/>
        </w:numPr>
        <w:ind w:right="868"/>
      </w:pPr>
      <w:r>
        <w:t>О поддержке малого и среднего предпринимательства: Закон Республики Беларусь от 1 июля 2010 г. № 148-З: с изм. и доп. от 30 декабря 2015 г. № 344-</w:t>
      </w:r>
      <w:r>
        <w:t>З [Электронный ресурс] / Национальный правовой Интернетпортал Республики Беларусь – Минск, 2017. – Режим доступа: http://www.pravo.by/document /?guid=3871&amp;p0=H1100014</w:t>
      </w:r>
      <w:hyperlink r:id="rId272">
        <w:r>
          <w:t>8.</w:t>
        </w:r>
      </w:hyperlink>
      <w:r>
        <w:t xml:space="preserve"> Дата доступа</w:t>
      </w:r>
      <w:r>
        <w:t xml:space="preserve">: 21.01.2017. </w:t>
      </w:r>
    </w:p>
    <w:p w:rsidR="002C0F56" w:rsidRDefault="00E67C6E">
      <w:pPr>
        <w:numPr>
          <w:ilvl w:val="0"/>
          <w:numId w:val="36"/>
        </w:numPr>
        <w:spacing w:after="11" w:line="270" w:lineRule="auto"/>
        <w:ind w:right="868"/>
      </w:pPr>
      <w:r>
        <w:t xml:space="preserve">Малое и среднее предпринимательство в Республике Беларусь: </w:t>
      </w:r>
    </w:p>
    <w:p w:rsidR="002C0F56" w:rsidRDefault="00E67C6E">
      <w:pPr>
        <w:ind w:left="165" w:right="302" w:firstLine="0"/>
      </w:pPr>
      <w:r>
        <w:t xml:space="preserve">статистический сборник / Национальный статистический комитет Республики Беларусь. – Минск, 2016. – 368 стр. </w:t>
      </w:r>
    </w:p>
    <w:p w:rsidR="002C0F56" w:rsidRDefault="00E67C6E">
      <w:pPr>
        <w:numPr>
          <w:ilvl w:val="0"/>
          <w:numId w:val="36"/>
        </w:numPr>
        <w:spacing w:after="10"/>
        <w:ind w:right="868"/>
      </w:pPr>
      <w:r>
        <w:t>Распределение количества микроорганизаций и малых организаций по областя</w:t>
      </w:r>
      <w:r>
        <w:t xml:space="preserve">м и г.Минску за 2015 год [Электронный ресурс] / Национальный статистический комитет Республики Беларусь. – Минск, 2017 – Режим доступа: </w:t>
      </w:r>
      <w:hyperlink r:id="rId273">
        <w:r>
          <w:t>http://www.belstat.gov.by/ofitsialnaya</w:t>
        </w:r>
      </w:hyperlink>
      <w:hyperlink r:id="rId274">
        <w:r>
          <w:t>-</w:t>
        </w:r>
      </w:hyperlink>
      <w:hyperlink r:id="rId275">
        <w:r>
          <w:t>statistika/realny</w:t>
        </w:r>
      </w:hyperlink>
      <w:hyperlink r:id="rId276">
        <w:r>
          <w:t>-</w:t>
        </w:r>
      </w:hyperlink>
      <w:hyperlink r:id="rId277">
        <w:r>
          <w:t>sector</w:t>
        </w:r>
      </w:hyperlink>
      <w:hyperlink r:id="rId278">
        <w:r>
          <w:t>-</w:t>
        </w:r>
      </w:hyperlink>
      <w:hyperlink r:id="rId279">
        <w:r>
          <w:t>ekonomiki/maloe</w:t>
        </w:r>
      </w:hyperlink>
      <w:hyperlink r:id="rId280">
        <w:r>
          <w:t>-</w:t>
        </w:r>
      </w:hyperlink>
      <w:hyperlink r:id="rId281">
        <w:r>
          <w:t xml:space="preserve">pred </w:t>
        </w:r>
      </w:hyperlink>
      <w:hyperlink r:id="rId282">
        <w:r>
          <w:t>prinimatelstvo/graficheskii</w:t>
        </w:r>
      </w:hyperlink>
      <w:hyperlink r:id="rId283">
        <w:r>
          <w:t>-</w:t>
        </w:r>
      </w:hyperlink>
      <w:hyperlink r:id="rId284">
        <w:r>
          <w:t>material</w:t>
        </w:r>
      </w:hyperlink>
      <w:hyperlink r:id="rId285">
        <w:r>
          <w:t>-</w:t>
        </w:r>
      </w:hyperlink>
      <w:hyperlink r:id="rId286">
        <w:r>
          <w:t>grafiki</w:t>
        </w:r>
      </w:hyperlink>
      <w:hyperlink r:id="rId287">
        <w:r>
          <w:t>-</w:t>
        </w:r>
      </w:hyperlink>
      <w:hyperlink r:id="rId288">
        <w:r>
          <w:t>diagrammy_9/raspredelenie</w:t>
        </w:r>
      </w:hyperlink>
      <w:hyperlink r:id="rId289">
        <w:r>
          <w:t>-</w:t>
        </w:r>
      </w:hyperlink>
      <w:hyperlink r:id="rId290">
        <w:r>
          <w:t>kolichestva</w:t>
        </w:r>
      </w:hyperlink>
      <w:hyperlink r:id="rId291"/>
      <w:hyperlink r:id="rId292">
        <w:r>
          <w:t>mikroorganizatsii</w:t>
        </w:r>
      </w:hyperlink>
      <w:hyperlink r:id="rId293">
        <w:r>
          <w:t>-</w:t>
        </w:r>
      </w:hyperlink>
      <w:hyperlink r:id="rId294">
        <w:r>
          <w:t>i</w:t>
        </w:r>
      </w:hyperlink>
      <w:hyperlink r:id="rId295">
        <w:r>
          <w:t>-</w:t>
        </w:r>
      </w:hyperlink>
      <w:hyperlink r:id="rId296">
        <w:r>
          <w:t>malyh</w:t>
        </w:r>
      </w:hyperlink>
      <w:hyperlink r:id="rId297">
        <w:r>
          <w:t>-</w:t>
        </w:r>
      </w:hyperlink>
      <w:hyperlink r:id="rId298">
        <w:r>
          <w:t>organizatsii</w:t>
        </w:r>
      </w:hyperlink>
      <w:hyperlink r:id="rId299">
        <w:r>
          <w:t>-</w:t>
        </w:r>
      </w:hyperlink>
      <w:hyperlink r:id="rId300">
        <w:r>
          <w:t>po</w:t>
        </w:r>
      </w:hyperlink>
      <w:hyperlink r:id="rId301">
        <w:r>
          <w:t>-</w:t>
        </w:r>
      </w:hyperlink>
      <w:hyperlink r:id="rId302">
        <w:r>
          <w:t>oblastyam</w:t>
        </w:r>
      </w:hyperlink>
      <w:hyperlink r:id="rId303">
        <w:r>
          <w:t>-</w:t>
        </w:r>
      </w:hyperlink>
      <w:hyperlink r:id="rId304">
        <w:r>
          <w:t>i</w:t>
        </w:r>
      </w:hyperlink>
      <w:hyperlink r:id="rId305">
        <w:r>
          <w:t>-</w:t>
        </w:r>
      </w:hyperlink>
      <w:hyperlink r:id="rId306">
        <w:r>
          <w:t>g</w:t>
        </w:r>
      </w:hyperlink>
      <w:hyperlink r:id="rId307">
        <w:r>
          <w:t>-</w:t>
        </w:r>
      </w:hyperlink>
      <w:hyperlink r:id="rId308">
        <w:r>
          <w:t>minsku</w:t>
        </w:r>
      </w:hyperlink>
      <w:hyperlink r:id="rId309">
        <w:r>
          <w:t>-</w:t>
        </w:r>
      </w:hyperlink>
      <w:hyperlink r:id="rId310">
        <w:r>
          <w:t>za</w:t>
        </w:r>
      </w:hyperlink>
      <w:hyperlink r:id="rId311">
        <w:r>
          <w:t>-</w:t>
        </w:r>
      </w:hyperlink>
      <w:hyperlink r:id="rId312">
        <w:r>
          <w:t>2014</w:t>
        </w:r>
      </w:hyperlink>
      <w:hyperlink r:id="rId313">
        <w:r>
          <w:t>-</w:t>
        </w:r>
      </w:hyperlink>
      <w:hyperlink r:id="rId314">
        <w:r>
          <w:t>god/.</w:t>
        </w:r>
      </w:hyperlink>
      <w:r>
        <w:t xml:space="preserve"> Дата доступа: 26.01.2017. </w:t>
      </w:r>
    </w:p>
    <w:p w:rsidR="002C0F56" w:rsidRDefault="00E67C6E">
      <w:pPr>
        <w:numPr>
          <w:ilvl w:val="0"/>
          <w:numId w:val="36"/>
        </w:numPr>
        <w:ind w:right="868"/>
      </w:pPr>
      <w:r>
        <w:t>Тенденции развития малого и среднего бизнеса в Б</w:t>
      </w:r>
      <w:r>
        <w:t xml:space="preserve">еларуси [Электронный ресурс] / Исследовательский центр ИПМ – Минск, 2017. – Режим доступа: </w:t>
      </w:r>
      <w:hyperlink r:id="rId315">
        <w:r>
          <w:t>http://www.research.by/webroot/delivery/files/pdp2016r04.pdf</w:t>
        </w:r>
      </w:hyperlink>
      <w:hyperlink r:id="rId316">
        <w:r>
          <w:t>.</w:t>
        </w:r>
      </w:hyperlink>
      <w:r>
        <w:t xml:space="preserve"> Дата доступа: 27.01.2017. </w:t>
      </w:r>
    </w:p>
    <w:p w:rsidR="002C0F56" w:rsidRDefault="00E67C6E">
      <w:pPr>
        <w:numPr>
          <w:ilvl w:val="0"/>
          <w:numId w:val="36"/>
        </w:numPr>
        <w:spacing w:after="9"/>
        <w:ind w:right="868"/>
      </w:pPr>
      <w:r>
        <w:t xml:space="preserve">Государственная программа «Малое и среднее предпринимательство в Республике Беларусь» на 2016–2020 годы: Постановление Совета Министров Республики Беларусь от 23.02.2016 № </w:t>
      </w:r>
      <w:r>
        <w:t xml:space="preserve">149. </w:t>
      </w:r>
    </w:p>
    <w:p w:rsidR="002C0F56" w:rsidRDefault="00E67C6E">
      <w:pPr>
        <w:spacing w:after="0" w:line="259" w:lineRule="auto"/>
        <w:ind w:left="744" w:firstLine="0"/>
        <w:jc w:val="left"/>
      </w:pPr>
      <w:r>
        <w:t xml:space="preserve"> </w:t>
      </w:r>
    </w:p>
    <w:p w:rsidR="002C0F56" w:rsidRDefault="00E67C6E">
      <w:pPr>
        <w:spacing w:after="29" w:line="259" w:lineRule="auto"/>
        <w:ind w:left="744" w:firstLine="0"/>
        <w:jc w:val="left"/>
      </w:pPr>
      <w:r>
        <w:t xml:space="preserve"> </w:t>
      </w:r>
    </w:p>
    <w:p w:rsidR="002C0F56" w:rsidRDefault="00E67C6E">
      <w:pPr>
        <w:spacing w:after="25" w:line="259" w:lineRule="auto"/>
        <w:ind w:left="10" w:right="856" w:hanging="10"/>
        <w:jc w:val="right"/>
      </w:pPr>
      <w:r>
        <w:rPr>
          <w:b/>
        </w:rPr>
        <w:t xml:space="preserve">Бухал В.М., Карабань М.А. </w:t>
      </w:r>
    </w:p>
    <w:p w:rsidR="002C0F56" w:rsidRDefault="00E67C6E">
      <w:pPr>
        <w:spacing w:after="11" w:line="270" w:lineRule="auto"/>
        <w:ind w:left="10" w:right="862" w:hanging="10"/>
        <w:jc w:val="right"/>
      </w:pPr>
      <w:r>
        <w:t xml:space="preserve">Научный руководитель: Дорофеев В.Г., к.э.н., доц.  </w:t>
      </w:r>
    </w:p>
    <w:p w:rsidR="002C0F56" w:rsidRDefault="00E67C6E">
      <w:pPr>
        <w:spacing w:after="0" w:line="267" w:lineRule="auto"/>
        <w:ind w:left="905" w:right="860" w:hanging="10"/>
        <w:jc w:val="right"/>
      </w:pPr>
      <w:r>
        <w:rPr>
          <w:i/>
        </w:rPr>
        <w:lastRenderedPageBreak/>
        <w:t xml:space="preserve">Белорусский государственный экономический университет </w:t>
      </w:r>
    </w:p>
    <w:p w:rsidR="002C0F56" w:rsidRDefault="00E67C6E">
      <w:pPr>
        <w:spacing w:after="0" w:line="259" w:lineRule="auto"/>
        <w:ind w:left="744" w:firstLine="0"/>
        <w:jc w:val="left"/>
      </w:pPr>
      <w:r>
        <w:rPr>
          <w:i/>
        </w:rPr>
        <w:t xml:space="preserve"> </w:t>
      </w:r>
    </w:p>
    <w:p w:rsidR="002C0F56" w:rsidRDefault="00E67C6E">
      <w:pPr>
        <w:pStyle w:val="1"/>
        <w:spacing w:after="15" w:line="271" w:lineRule="auto"/>
        <w:ind w:left="201" w:right="0"/>
        <w:jc w:val="left"/>
      </w:pPr>
      <w:r>
        <w:t xml:space="preserve">АНАЛИЗ И ОЦЕНКА НАЛОГОВЫХ ДОХОДОВ РЕСПУБЛИКАНСКОГО </w:t>
      </w:r>
    </w:p>
    <w:p w:rsidR="002C0F56" w:rsidRDefault="00E67C6E">
      <w:pPr>
        <w:pStyle w:val="1"/>
        <w:ind w:left="700" w:right="1377"/>
      </w:pPr>
      <w:r>
        <w:t xml:space="preserve">БЮДЖЕТА РЕСПУБЛИКИ БЕЛАРУСЬ  </w:t>
      </w:r>
    </w:p>
    <w:p w:rsidR="002C0F56" w:rsidRDefault="00E67C6E">
      <w:pPr>
        <w:spacing w:after="0" w:line="259" w:lineRule="auto"/>
        <w:ind w:left="744" w:firstLine="0"/>
        <w:jc w:val="left"/>
      </w:pPr>
      <w:r>
        <w:rPr>
          <w:b/>
        </w:rPr>
        <w:t xml:space="preserve"> </w:t>
      </w:r>
    </w:p>
    <w:p w:rsidR="002C0F56" w:rsidRDefault="00E67C6E">
      <w:pPr>
        <w:spacing w:after="10"/>
        <w:ind w:left="165" w:right="867"/>
      </w:pPr>
      <w:r>
        <w:t>Налоги являются необходимым звеном экономических отношений в обществе с момента возникновения государства, развитие и изменения форм которого неизменно сопровождается преобразованием налоговой системы. В современном обществе налоги - основной источник дохо</w:t>
      </w:r>
      <w:r>
        <w:t xml:space="preserve">дов государства. Кроме этой чисто финансовой функции налоги используются для экономического воздействия государства на общественное производство, его динамику и структуру, на развитие научно-технического прогресса. </w:t>
      </w:r>
    </w:p>
    <w:p w:rsidR="002C0F56" w:rsidRDefault="00E67C6E">
      <w:pPr>
        <w:spacing w:after="0"/>
        <w:ind w:left="165" w:right="870"/>
      </w:pPr>
      <w:r>
        <w:t xml:space="preserve">Задача государства состоит в построении </w:t>
      </w:r>
      <w:r>
        <w:t xml:space="preserve">такой налоговой системы, которая бы обеспечивала финансовыми ресурсами все общественные издержки и при этом не нарушала предела изъятия средств у налогоплательщиков, определяющего возможности расширенного воспроизводства предпринимательского бизнеса. </w:t>
      </w:r>
    </w:p>
    <w:p w:rsidR="002C0F56" w:rsidRDefault="00E67C6E">
      <w:pPr>
        <w:ind w:left="165" w:right="868"/>
      </w:pPr>
      <w:r>
        <w:t>Дохо</w:t>
      </w:r>
      <w:r>
        <w:t>ды бюджета более чем на 80% формируются за счет налоговых поступлений. Одной из проблем формирования доходов консолидированного бюджета за 2015 г. является уменьшение темпа роста налоговых доходов, доля которых по сравнению с 2014 г. сократилась на 2,6 про</w:t>
      </w:r>
      <w:r>
        <w:t xml:space="preserve">центного пункта и составила 222,8 трлн. руб., или 83,6% доходов консолидированного бюджета за </w:t>
      </w:r>
    </w:p>
    <w:p w:rsidR="002C0F56" w:rsidRDefault="00E67C6E">
      <w:pPr>
        <w:spacing w:after="12"/>
        <w:ind w:left="165" w:right="302" w:firstLine="0"/>
      </w:pPr>
      <w:r>
        <w:t xml:space="preserve">2014 г. [1].   </w:t>
      </w:r>
    </w:p>
    <w:p w:rsidR="002C0F56" w:rsidRDefault="00E67C6E">
      <w:pPr>
        <w:ind w:left="165" w:right="869"/>
      </w:pPr>
      <w:r>
        <w:t>Среди налогов, уплачиваемых белорусскими организациями, наибольшую долю в доходах бюджета составляют НДС (24,8%), налог на прибыль (11,3%) и акци</w:t>
      </w:r>
      <w:r>
        <w:t xml:space="preserve">зы (9,7%). По сравнению с 2011 годом вес данных налогов в налоговых доходах бюджета незначительно уменьшился [1]. </w:t>
      </w:r>
    </w:p>
    <w:p w:rsidR="002C0F56" w:rsidRDefault="00E67C6E">
      <w:pPr>
        <w:ind w:left="165" w:right="867"/>
      </w:pPr>
      <w:r>
        <w:t>Рассматривая динамику налогов, уплачиваемых белорусскими организациями в бюджет, заметим, что наибольшее снижение удельного веса в ВВП произошло по группе налогов от выручки от реализации товаров (работ, услуг), на долю которых приходится около 75 % поступ</w:t>
      </w:r>
      <w:r>
        <w:t xml:space="preserve">лений всех налогов на товары (работы, услуги). Указанная группа включает налоги, взимаемые с оборотов по реализации товаров (работ, услуг), имущественных прав, независимо от страны происхождения товаров. </w:t>
      </w:r>
    </w:p>
    <w:p w:rsidR="002C0F56" w:rsidRDefault="00E67C6E">
      <w:pPr>
        <w:ind w:left="165" w:right="872"/>
      </w:pPr>
      <w:r>
        <w:t>Почти 93 % общих поступлений по рассматриваемой гру</w:t>
      </w:r>
      <w:r>
        <w:t xml:space="preserve">ппе сформировано за счет налога на добавленную стоимость. Темп роста поступлений НДС к 2014 г. составил 89,4 %, удельный вес в ВВП снизился с 9 % до 8,4 % [2]. </w:t>
      </w:r>
    </w:p>
    <w:p w:rsidR="002C0F56" w:rsidRDefault="00E67C6E">
      <w:pPr>
        <w:ind w:left="165" w:right="866"/>
      </w:pPr>
      <w:r>
        <w:t xml:space="preserve">Основой низкого темпа роста является сокращение на 11 % поступлений НДС, уплаченного при ввозе </w:t>
      </w:r>
      <w:r>
        <w:t xml:space="preserve">товаров на территорию Республики Беларусь, по </w:t>
      </w:r>
      <w:r>
        <w:lastRenderedPageBreak/>
        <w:t xml:space="preserve">сравнению с 2014 г. в связи с уменьшением в 2015 г. объема импорта товаров из государств — членов Евразийского экономического союза и других стран </w:t>
      </w:r>
    </w:p>
    <w:p w:rsidR="002C0F56" w:rsidRDefault="00E67C6E">
      <w:pPr>
        <w:spacing w:after="12"/>
        <w:ind w:left="165" w:right="302" w:firstLine="0"/>
      </w:pPr>
      <w:r>
        <w:t xml:space="preserve">[2]. </w:t>
      </w:r>
    </w:p>
    <w:p w:rsidR="002C0F56" w:rsidRDefault="00E67C6E">
      <w:pPr>
        <w:spacing w:after="4"/>
        <w:ind w:left="165" w:right="872"/>
      </w:pPr>
      <w:r>
        <w:t>Кроме того, определенное отрицательное влияние на динами</w:t>
      </w:r>
      <w:r>
        <w:t xml:space="preserve">ку поступлений НДС оказало снижение выручки в целом по республике, по данным Белстата, на 4,7 % [3].  </w:t>
      </w:r>
    </w:p>
    <w:p w:rsidR="002C0F56" w:rsidRDefault="00E67C6E">
      <w:pPr>
        <w:spacing w:after="11"/>
        <w:ind w:left="165" w:right="871"/>
      </w:pPr>
      <w:r>
        <w:t>Значительное снижение удельного веса в ВВП отмечено и по налогам на отдельные товары (продукцию), поступлениями которых сформировано 18,5% всех налогов н</w:t>
      </w:r>
      <w:r>
        <w:t xml:space="preserve">а товары (работы, услуги). </w:t>
      </w:r>
    </w:p>
    <w:p w:rsidR="002C0F56" w:rsidRDefault="00E67C6E">
      <w:pPr>
        <w:spacing w:after="0"/>
        <w:ind w:left="165" w:right="871"/>
      </w:pPr>
      <w:r>
        <w:t>В состав налогов на отдельные товары (продукцию) включены акцизы, уплачиваемые организациями и индивидуальными предпринимателями, производящими подакцизную продукцию, осуществляющими ввоз на территорию Республики Беларусь и (или</w:t>
      </w:r>
      <w:r>
        <w:t xml:space="preserve">) реализацию ввезенных на территорию нашей страны подакцизных товаров, а также плата за акцизные марки. </w:t>
      </w:r>
    </w:p>
    <w:p w:rsidR="002C0F56" w:rsidRDefault="00E67C6E">
      <w:pPr>
        <w:ind w:left="165" w:right="866"/>
      </w:pPr>
      <w:r>
        <w:t>Сокращение удельного веса в ВВП по указанной группе непосредственно связано с падением доли акцизов на автомобильное топливо, за счет которых сформиров</w:t>
      </w:r>
      <w:r>
        <w:t>ано более четверти всех налогов на отдельные товары (продукцию). Основная причина сложившейся динамики (темп роста — 54,1 %) заключается в уменьшении в 2015 г. по сравнению с предыдущим годом размера ставок акцизов на бензин и дизельное топливо, а также со</w:t>
      </w:r>
      <w:r>
        <w:t xml:space="preserve">кращении в среднем на 24 % объемов реализации нефтепродуктов на территории Республики Беларусь [2]. </w:t>
      </w:r>
    </w:p>
    <w:p w:rsidR="002C0F56" w:rsidRDefault="00E67C6E">
      <w:pPr>
        <w:spacing w:after="13"/>
        <w:ind w:left="165" w:right="865"/>
      </w:pPr>
      <w:r>
        <w:t>Наибольшую долю в группе сборов за пользование товарами (разрешения на их использование), осуществление деятельности, которые взимаются единовременно или к</w:t>
      </w:r>
      <w:r>
        <w:t>аждый раз, когда используются товары либо возникает необходимость осуществления определенной деятельности — свыше 75 % занимает налог за добычу (изъятие) природных ресурсов. Поступления этого налога выросли более чем на 28 % за счет увеличения средневзвеше</w:t>
      </w:r>
      <w:r>
        <w:t>нной цены за 1 тонну реализации калийных удобрений на внутреннем рынке и при экспорте в среднем на 34,5 %, а также повышения ставок налога за добычу (изъятие) природных ресурсов в отношении соли калийной. В результате удельный вес в ВВП данного налога увел</w:t>
      </w:r>
      <w:r>
        <w:t xml:space="preserve">ичился с 0,4 % до 0,6 % [2]. </w:t>
      </w:r>
    </w:p>
    <w:p w:rsidR="002C0F56" w:rsidRDefault="00E67C6E">
      <w:pPr>
        <w:spacing w:after="4"/>
        <w:ind w:left="165" w:right="869"/>
      </w:pPr>
      <w:r>
        <w:t xml:space="preserve">Вместе с тем небольшое снижение удельного веса в ВВП экологического налога (темп роста — 75,1 %) вследствие уменьшения субъектами хозяйствования объемов отходов производства, сбросов сточных вод, выбросов загрязняющих веществ </w:t>
      </w:r>
      <w:r>
        <w:t xml:space="preserve">в окружающую среду способствовало сдерживанию роста доли в ВВП сборов за пользование товарами (разрешения на их использование), осуществление деятельности. </w:t>
      </w:r>
    </w:p>
    <w:p w:rsidR="002C0F56" w:rsidRDefault="00E67C6E">
      <w:pPr>
        <w:ind w:left="165" w:right="868"/>
      </w:pPr>
      <w:r>
        <w:t>К группе налогов и сборов на отдельные виды деятельности относятся платежи, взимаемые с организаций</w:t>
      </w:r>
      <w:r>
        <w:t xml:space="preserve"> и индивидуальных предпринимателей, </w:t>
      </w:r>
      <w:r>
        <w:lastRenderedPageBreak/>
        <w:t xml:space="preserve">осуществляющих отдельные виды деятельности либо оказывающих отдельные виды услуг, которые в соответствии с законодательством являются объектами налогообложения. </w:t>
      </w:r>
    </w:p>
    <w:p w:rsidR="002C0F56" w:rsidRDefault="00E67C6E">
      <w:pPr>
        <w:ind w:left="165" w:right="868"/>
      </w:pPr>
      <w:r>
        <w:t>Более 80 % всех поступлений данной группы обеспечивает нал</w:t>
      </w:r>
      <w:r>
        <w:t>ог на игорный бизнес. Его темп роста составил 88,5 %, а удельный вес в ВВП остался неизменным — 0,05 %. На замедление темпа роста повлияли уменьшение в среднем на 14 % количества объектов налогообложения (столы, игровые автоматы) и отставание темпа роста р</w:t>
      </w:r>
      <w:r>
        <w:t xml:space="preserve">азмера ставок налога на игорный бизнес по отношению к уровню инфляции [2]. </w:t>
      </w:r>
    </w:p>
    <w:p w:rsidR="002C0F56" w:rsidRDefault="00E67C6E">
      <w:pPr>
        <w:ind w:left="165" w:right="865"/>
      </w:pPr>
      <w:r>
        <w:t xml:space="preserve">Причиной сокращения поступлений по единому налогу на вмененный доход явилось снижение почти на 9 % количества плательщиков, применяющих данный режим налогообложения, хотя удельный </w:t>
      </w:r>
      <w:r>
        <w:t xml:space="preserve">вес в ВВП сохранился на уровне 2014 г. </w:t>
      </w:r>
    </w:p>
    <w:p w:rsidR="002C0F56" w:rsidRDefault="00E67C6E">
      <w:pPr>
        <w:ind w:left="165" w:right="865"/>
      </w:pPr>
      <w:r>
        <w:t>Почти 36% всех налогов на доходы и прибыль сформировано за счет налога на прибыль, темп роста которого составил 93,8 %, а удельный вес в ВВП снизился на 0,1 процентного пункта. Снижение поступлений обусловлено нестаб</w:t>
      </w:r>
      <w:r>
        <w:t>ильным финансовым состоянием плательщиков. По данным Белстата, сумма прибыли до налогообложения в целом по республике снизилась на 30 %, число убыточных организаций выросло в 1,5 раза, и их доля в общем количестве организаций увеличилась с 13 % до 20 % [2]</w:t>
      </w:r>
      <w:r>
        <w:t xml:space="preserve">. </w:t>
      </w:r>
    </w:p>
    <w:p w:rsidR="002C0F56" w:rsidRDefault="00E67C6E">
      <w:pPr>
        <w:spacing w:after="13"/>
        <w:ind w:left="165" w:right="864"/>
      </w:pPr>
      <w:r>
        <w:t xml:space="preserve">Около 66 % всех поступлений группы налогов на собственность занимает налог на недвижимость, в том числе уплаченный по объектам сверхнормативного незавершенного строительства, его темп роста составил 102,5 </w:t>
      </w:r>
      <w:r>
        <w:t xml:space="preserve">%, а удельный вес в ВВП сохранился неизменным на уровне 0,9 % [2]. Оставшиеся 34 % приходятся на поступления земельного налога, его доля в ВВП выросла с 0,4 % до 0,5 %, темп роста поступлений составил 128,7 % [2]. </w:t>
      </w:r>
    </w:p>
    <w:p w:rsidR="002C0F56" w:rsidRDefault="00E67C6E">
      <w:pPr>
        <w:ind w:left="165" w:right="866"/>
      </w:pPr>
      <w:r>
        <w:t>Положительная динамика поступлений имущес</w:t>
      </w:r>
      <w:r>
        <w:t>твенных налогов связана с предоставлением с 2015 г. местным Советам депутатов права увеличивать (уменьшать) размер ставок налогов, но не более чем в 2,5 раза (в 2014 г. —не более чем в 2 раза), а также ростом на 17,5 % количества организаций — плательщиков</w:t>
      </w:r>
      <w:r>
        <w:t xml:space="preserve"> земельного налога. Кроме того, существенно повышен (с 0,55 % до 3 %) размер ставки земельного налога для организаций, имеющих земельные участки, предоставленные для размещения игорных заведений [2]. </w:t>
      </w:r>
    </w:p>
    <w:p w:rsidR="002C0F56" w:rsidRDefault="00E67C6E">
      <w:pPr>
        <w:ind w:left="165" w:right="419"/>
      </w:pPr>
      <w:r>
        <w:t>Динамика сборов с заготовителей непостоянна, по сравнен</w:t>
      </w:r>
      <w:r>
        <w:t xml:space="preserve">ию с 2014 годом его поступления в бюджет увеличились на 4,5% [1]. </w:t>
      </w:r>
    </w:p>
    <w:p w:rsidR="002C0F56" w:rsidRDefault="00E67C6E">
      <w:pPr>
        <w:spacing w:after="0"/>
        <w:ind w:left="165" w:right="869"/>
      </w:pPr>
      <w:r>
        <w:t>В 2015 году крупными плательщиками, признанными таковыми в соответствии со статьей 64-1 Налогового кодекса Республики Беларусь, уплачено 64,6 трлн. рублей, что составляет 33,5 процента дохо</w:t>
      </w:r>
      <w:r>
        <w:t xml:space="preserve">дов бюджета, контролируемых налоговыми органами. По сравнению с 2014 годом </w:t>
      </w:r>
      <w:r>
        <w:lastRenderedPageBreak/>
        <w:t xml:space="preserve">поступления выросли на 2,5 процента, или на 1,6 трлн. рублей, в сопоставимых ценах, а их удельный вес в доходах бюджета возрос на 1,2 процентного пункта </w:t>
      </w:r>
    </w:p>
    <w:p w:rsidR="002C0F56" w:rsidRDefault="00E67C6E">
      <w:pPr>
        <w:spacing w:after="12"/>
        <w:ind w:left="165" w:right="302" w:firstLine="0"/>
      </w:pPr>
      <w:r>
        <w:t xml:space="preserve">[4]. </w:t>
      </w:r>
    </w:p>
    <w:p w:rsidR="002C0F56" w:rsidRDefault="00E67C6E">
      <w:pPr>
        <w:spacing w:after="0"/>
        <w:ind w:left="165" w:right="871"/>
      </w:pPr>
      <w:r>
        <w:t>Из всего вышесказанно</w:t>
      </w:r>
      <w:r>
        <w:t>го можно сделать вывод, что в Республике Беларусь на 2015 год удельный вес налоговых доходов в доходах бюджета составил 81,4%. Среди налогов, уплачиваемых белорусскими организациями, наибольшую долю в доходах бюджета составляют НДС (24,8%), налог на прибыл</w:t>
      </w:r>
      <w:r>
        <w:t xml:space="preserve">ь (11,3%) и акцизы (9,7%). </w:t>
      </w:r>
    </w:p>
    <w:p w:rsidR="002C0F56" w:rsidRDefault="00E67C6E">
      <w:pPr>
        <w:spacing w:after="9"/>
        <w:ind w:left="165" w:right="873"/>
      </w:pPr>
      <w:r>
        <w:t xml:space="preserve">Практически по всем налогам в 2015 году наблюдается снижение темпов роста, что обуславливается определёнными для каждого вида налогов причинами. </w:t>
      </w:r>
    </w:p>
    <w:p w:rsidR="002C0F56" w:rsidRDefault="00E67C6E">
      <w:pPr>
        <w:ind w:left="165" w:right="302"/>
      </w:pPr>
      <w:r>
        <w:t>Для увеличения темпов роста налоговых доходов необходимо преодолеть кризисные ситу</w:t>
      </w:r>
      <w:r>
        <w:t xml:space="preserve">ации в экономике Республики Беларусь, что позволит: </w:t>
      </w:r>
    </w:p>
    <w:p w:rsidR="002C0F56" w:rsidRDefault="00E67C6E">
      <w:pPr>
        <w:numPr>
          <w:ilvl w:val="0"/>
          <w:numId w:val="37"/>
        </w:numPr>
        <w:ind w:right="302"/>
      </w:pPr>
      <w:r>
        <w:t xml:space="preserve">уменьшить число убыточных организаций, что приведет к увеличению числа плательщиков налогов; </w:t>
      </w:r>
    </w:p>
    <w:p w:rsidR="002C0F56" w:rsidRDefault="00E67C6E">
      <w:pPr>
        <w:numPr>
          <w:ilvl w:val="0"/>
          <w:numId w:val="37"/>
        </w:numPr>
        <w:ind w:right="302"/>
      </w:pPr>
      <w:r>
        <w:t>увеличить выручку не только отдельных организаций, но и выручу в целом по республике за счет выхода организац</w:t>
      </w:r>
      <w:r>
        <w:t xml:space="preserve">ий из нестабильного финансового состояния; </w:t>
      </w:r>
    </w:p>
    <w:p w:rsidR="002C0F56" w:rsidRDefault="00E67C6E">
      <w:pPr>
        <w:numPr>
          <w:ilvl w:val="0"/>
          <w:numId w:val="37"/>
        </w:numPr>
        <w:ind w:right="302"/>
      </w:pPr>
      <w:r>
        <w:t xml:space="preserve">увеличить объем импорта товаров из-за границы, в частности из государств — членов Евразийского экономического союза. </w:t>
      </w:r>
    </w:p>
    <w:p w:rsidR="002C0F56" w:rsidRDefault="00E67C6E">
      <w:pPr>
        <w:numPr>
          <w:ilvl w:val="0"/>
          <w:numId w:val="37"/>
        </w:numPr>
        <w:ind w:right="302"/>
      </w:pPr>
      <w:r>
        <w:t xml:space="preserve">увеличить объем реализации нефтепродуктов на территории Республики Беларусь.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38"/>
        </w:numPr>
        <w:spacing w:after="8"/>
        <w:ind w:right="864"/>
      </w:pPr>
      <w:r>
        <w:t xml:space="preserve">Доходы бюджета. [Электронный ресурс]: Министерство по налогам и сборам Республики Беларусь. – Режим доступа: http://www.nalog.gov.by/ru/dohod-budget-ru/. – Дата доступа: 05.04.2017.  </w:t>
      </w:r>
    </w:p>
    <w:p w:rsidR="002C0F56" w:rsidRDefault="00E67C6E">
      <w:pPr>
        <w:numPr>
          <w:ilvl w:val="0"/>
          <w:numId w:val="38"/>
        </w:numPr>
        <w:ind w:right="864"/>
      </w:pPr>
      <w:r>
        <w:t>Налоговая нагрузка на экономику. [Электронный ресурс</w:t>
      </w:r>
      <w:r>
        <w:t>]: Министерство по налогам и сборам Республики Беларусь. – Режим доступа:</w:t>
      </w:r>
      <w:hyperlink r:id="rId317">
        <w:r>
          <w:t xml:space="preserve"> </w:t>
        </w:r>
      </w:hyperlink>
      <w:hyperlink r:id="rId318">
        <w:r>
          <w:t>http://www.nalog.gov.by/ru/nalog</w:t>
        </w:r>
      </w:hyperlink>
      <w:hyperlink r:id="rId319">
        <w:r>
          <w:t>-</w:t>
        </w:r>
      </w:hyperlink>
      <w:hyperlink r:id="rId320">
        <w:r>
          <w:t>nagruzka</w:t>
        </w:r>
      </w:hyperlink>
      <w:hyperlink r:id="rId321">
        <w:r>
          <w:t>-</w:t>
        </w:r>
      </w:hyperlink>
      <w:hyperlink r:id="rId322">
        <w:r>
          <w:t>economica</w:t>
        </w:r>
      </w:hyperlink>
      <w:hyperlink r:id="rId323">
        <w:r>
          <w:t>-</w:t>
        </w:r>
      </w:hyperlink>
      <w:hyperlink r:id="rId324">
        <w:r>
          <w:t>ru/</w:t>
        </w:r>
      </w:hyperlink>
      <w:hyperlink r:id="rId325">
        <w:r>
          <w:t>.</w:t>
        </w:r>
      </w:hyperlink>
      <w:r>
        <w:t xml:space="preserve"> – Дата дост</w:t>
      </w:r>
      <w:r>
        <w:t xml:space="preserve">упа: 05.04.2017.  </w:t>
      </w:r>
    </w:p>
    <w:p w:rsidR="002C0F56" w:rsidRDefault="00E67C6E">
      <w:pPr>
        <w:numPr>
          <w:ilvl w:val="0"/>
          <w:numId w:val="38"/>
        </w:numPr>
        <w:ind w:right="864"/>
      </w:pPr>
      <w:r>
        <w:t>Финансовые результаты работы организаций. [Электронный ресурс]: Национальный статистический комитет Республики Беларусь. – 1998-2016. – Режим доступа:</w:t>
      </w:r>
      <w:hyperlink r:id="rId326">
        <w:r>
          <w:t xml:space="preserve"> </w:t>
        </w:r>
      </w:hyperlink>
      <w:hyperlink r:id="rId327">
        <w:r>
          <w:t>http://www.belstat.gov.by/ofitsialnaya</w:t>
        </w:r>
      </w:hyperlink>
      <w:hyperlink r:id="rId328">
        <w:r>
          <w:t>-</w:t>
        </w:r>
      </w:hyperlink>
      <w:hyperlink r:id="rId329">
        <w:r>
          <w:t>statistika/mak..</w:t>
        </w:r>
      </w:hyperlink>
      <w:hyperlink r:id="rId330">
        <w:r>
          <w:t>.</w:t>
        </w:r>
      </w:hyperlink>
      <w:r>
        <w:t xml:space="preserve"> – Дата доступа: 05.04.2017. </w:t>
      </w:r>
    </w:p>
    <w:p w:rsidR="002C0F56" w:rsidRDefault="00E67C6E">
      <w:pPr>
        <w:numPr>
          <w:ilvl w:val="0"/>
          <w:numId w:val="38"/>
        </w:numPr>
        <w:spacing w:after="4"/>
        <w:ind w:right="864"/>
      </w:pPr>
      <w:r>
        <w:t>Об участии крупных плательщиков в формировании доходов бюджета за 2015 год. [Электронный ресурс]: Министерство по налогам и сборам</w:t>
      </w:r>
      <w:r>
        <w:t xml:space="preserve"> Республики Беларусь. – Режим доступа:</w:t>
      </w:r>
      <w:hyperlink r:id="rId331">
        <w:r>
          <w:t xml:space="preserve"> </w:t>
        </w:r>
      </w:hyperlink>
      <w:hyperlink r:id="rId332">
        <w:r>
          <w:t>http://www.nalog.gov.by/ru/krupnie</w:t>
        </w:r>
      </w:hyperlink>
      <w:hyperlink r:id="rId333"/>
      <w:hyperlink r:id="rId334">
        <w:r>
          <w:t>platelschiki/view/..</w:t>
        </w:r>
      </w:hyperlink>
      <w:hyperlink r:id="rId335">
        <w:r>
          <w:t>.</w:t>
        </w:r>
      </w:hyperlink>
      <w:r>
        <w:t xml:space="preserve"> – Дата доступа: 06.04.2017.  </w:t>
      </w:r>
    </w:p>
    <w:p w:rsidR="002C0F56" w:rsidRDefault="00E67C6E">
      <w:pPr>
        <w:spacing w:after="29" w:line="259" w:lineRule="auto"/>
        <w:ind w:left="744" w:firstLine="0"/>
        <w:jc w:val="left"/>
      </w:pPr>
      <w:r>
        <w:lastRenderedPageBreak/>
        <w:t xml:space="preserve"> </w:t>
      </w:r>
    </w:p>
    <w:p w:rsidR="002C0F56" w:rsidRDefault="00E67C6E">
      <w:pPr>
        <w:pStyle w:val="1"/>
        <w:spacing w:after="25" w:line="259" w:lineRule="auto"/>
        <w:ind w:right="856"/>
        <w:jc w:val="right"/>
      </w:pPr>
      <w:r>
        <w:t xml:space="preserve">Ванкович В.А., Лавриянец М.Е. </w:t>
      </w:r>
      <w:r>
        <w:rPr>
          <w:b w:val="0"/>
        </w:rPr>
        <w:t xml:space="preserve">Научный руководитель: Дорофеев В.Г., к.э.н., доц.  </w:t>
      </w:r>
    </w:p>
    <w:p w:rsidR="002C0F56" w:rsidRDefault="00E67C6E">
      <w:pPr>
        <w:spacing w:after="0" w:line="267" w:lineRule="auto"/>
        <w:ind w:left="905" w:right="860" w:hanging="10"/>
        <w:jc w:val="right"/>
      </w:pPr>
      <w:r>
        <w:rPr>
          <w:i/>
        </w:rPr>
        <w:t>Белорусский государственны</w:t>
      </w:r>
      <w:r>
        <w:rPr>
          <w:i/>
        </w:rPr>
        <w:t>й экономический университет</w:t>
      </w:r>
      <w:r>
        <w:rPr>
          <w:b/>
        </w:rPr>
        <w:t xml:space="preserve"> </w:t>
      </w:r>
    </w:p>
    <w:p w:rsidR="002C0F56" w:rsidRDefault="00E67C6E">
      <w:pPr>
        <w:spacing w:after="0" w:line="259" w:lineRule="auto"/>
        <w:ind w:left="744" w:firstLine="0"/>
        <w:jc w:val="left"/>
      </w:pPr>
      <w:r>
        <w:t xml:space="preserve"> </w:t>
      </w:r>
    </w:p>
    <w:p w:rsidR="002C0F56" w:rsidRDefault="00E67C6E">
      <w:pPr>
        <w:pStyle w:val="1"/>
        <w:spacing w:after="15" w:line="271" w:lineRule="auto"/>
        <w:ind w:left="490" w:right="0" w:hanging="192"/>
        <w:jc w:val="left"/>
      </w:pPr>
      <w:r>
        <w:t xml:space="preserve">ПОДХОДЫ И МЕТОДЫ ОЦЕНКИ ЭФФЕКТИВНОСТИ БЮДЖЕТНЫХ РАСХОДОВ НА ЗДРАВООХРАНЕНИЕ В РЕСПУБЛИКЕ БЕЛАРУСЬ </w:t>
      </w:r>
    </w:p>
    <w:p w:rsidR="002C0F56" w:rsidRDefault="00E67C6E">
      <w:pPr>
        <w:spacing w:after="0" w:line="259" w:lineRule="auto"/>
        <w:ind w:left="744" w:firstLine="0"/>
        <w:jc w:val="left"/>
      </w:pPr>
      <w:r>
        <w:rPr>
          <w:b/>
        </w:rPr>
        <w:t xml:space="preserve"> </w:t>
      </w:r>
    </w:p>
    <w:p w:rsidR="002C0F56" w:rsidRDefault="00E67C6E">
      <w:pPr>
        <w:spacing w:after="8"/>
        <w:ind w:left="165" w:right="864"/>
      </w:pPr>
      <w:r>
        <w:t>Здравоохранение занимает исключительное место в социально ориентированной рыночной экономике. Именно здесь производятся общественно потребляемые блага — медицинские услуги. Состояние здоровья населения является интегральным показателем социальной ориентиро</w:t>
      </w:r>
      <w:r>
        <w:t>ванности государства, отражающим степень его ответственности перед своими гражданами [1]. В настоящее время основными параметрами, характеризующими развитие здравоохранения в Беларуси, являются количественные показатели. При этом наблюдается снижение их зн</w:t>
      </w:r>
      <w:r>
        <w:t>ачений. Как видно из таблицы 1, за 2011–2015 гг. число больничных организаций снизилось на 21, в расчёте на 10 000 человек населения число больничных коек сократилось на 4,7 единиц, среднее число дней занятости койки уменьшилось на 2,8 дня, длительность дн</w:t>
      </w:r>
      <w:r>
        <w:t>ей пребывания больного на койке – на 0,6 дня.</w:t>
      </w:r>
      <w:r>
        <w:rPr>
          <w:b/>
        </w:rPr>
        <w:t xml:space="preserve"> </w:t>
      </w:r>
    </w:p>
    <w:p w:rsidR="002C0F56" w:rsidRDefault="00E67C6E">
      <w:pPr>
        <w:spacing w:after="26" w:line="259" w:lineRule="auto"/>
        <w:ind w:left="0" w:right="627" w:firstLine="0"/>
        <w:jc w:val="center"/>
      </w:pPr>
      <w:r>
        <w:rPr>
          <w:i/>
          <w:sz w:val="24"/>
        </w:rPr>
        <w:t xml:space="preserve"> </w:t>
      </w:r>
    </w:p>
    <w:p w:rsidR="002C0F56" w:rsidRDefault="00E67C6E">
      <w:pPr>
        <w:spacing w:after="5" w:line="271" w:lineRule="auto"/>
        <w:ind w:left="4290" w:right="396" w:hanging="4040"/>
        <w:jc w:val="left"/>
      </w:pPr>
      <w:r>
        <w:rPr>
          <w:i/>
          <w:sz w:val="24"/>
        </w:rPr>
        <w:t xml:space="preserve">Таблица 1 – </w:t>
      </w:r>
      <w:r>
        <w:rPr>
          <w:b/>
          <w:sz w:val="24"/>
        </w:rPr>
        <w:t>Основные показатели развития здравоохранения в Республике Беларусь за 2011–2015 гг.</w:t>
      </w:r>
      <w:r>
        <w:rPr>
          <w:sz w:val="24"/>
        </w:rPr>
        <w:t xml:space="preserve"> </w:t>
      </w:r>
    </w:p>
    <w:tbl>
      <w:tblPr>
        <w:tblStyle w:val="TableGrid"/>
        <w:tblW w:w="9856" w:type="dxa"/>
        <w:tblInd w:w="72" w:type="dxa"/>
        <w:tblCellMar>
          <w:top w:w="14" w:type="dxa"/>
          <w:left w:w="108" w:type="dxa"/>
          <w:bottom w:w="0" w:type="dxa"/>
          <w:right w:w="48" w:type="dxa"/>
        </w:tblCellMar>
        <w:tblLook w:val="04A0" w:firstRow="1" w:lastRow="0" w:firstColumn="1" w:lastColumn="0" w:noHBand="0" w:noVBand="1"/>
      </w:tblPr>
      <w:tblGrid>
        <w:gridCol w:w="3761"/>
        <w:gridCol w:w="1217"/>
        <w:gridCol w:w="1222"/>
        <w:gridCol w:w="1219"/>
        <w:gridCol w:w="1220"/>
        <w:gridCol w:w="1217"/>
      </w:tblGrid>
      <w:tr w:rsidR="002C0F56">
        <w:trPr>
          <w:trHeight w:val="286"/>
        </w:trPr>
        <w:tc>
          <w:tcPr>
            <w:tcW w:w="3762"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Показатели</w:t>
            </w:r>
            <w:r>
              <w:rPr>
                <w:b/>
                <w:sz w:val="24"/>
              </w:rPr>
              <w:t xml:space="preserve"> </w:t>
            </w:r>
          </w:p>
        </w:tc>
        <w:tc>
          <w:tcPr>
            <w:tcW w:w="2439" w:type="dxa"/>
            <w:gridSpan w:val="2"/>
            <w:tcBorders>
              <w:top w:val="single" w:sz="4" w:space="0" w:color="000000"/>
              <w:left w:val="single" w:sz="4" w:space="0" w:color="000000"/>
              <w:bottom w:val="single" w:sz="4" w:space="0" w:color="000000"/>
              <w:right w:val="nil"/>
            </w:tcBorders>
          </w:tcPr>
          <w:p w:rsidR="002C0F56" w:rsidRDefault="00E67C6E">
            <w:pPr>
              <w:spacing w:after="0" w:line="259" w:lineRule="auto"/>
              <w:ind w:left="0" w:firstLine="0"/>
              <w:jc w:val="left"/>
            </w:pPr>
            <w:r>
              <w:rPr>
                <w:sz w:val="24"/>
              </w:rPr>
              <w:t>Год</w:t>
            </w:r>
            <w:r>
              <w:rPr>
                <w:b/>
                <w:sz w:val="24"/>
              </w:rPr>
              <w:t xml:space="preserve"> </w:t>
            </w:r>
          </w:p>
        </w:tc>
        <w:tc>
          <w:tcPr>
            <w:tcW w:w="1219"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220"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21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2011</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2012</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2013</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2014</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2015</w:t>
            </w:r>
            <w:r>
              <w:rPr>
                <w:b/>
                <w:sz w:val="24"/>
              </w:rPr>
              <w:t xml:space="preserve"> </w:t>
            </w:r>
          </w:p>
        </w:tc>
      </w:tr>
      <w:tr w:rsidR="002C0F56">
        <w:trPr>
          <w:trHeight w:val="293"/>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Число больничных организаций</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644</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639</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632</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626</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623</w:t>
            </w:r>
            <w:r>
              <w:rPr>
                <w:b/>
                <w:sz w:val="24"/>
              </w:rPr>
              <w:t xml:space="preserve"> </w:t>
            </w:r>
          </w:p>
        </w:tc>
      </w:tr>
      <w:tr w:rsidR="002C0F56">
        <w:trPr>
          <w:trHeight w:val="290"/>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Число больничных коек </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106585</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106640</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104558</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102917</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102465</w:t>
            </w:r>
            <w:r>
              <w:rPr>
                <w:b/>
                <w:sz w:val="24"/>
              </w:rPr>
              <w:t xml:space="preserve"> </w:t>
            </w:r>
          </w:p>
        </w:tc>
      </w:tr>
      <w:tr w:rsidR="002C0F56">
        <w:trPr>
          <w:trHeight w:val="571"/>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Число больничных коек на 10 000 населения</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112,6</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112,7</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110,4</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108,6</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107,9</w:t>
            </w:r>
            <w:r>
              <w:rPr>
                <w:b/>
                <w:sz w:val="24"/>
              </w:rPr>
              <w:t xml:space="preserve"> </w:t>
            </w:r>
          </w:p>
        </w:tc>
      </w:tr>
      <w:tr w:rsidR="002C0F56">
        <w:trPr>
          <w:trHeight w:val="574"/>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Среднее число дней занятости койки в стационарах </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326,4 </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330,8</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329,0</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326,5</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323,6</w:t>
            </w:r>
            <w:r>
              <w:rPr>
                <w:b/>
                <w:sz w:val="24"/>
              </w:rPr>
              <w:t xml:space="preserve"> </w:t>
            </w:r>
          </w:p>
        </w:tc>
      </w:tr>
      <w:tr w:rsidR="002C0F56">
        <w:trPr>
          <w:trHeight w:val="562"/>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Длительность дней пребывания больного в стационаре</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11,3 </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11,3</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11,2</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11,1</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10,7</w:t>
            </w:r>
            <w:r>
              <w:rPr>
                <w:b/>
                <w:sz w:val="24"/>
              </w:rPr>
              <w:t xml:space="preserve"> </w:t>
            </w:r>
          </w:p>
        </w:tc>
      </w:tr>
      <w:tr w:rsidR="002C0F56">
        <w:trPr>
          <w:trHeight w:val="562"/>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3606"/>
              </w:tabs>
              <w:spacing w:after="29" w:line="259" w:lineRule="auto"/>
              <w:ind w:left="0" w:firstLine="0"/>
              <w:jc w:val="left"/>
            </w:pPr>
            <w:r>
              <w:rPr>
                <w:sz w:val="24"/>
              </w:rPr>
              <w:t xml:space="preserve">Число </w:t>
            </w:r>
            <w:r>
              <w:rPr>
                <w:sz w:val="24"/>
              </w:rPr>
              <w:tab/>
              <w:t>амбулаторно-</w:t>
            </w:r>
          </w:p>
          <w:p w:rsidR="002C0F56" w:rsidRDefault="00E67C6E">
            <w:pPr>
              <w:spacing w:after="0" w:line="259" w:lineRule="auto"/>
              <w:ind w:left="0" w:firstLine="0"/>
              <w:jc w:val="left"/>
            </w:pPr>
            <w:r>
              <w:rPr>
                <w:sz w:val="24"/>
              </w:rPr>
              <w:t>поликлинических организаций</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1438</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1451</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1146</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1459</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1414</w:t>
            </w:r>
            <w:r>
              <w:rPr>
                <w:b/>
                <w:sz w:val="24"/>
              </w:rPr>
              <w:t xml:space="preserve"> </w:t>
            </w:r>
          </w:p>
        </w:tc>
      </w:tr>
      <w:tr w:rsidR="002C0F56">
        <w:trPr>
          <w:trHeight w:val="838"/>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5" w:firstLine="0"/>
            </w:pPr>
            <w:r>
              <w:rPr>
                <w:sz w:val="24"/>
              </w:rPr>
              <w:t>Число посещений врачей на амбулаторном приеме и врачами на дому</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127453</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125133 </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124543</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124113</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126622</w:t>
            </w:r>
            <w:r>
              <w:rPr>
                <w:b/>
                <w:sz w:val="24"/>
              </w:rPr>
              <w:t xml:space="preserve"> </w:t>
            </w:r>
          </w:p>
        </w:tc>
      </w:tr>
      <w:tr w:rsidR="002C0F56">
        <w:trPr>
          <w:trHeight w:val="838"/>
        </w:trPr>
        <w:tc>
          <w:tcPr>
            <w:tcW w:w="37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4" w:firstLine="0"/>
            </w:pPr>
            <w:r>
              <w:rPr>
                <w:sz w:val="24"/>
              </w:rPr>
              <w:lastRenderedPageBreak/>
              <w:t>Число посещений врачей на амбулаторном приеме и врачами на дому на 1 жителя</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13,4</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13,2 </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13,2</w:t>
            </w:r>
            <w:r>
              <w:rPr>
                <w:b/>
                <w:sz w:val="24"/>
              </w:rPr>
              <w:t xml:space="preserve">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13,1</w:t>
            </w:r>
            <w:r>
              <w:rPr>
                <w:b/>
                <w:sz w:val="24"/>
              </w:rPr>
              <w:t xml:space="preserve"> </w:t>
            </w:r>
          </w:p>
        </w:tc>
        <w:tc>
          <w:tcPr>
            <w:tcW w:w="121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13,3</w:t>
            </w:r>
            <w:r>
              <w:rPr>
                <w:b/>
                <w:sz w:val="24"/>
              </w:rPr>
              <w:t xml:space="preserve"> </w:t>
            </w:r>
          </w:p>
        </w:tc>
      </w:tr>
    </w:tbl>
    <w:p w:rsidR="002C0F56" w:rsidRDefault="00E67C6E">
      <w:pPr>
        <w:spacing w:after="5" w:line="271" w:lineRule="auto"/>
        <w:ind w:left="673" w:hanging="10"/>
        <w:jc w:val="left"/>
      </w:pPr>
      <w:r>
        <w:rPr>
          <w:sz w:val="24"/>
        </w:rPr>
        <w:t>Источник: собственная разработка на основе [2].</w:t>
      </w:r>
      <w:r>
        <w:rPr>
          <w:b/>
          <w:sz w:val="24"/>
        </w:rPr>
        <w:t xml:space="preserve"> </w:t>
      </w:r>
    </w:p>
    <w:p w:rsidR="002C0F56" w:rsidRDefault="00E67C6E">
      <w:pPr>
        <w:spacing w:after="0"/>
        <w:ind w:left="165" w:right="869"/>
      </w:pPr>
      <w:r>
        <w:t>В то же время важно отметить, что данные показатели деятельности медицинских учреждений в полной мере не отражают уровень доступности и качества медицинской помощи. Существуют различия в объемах средств, выделяемых местными бюджетами на финансирование услу</w:t>
      </w:r>
      <w:r>
        <w:t xml:space="preserve">г здравоохранения в расчете на одного жителя, что связано с неравномерностью экономического развития территорий. </w:t>
      </w:r>
      <w:r>
        <w:rPr>
          <w:b/>
        </w:rPr>
        <w:t xml:space="preserve"> </w:t>
      </w:r>
    </w:p>
    <w:p w:rsidR="002C0F56" w:rsidRDefault="00E67C6E">
      <w:pPr>
        <w:spacing w:after="0" w:line="259" w:lineRule="auto"/>
        <w:ind w:left="744" w:firstLine="0"/>
        <w:jc w:val="left"/>
      </w:pPr>
      <w:r>
        <w:rPr>
          <w:b/>
        </w:rPr>
        <w:t xml:space="preserve"> </w:t>
      </w:r>
    </w:p>
    <w:p w:rsidR="002C0F56" w:rsidRDefault="00E67C6E">
      <w:pPr>
        <w:pStyle w:val="4"/>
        <w:ind w:left="1181" w:right="1318"/>
      </w:pPr>
      <w:r>
        <w:rPr>
          <w:b w:val="0"/>
          <w:i/>
        </w:rPr>
        <w:t>Таблица 2</w:t>
      </w:r>
      <w:r>
        <w:t xml:space="preserve"> – Финансирование здравоохранения из республиканского и местных бюджетов, % </w:t>
      </w:r>
    </w:p>
    <w:tbl>
      <w:tblPr>
        <w:tblStyle w:val="TableGrid"/>
        <w:tblW w:w="9856" w:type="dxa"/>
        <w:tblInd w:w="72" w:type="dxa"/>
        <w:tblCellMar>
          <w:top w:w="14" w:type="dxa"/>
          <w:left w:w="0" w:type="dxa"/>
          <w:bottom w:w="0" w:type="dxa"/>
          <w:right w:w="115" w:type="dxa"/>
        </w:tblCellMar>
        <w:tblLook w:val="04A0" w:firstRow="1" w:lastRow="0" w:firstColumn="1" w:lastColumn="0" w:noHBand="0" w:noVBand="1"/>
      </w:tblPr>
      <w:tblGrid>
        <w:gridCol w:w="3284"/>
        <w:gridCol w:w="3284"/>
        <w:gridCol w:w="1423"/>
        <w:gridCol w:w="1865"/>
      </w:tblGrid>
      <w:tr w:rsidR="002C0F56">
        <w:trPr>
          <w:trHeight w:val="288"/>
        </w:trPr>
        <w:tc>
          <w:tcPr>
            <w:tcW w:w="3284"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97" w:firstLine="0"/>
              <w:jc w:val="center"/>
            </w:pPr>
            <w:r>
              <w:rPr>
                <w:sz w:val="24"/>
              </w:rPr>
              <w:t xml:space="preserve">Год </w:t>
            </w:r>
          </w:p>
        </w:tc>
        <w:tc>
          <w:tcPr>
            <w:tcW w:w="4707" w:type="dxa"/>
            <w:gridSpan w:val="2"/>
            <w:tcBorders>
              <w:top w:val="single" w:sz="4" w:space="0" w:color="000000"/>
              <w:left w:val="single" w:sz="4" w:space="0" w:color="000000"/>
              <w:bottom w:val="single" w:sz="4" w:space="0" w:color="000000"/>
              <w:right w:val="nil"/>
            </w:tcBorders>
          </w:tcPr>
          <w:p w:rsidR="002C0F56" w:rsidRDefault="00E67C6E">
            <w:pPr>
              <w:spacing w:after="0" w:line="259" w:lineRule="auto"/>
              <w:ind w:left="3039" w:firstLine="0"/>
              <w:jc w:val="left"/>
            </w:pPr>
            <w:r>
              <w:rPr>
                <w:sz w:val="24"/>
              </w:rPr>
              <w:t xml:space="preserve">Бюджеты </w:t>
            </w:r>
          </w:p>
        </w:tc>
        <w:tc>
          <w:tcPr>
            <w:tcW w:w="1865"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86" w:firstLine="0"/>
              <w:jc w:val="left"/>
            </w:pPr>
            <w:r>
              <w:rPr>
                <w:sz w:val="24"/>
              </w:rPr>
              <w:t xml:space="preserve">Республиканский </w:t>
            </w:r>
          </w:p>
        </w:tc>
        <w:tc>
          <w:tcPr>
            <w:tcW w:w="1423"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65" w:type="dxa"/>
            <w:tcBorders>
              <w:top w:val="single" w:sz="4" w:space="0" w:color="000000"/>
              <w:left w:val="nil"/>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Местные </w:t>
            </w:r>
          </w:p>
        </w:tc>
      </w:tr>
      <w:tr w:rsidR="002C0F56">
        <w:trPr>
          <w:trHeight w:val="286"/>
        </w:trPr>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95" w:firstLine="0"/>
              <w:jc w:val="center"/>
            </w:pPr>
            <w:r>
              <w:rPr>
                <w:sz w:val="24"/>
              </w:rPr>
              <w:t xml:space="preserve">2011 </w:t>
            </w:r>
          </w:p>
        </w:tc>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2" w:firstLine="0"/>
              <w:jc w:val="center"/>
            </w:pPr>
            <w:r>
              <w:rPr>
                <w:sz w:val="24"/>
              </w:rPr>
              <w:t xml:space="preserve">15,3 </w:t>
            </w:r>
          </w:p>
        </w:tc>
        <w:tc>
          <w:tcPr>
            <w:tcW w:w="1423"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65" w:type="dxa"/>
            <w:tcBorders>
              <w:top w:val="single" w:sz="4" w:space="0" w:color="000000"/>
              <w:left w:val="nil"/>
              <w:bottom w:val="single" w:sz="4" w:space="0" w:color="000000"/>
              <w:right w:val="single" w:sz="4" w:space="0" w:color="000000"/>
            </w:tcBorders>
          </w:tcPr>
          <w:p w:rsidR="002C0F56" w:rsidRDefault="00E67C6E">
            <w:pPr>
              <w:spacing w:after="0" w:line="259" w:lineRule="auto"/>
              <w:ind w:left="254" w:firstLine="0"/>
              <w:jc w:val="left"/>
            </w:pPr>
            <w:r>
              <w:rPr>
                <w:sz w:val="24"/>
              </w:rPr>
              <w:t xml:space="preserve">84,7 </w:t>
            </w:r>
          </w:p>
        </w:tc>
      </w:tr>
      <w:tr w:rsidR="002C0F56">
        <w:trPr>
          <w:trHeight w:val="286"/>
        </w:trPr>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95" w:firstLine="0"/>
              <w:jc w:val="center"/>
            </w:pPr>
            <w:r>
              <w:rPr>
                <w:sz w:val="24"/>
              </w:rPr>
              <w:t xml:space="preserve">2012 </w:t>
            </w:r>
          </w:p>
        </w:tc>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2" w:firstLine="0"/>
              <w:jc w:val="center"/>
            </w:pPr>
            <w:r>
              <w:rPr>
                <w:sz w:val="24"/>
              </w:rPr>
              <w:t xml:space="preserve">15,8 </w:t>
            </w:r>
          </w:p>
        </w:tc>
        <w:tc>
          <w:tcPr>
            <w:tcW w:w="1423"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65" w:type="dxa"/>
            <w:tcBorders>
              <w:top w:val="single" w:sz="4" w:space="0" w:color="000000"/>
              <w:left w:val="nil"/>
              <w:bottom w:val="single" w:sz="4" w:space="0" w:color="000000"/>
              <w:right w:val="single" w:sz="4" w:space="0" w:color="000000"/>
            </w:tcBorders>
          </w:tcPr>
          <w:p w:rsidR="002C0F56" w:rsidRDefault="00E67C6E">
            <w:pPr>
              <w:spacing w:after="0" w:line="259" w:lineRule="auto"/>
              <w:ind w:left="254" w:firstLine="0"/>
              <w:jc w:val="left"/>
            </w:pPr>
            <w:r>
              <w:rPr>
                <w:sz w:val="24"/>
              </w:rPr>
              <w:t xml:space="preserve">84,2 </w:t>
            </w:r>
          </w:p>
        </w:tc>
      </w:tr>
      <w:tr w:rsidR="002C0F56">
        <w:trPr>
          <w:trHeight w:val="286"/>
        </w:trPr>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95" w:firstLine="0"/>
              <w:jc w:val="center"/>
            </w:pPr>
            <w:r>
              <w:rPr>
                <w:sz w:val="24"/>
              </w:rPr>
              <w:t xml:space="preserve">2013 </w:t>
            </w:r>
          </w:p>
        </w:tc>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2" w:firstLine="0"/>
              <w:jc w:val="center"/>
            </w:pPr>
            <w:r>
              <w:rPr>
                <w:sz w:val="24"/>
              </w:rPr>
              <w:t xml:space="preserve">17,4 </w:t>
            </w:r>
          </w:p>
        </w:tc>
        <w:tc>
          <w:tcPr>
            <w:tcW w:w="1423"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65" w:type="dxa"/>
            <w:tcBorders>
              <w:top w:val="single" w:sz="4" w:space="0" w:color="000000"/>
              <w:left w:val="nil"/>
              <w:bottom w:val="single" w:sz="4" w:space="0" w:color="000000"/>
              <w:right w:val="single" w:sz="4" w:space="0" w:color="000000"/>
            </w:tcBorders>
          </w:tcPr>
          <w:p w:rsidR="002C0F56" w:rsidRDefault="00E67C6E">
            <w:pPr>
              <w:spacing w:after="0" w:line="259" w:lineRule="auto"/>
              <w:ind w:left="254" w:firstLine="0"/>
              <w:jc w:val="left"/>
            </w:pPr>
            <w:r>
              <w:rPr>
                <w:sz w:val="24"/>
              </w:rPr>
              <w:t xml:space="preserve">82,6 </w:t>
            </w:r>
          </w:p>
        </w:tc>
      </w:tr>
      <w:tr w:rsidR="002C0F56">
        <w:trPr>
          <w:trHeight w:val="286"/>
        </w:trPr>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95" w:firstLine="0"/>
              <w:jc w:val="center"/>
            </w:pPr>
            <w:r>
              <w:rPr>
                <w:sz w:val="24"/>
              </w:rPr>
              <w:t xml:space="preserve">2014 </w:t>
            </w:r>
          </w:p>
        </w:tc>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2" w:firstLine="0"/>
              <w:jc w:val="center"/>
            </w:pPr>
            <w:r>
              <w:rPr>
                <w:sz w:val="24"/>
              </w:rPr>
              <w:t xml:space="preserve">18,4 </w:t>
            </w:r>
          </w:p>
        </w:tc>
        <w:tc>
          <w:tcPr>
            <w:tcW w:w="1423"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65" w:type="dxa"/>
            <w:tcBorders>
              <w:top w:val="single" w:sz="4" w:space="0" w:color="000000"/>
              <w:left w:val="nil"/>
              <w:bottom w:val="single" w:sz="4" w:space="0" w:color="000000"/>
              <w:right w:val="single" w:sz="4" w:space="0" w:color="000000"/>
            </w:tcBorders>
          </w:tcPr>
          <w:p w:rsidR="002C0F56" w:rsidRDefault="00E67C6E">
            <w:pPr>
              <w:spacing w:after="0" w:line="259" w:lineRule="auto"/>
              <w:ind w:left="254" w:firstLine="0"/>
              <w:jc w:val="left"/>
            </w:pPr>
            <w:r>
              <w:rPr>
                <w:sz w:val="24"/>
              </w:rPr>
              <w:t xml:space="preserve">81,6 </w:t>
            </w:r>
          </w:p>
        </w:tc>
      </w:tr>
      <w:tr w:rsidR="002C0F56">
        <w:trPr>
          <w:trHeight w:val="288"/>
        </w:trPr>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95" w:firstLine="0"/>
              <w:jc w:val="center"/>
            </w:pPr>
            <w:r>
              <w:rPr>
                <w:sz w:val="24"/>
              </w:rPr>
              <w:t xml:space="preserve">2015 </w:t>
            </w:r>
          </w:p>
        </w:tc>
        <w:tc>
          <w:tcPr>
            <w:tcW w:w="32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2" w:firstLine="0"/>
              <w:jc w:val="center"/>
            </w:pPr>
            <w:r>
              <w:rPr>
                <w:sz w:val="24"/>
              </w:rPr>
              <w:t xml:space="preserve">18,1 </w:t>
            </w:r>
          </w:p>
        </w:tc>
        <w:tc>
          <w:tcPr>
            <w:tcW w:w="1423"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865" w:type="dxa"/>
            <w:tcBorders>
              <w:top w:val="single" w:sz="4" w:space="0" w:color="000000"/>
              <w:left w:val="nil"/>
              <w:bottom w:val="single" w:sz="4" w:space="0" w:color="000000"/>
              <w:right w:val="single" w:sz="4" w:space="0" w:color="000000"/>
            </w:tcBorders>
          </w:tcPr>
          <w:p w:rsidR="002C0F56" w:rsidRDefault="00E67C6E">
            <w:pPr>
              <w:spacing w:after="0" w:line="259" w:lineRule="auto"/>
              <w:ind w:left="254" w:firstLine="0"/>
              <w:jc w:val="left"/>
            </w:pPr>
            <w:r>
              <w:rPr>
                <w:sz w:val="24"/>
              </w:rPr>
              <w:t xml:space="preserve">81,9 </w:t>
            </w:r>
          </w:p>
        </w:tc>
      </w:tr>
    </w:tbl>
    <w:p w:rsidR="002C0F56" w:rsidRDefault="00E67C6E">
      <w:pPr>
        <w:spacing w:after="5" w:line="271" w:lineRule="auto"/>
        <w:ind w:left="673" w:hanging="10"/>
        <w:jc w:val="left"/>
      </w:pPr>
      <w:r>
        <w:rPr>
          <w:sz w:val="24"/>
        </w:rPr>
        <w:t xml:space="preserve">Источник: собственная разработка на основе [3]. </w:t>
      </w:r>
    </w:p>
    <w:p w:rsidR="002C0F56" w:rsidRDefault="00E67C6E">
      <w:pPr>
        <w:spacing w:after="0" w:line="259" w:lineRule="auto"/>
        <w:ind w:left="744" w:firstLine="0"/>
        <w:jc w:val="left"/>
      </w:pPr>
      <w:r>
        <w:t xml:space="preserve"> </w:t>
      </w:r>
    </w:p>
    <w:p w:rsidR="002C0F56" w:rsidRDefault="00E67C6E">
      <w:pPr>
        <w:spacing w:after="0"/>
        <w:ind w:left="165" w:right="867"/>
      </w:pPr>
      <w:r>
        <w:t>В мировой практике оценка эффектности, бюджетных расходов на здравоохранение выражается степенью их влияния на сохранение и улучшение здоровья населения, повышения производительности труда, сокращение расходов на социальное страхование и социальное обеспеч</w:t>
      </w:r>
      <w:r>
        <w:t xml:space="preserve">ение, сокращение затрат в отраслях экономики, увеличение прироста ВВП. </w:t>
      </w:r>
      <w:r>
        <w:rPr>
          <w:b/>
        </w:rPr>
        <w:t xml:space="preserve"> </w:t>
      </w:r>
    </w:p>
    <w:p w:rsidR="002C0F56" w:rsidRDefault="00E67C6E">
      <w:pPr>
        <w:ind w:left="165" w:right="302"/>
      </w:pPr>
      <w:r>
        <w:t xml:space="preserve">Выделяют следующие методы оценки эффективности бюджетных расходов на здравоохранение:  </w:t>
      </w:r>
    </w:p>
    <w:p w:rsidR="002C0F56" w:rsidRDefault="00E67C6E">
      <w:pPr>
        <w:numPr>
          <w:ilvl w:val="0"/>
          <w:numId w:val="39"/>
        </w:numPr>
        <w:ind w:right="865"/>
      </w:pPr>
      <w:r>
        <w:t>метод минимизации затрат предполагает принятие решения к простому выбору наиболее дешевого вари</w:t>
      </w:r>
      <w:r>
        <w:t>анта, но вовсе не ограничивается лишь оценкой затрат. Используются виды показателей, характеризующие: структуру финансирования здравоохранения из различных источников в целом и в расчете на душу населения (бюджет, средства медицинского страхования и так да</w:t>
      </w:r>
      <w:r>
        <w:t xml:space="preserve">лее), структуру финансирования по видам помощи (стационарная, амбулаторная, стационарозамещающая, скорая), структуру финансирования организаций </w:t>
      </w:r>
      <w:r>
        <w:lastRenderedPageBreak/>
        <w:t>здравоохранения по экономической классификации затрат, износ основных фондов в здравоохранении, объемы медицинск</w:t>
      </w:r>
      <w:r>
        <w:t xml:space="preserve">ой помощи на душу населения в разрезе видов медицинской помощи;  </w:t>
      </w:r>
    </w:p>
    <w:p w:rsidR="002C0F56" w:rsidRDefault="00E67C6E">
      <w:pPr>
        <w:numPr>
          <w:ilvl w:val="0"/>
          <w:numId w:val="39"/>
        </w:numPr>
        <w:ind w:right="865"/>
      </w:pPr>
      <w:r>
        <w:t xml:space="preserve">метод «затраты — </w:t>
      </w:r>
      <w:r>
        <w:t>результативность». Этот метод предполагает сравнение вариантов расходования средств, направленных на достижение единой цели и различающихся не только затратами, но и степенью достижения конечного результата. Используя метод «затраты – результативность», мо</w:t>
      </w:r>
      <w:r>
        <w:t>жно сопоставлять совершенно разные программы здравоохранения, направленные на единую цель. Используется следующая группа показателей: заболеваемость населения,</w:t>
      </w:r>
      <w:r>
        <w:rPr>
          <w:b/>
        </w:rPr>
        <w:t xml:space="preserve"> </w:t>
      </w:r>
      <w:r>
        <w:t xml:space="preserve">смертность, количество жалоб населения на качество оказанных медицинских услуг; </w:t>
      </w:r>
    </w:p>
    <w:p w:rsidR="002C0F56" w:rsidRDefault="00E67C6E">
      <w:pPr>
        <w:numPr>
          <w:ilvl w:val="0"/>
          <w:numId w:val="39"/>
        </w:numPr>
        <w:spacing w:after="11" w:line="270" w:lineRule="auto"/>
        <w:ind w:right="865"/>
      </w:pPr>
      <w:r>
        <w:t xml:space="preserve">метод «затраты </w:t>
      </w:r>
      <w:r>
        <w:t>— выгода». В этом случае результаты измеряются при помощи денежной выгоды, которая сравнивается с затратами на реализацию программы. Результаты такого анализа можно выразить либо в форме отношения денежных затрат к денежной выгоде, либо в виде простой сумм</w:t>
      </w:r>
      <w:r>
        <w:t>ы (возможно, отрицательной), выражающей нетто-прибыльность (или убыточность) одной программы относительно другой. В практике работы учреждений здравоохранения метод «затраты — выгода» удобно применять в тех случаях, когда затраты и результаты легко выразит</w:t>
      </w:r>
      <w:r>
        <w:t xml:space="preserve">ь в денежном измерении, например, это лучший вид анализа при оказании платных услуг; </w:t>
      </w:r>
    </w:p>
    <w:p w:rsidR="002C0F56" w:rsidRDefault="00E67C6E">
      <w:pPr>
        <w:numPr>
          <w:ilvl w:val="0"/>
          <w:numId w:val="39"/>
        </w:numPr>
        <w:spacing w:after="15"/>
        <w:ind w:right="865"/>
      </w:pPr>
      <w:r>
        <w:t>метод «затраты — полезность». В этом случае в качестве единого показателя для разнородных результатов на практике применяют метод, отражающий результат, выраженный в неко</w:t>
      </w:r>
      <w:r>
        <w:t xml:space="preserve">тором сводном неденежном показателе, — например, в годах жизни, скорректированных по качеству (Quality Adjusted Life Years — QALY,) или в годах жизни, скорректированных по степени инвалидности (Disability Adjusted Life Years – DALY). </w:t>
      </w:r>
    </w:p>
    <w:p w:rsidR="002C0F56" w:rsidRDefault="00E67C6E">
      <w:pPr>
        <w:spacing w:after="10"/>
        <w:ind w:left="165" w:right="865"/>
      </w:pPr>
      <w:r>
        <w:t>Таким образом, систем</w:t>
      </w:r>
      <w:r>
        <w:t xml:space="preserve">а оценочных показателей сферы здравоохранения включает как показатели объема оказываемых услуг (число койко-дней в стационарах и количество посещений в амбулаторно-поликлинических учреждениях), так и показатели качества (количество случаев преждевременной </w:t>
      </w:r>
      <w:r>
        <w:t xml:space="preserve">смертности населения по классам болезней и отдельным заболеваниям, число повторных обращений на протяжении календарного года, количество жалоб населения на качество оказанных медицинских услуг) [4].  </w:t>
      </w:r>
    </w:p>
    <w:p w:rsidR="002C0F56" w:rsidRDefault="00E67C6E">
      <w:pPr>
        <w:spacing w:after="0"/>
        <w:ind w:left="165" w:right="865"/>
      </w:pPr>
      <w:r>
        <w:t>В Республике Беларусь для анализа эффективности расходо</w:t>
      </w:r>
      <w:r>
        <w:t>в на здравоохранение используют такой показатель, как доля расходов на отрасль в ВВП. По оценкам Всемирной организации здравоохранения, уровень расходов от ВВП на финансирование здравоохранения должен составлять не менее 5 %, поскольку в противном случае с</w:t>
      </w:r>
      <w:r>
        <w:t xml:space="preserve">истема не получает должную финансовую базу </w:t>
      </w:r>
      <w:r>
        <w:lastRenderedPageBreak/>
        <w:t xml:space="preserve">для стабильного поступательного развития [5]. Тем не менее, в Республике Беларусь расходы на здравоохранение составляют немного более 4 % ВВП. Динамика этого показателя в Республике Беларусь отражена в таблице 3. </w:t>
      </w:r>
    </w:p>
    <w:p w:rsidR="002C0F56" w:rsidRDefault="00E67C6E">
      <w:pPr>
        <w:spacing w:after="0" w:line="259" w:lineRule="auto"/>
        <w:ind w:left="744" w:firstLine="0"/>
        <w:jc w:val="left"/>
      </w:pPr>
      <w:r>
        <w:rPr>
          <w:i/>
        </w:rPr>
        <w:t xml:space="preserve"> </w:t>
      </w:r>
    </w:p>
    <w:p w:rsidR="002C0F56" w:rsidRDefault="00E67C6E">
      <w:pPr>
        <w:spacing w:after="5" w:line="271" w:lineRule="auto"/>
        <w:ind w:left="3615" w:right="396" w:hanging="2506"/>
        <w:jc w:val="left"/>
      </w:pPr>
      <w:r>
        <w:rPr>
          <w:i/>
          <w:sz w:val="24"/>
        </w:rPr>
        <w:t>Таблица 3</w:t>
      </w:r>
      <w:r>
        <w:rPr>
          <w:b/>
          <w:sz w:val="24"/>
        </w:rPr>
        <w:t xml:space="preserve"> – Расходы консолидированного бюджета Республики Беларусь на здравоохранение, % ВВП </w:t>
      </w:r>
    </w:p>
    <w:tbl>
      <w:tblPr>
        <w:tblStyle w:val="TableGrid"/>
        <w:tblW w:w="9856" w:type="dxa"/>
        <w:tblInd w:w="72" w:type="dxa"/>
        <w:tblCellMar>
          <w:top w:w="14" w:type="dxa"/>
          <w:left w:w="108" w:type="dxa"/>
          <w:bottom w:w="0" w:type="dxa"/>
          <w:right w:w="49" w:type="dxa"/>
        </w:tblCellMar>
        <w:tblLook w:val="04A0" w:firstRow="1" w:lastRow="0" w:firstColumn="1" w:lastColumn="0" w:noHBand="0" w:noVBand="1"/>
      </w:tblPr>
      <w:tblGrid>
        <w:gridCol w:w="2120"/>
        <w:gridCol w:w="1575"/>
        <w:gridCol w:w="1574"/>
        <w:gridCol w:w="1577"/>
        <w:gridCol w:w="1433"/>
        <w:gridCol w:w="1577"/>
      </w:tblGrid>
      <w:tr w:rsidR="002C0F56">
        <w:trPr>
          <w:trHeight w:val="286"/>
        </w:trPr>
        <w:tc>
          <w:tcPr>
            <w:tcW w:w="2120"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483" w:firstLine="0"/>
              <w:jc w:val="left"/>
            </w:pPr>
            <w:r>
              <w:rPr>
                <w:sz w:val="24"/>
              </w:rPr>
              <w:t xml:space="preserve">Показатель </w:t>
            </w:r>
          </w:p>
        </w:tc>
        <w:tc>
          <w:tcPr>
            <w:tcW w:w="1575"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574"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577" w:type="dxa"/>
            <w:tcBorders>
              <w:top w:val="single" w:sz="4" w:space="0" w:color="000000"/>
              <w:left w:val="nil"/>
              <w:bottom w:val="single" w:sz="4" w:space="0" w:color="000000"/>
              <w:right w:val="nil"/>
            </w:tcBorders>
          </w:tcPr>
          <w:p w:rsidR="002C0F56" w:rsidRDefault="00E67C6E">
            <w:pPr>
              <w:spacing w:after="0" w:line="259" w:lineRule="auto"/>
              <w:ind w:left="286" w:firstLine="0"/>
              <w:jc w:val="center"/>
            </w:pPr>
            <w:r>
              <w:rPr>
                <w:sz w:val="24"/>
              </w:rPr>
              <w:t xml:space="preserve">Год </w:t>
            </w:r>
          </w:p>
        </w:tc>
        <w:tc>
          <w:tcPr>
            <w:tcW w:w="1433"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5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5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2011 </w:t>
            </w:r>
          </w:p>
        </w:tc>
        <w:tc>
          <w:tcPr>
            <w:tcW w:w="15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82" w:firstLine="0"/>
              <w:jc w:val="left"/>
            </w:pPr>
            <w:r>
              <w:rPr>
                <w:sz w:val="24"/>
              </w:rPr>
              <w:t xml:space="preserve">2012 </w:t>
            </w:r>
          </w:p>
        </w:tc>
        <w:tc>
          <w:tcPr>
            <w:tcW w:w="15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82" w:firstLine="0"/>
              <w:jc w:val="left"/>
            </w:pPr>
            <w:r>
              <w:rPr>
                <w:sz w:val="24"/>
              </w:rPr>
              <w:t xml:space="preserve">2013 </w:t>
            </w:r>
          </w:p>
        </w:tc>
        <w:tc>
          <w:tcPr>
            <w:tcW w:w="14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10" w:firstLine="0"/>
              <w:jc w:val="left"/>
            </w:pPr>
            <w:r>
              <w:rPr>
                <w:sz w:val="24"/>
              </w:rPr>
              <w:t xml:space="preserve">2014 </w:t>
            </w:r>
          </w:p>
        </w:tc>
        <w:tc>
          <w:tcPr>
            <w:tcW w:w="15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82" w:firstLine="0"/>
              <w:jc w:val="left"/>
            </w:pPr>
            <w:r>
              <w:rPr>
                <w:sz w:val="24"/>
              </w:rPr>
              <w:t xml:space="preserve">2015 </w:t>
            </w:r>
          </w:p>
        </w:tc>
      </w:tr>
      <w:tr w:rsidR="002C0F56">
        <w:trPr>
          <w:trHeight w:val="564"/>
        </w:trPr>
        <w:tc>
          <w:tcPr>
            <w:tcW w:w="21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483"/>
              <w:jc w:val="left"/>
            </w:pPr>
            <w:r>
              <w:rPr>
                <w:sz w:val="24"/>
              </w:rPr>
              <w:t xml:space="preserve">Расходы </w:t>
            </w:r>
            <w:r>
              <w:rPr>
                <w:sz w:val="24"/>
              </w:rPr>
              <w:tab/>
              <w:t xml:space="preserve">на здравоохранение </w:t>
            </w:r>
          </w:p>
        </w:tc>
        <w:tc>
          <w:tcPr>
            <w:tcW w:w="157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29" w:firstLine="0"/>
              <w:jc w:val="center"/>
            </w:pPr>
            <w:r>
              <w:rPr>
                <w:sz w:val="24"/>
              </w:rPr>
              <w:t xml:space="preserve">3,80 </w:t>
            </w:r>
          </w:p>
        </w:tc>
        <w:tc>
          <w:tcPr>
            <w:tcW w:w="157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13" w:firstLine="0"/>
              <w:jc w:val="left"/>
            </w:pPr>
            <w:r>
              <w:rPr>
                <w:sz w:val="24"/>
              </w:rPr>
              <w:t xml:space="preserve">3,90 </w:t>
            </w:r>
          </w:p>
        </w:tc>
        <w:tc>
          <w:tcPr>
            <w:tcW w:w="157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13" w:firstLine="0"/>
              <w:jc w:val="left"/>
            </w:pPr>
            <w:r>
              <w:rPr>
                <w:sz w:val="24"/>
              </w:rPr>
              <w:t xml:space="preserve">4,20 </w:t>
            </w:r>
          </w:p>
        </w:tc>
        <w:tc>
          <w:tcPr>
            <w:tcW w:w="14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638" w:firstLine="0"/>
              <w:jc w:val="left"/>
            </w:pPr>
            <w:r>
              <w:rPr>
                <w:sz w:val="24"/>
              </w:rPr>
              <w:t xml:space="preserve">4,05 </w:t>
            </w:r>
          </w:p>
        </w:tc>
        <w:tc>
          <w:tcPr>
            <w:tcW w:w="157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10" w:firstLine="0"/>
              <w:jc w:val="left"/>
            </w:pPr>
            <w:r>
              <w:rPr>
                <w:sz w:val="24"/>
              </w:rPr>
              <w:t xml:space="preserve">4,31 </w:t>
            </w:r>
          </w:p>
        </w:tc>
      </w:tr>
    </w:tbl>
    <w:p w:rsidR="002C0F56" w:rsidRDefault="00E67C6E">
      <w:pPr>
        <w:spacing w:after="5" w:line="271" w:lineRule="auto"/>
        <w:ind w:left="673" w:hanging="10"/>
        <w:jc w:val="left"/>
      </w:pPr>
      <w:r>
        <w:rPr>
          <w:sz w:val="24"/>
        </w:rPr>
        <w:t xml:space="preserve">Источник: собственная разработка на основе [3]. </w:t>
      </w:r>
    </w:p>
    <w:p w:rsidR="002C0F56" w:rsidRDefault="00E67C6E">
      <w:pPr>
        <w:spacing w:after="0" w:line="259" w:lineRule="auto"/>
        <w:ind w:left="744" w:firstLine="0"/>
        <w:jc w:val="left"/>
      </w:pPr>
      <w:r>
        <w:t xml:space="preserve"> </w:t>
      </w:r>
    </w:p>
    <w:p w:rsidR="002C0F56" w:rsidRDefault="00E67C6E">
      <w:pPr>
        <w:spacing w:after="2"/>
        <w:ind w:left="165" w:right="872"/>
      </w:pPr>
      <w:r>
        <w:t>В законе о бюджете на очередной финансовый год устанавливается минимальный норматив бюджетной обеспеченности расходов на здравоохранение в расчете на одного жителя. Данный показатель утверждается по республике в делом и суммарно — для бюджетов областей и г</w:t>
      </w:r>
      <w:r>
        <w:t xml:space="preserve">. Минска. </w:t>
      </w:r>
    </w:p>
    <w:p w:rsidR="002C0F56" w:rsidRDefault="00E67C6E">
      <w:pPr>
        <w:spacing w:after="0"/>
        <w:ind w:left="165" w:right="302"/>
      </w:pPr>
      <w:r>
        <w:t xml:space="preserve">Переход к финансированию здравоохранения на основе норматива позволяет выравнивать обеспеченность территорий бюджетными ресурсами, направляемыми </w:t>
      </w:r>
      <w:r>
        <w:tab/>
        <w:t xml:space="preserve">в </w:t>
      </w:r>
      <w:r>
        <w:tab/>
        <w:t xml:space="preserve">здравоохранение, </w:t>
      </w:r>
      <w:r>
        <w:tab/>
        <w:t xml:space="preserve">и </w:t>
      </w:r>
      <w:r>
        <w:tab/>
        <w:t xml:space="preserve">обеспечить </w:t>
      </w:r>
      <w:r>
        <w:tab/>
        <w:t>бюджетным финансированием гарантированный населению объем медиц</w:t>
      </w:r>
      <w:r>
        <w:t xml:space="preserve">инских услуг. Практика показала, что такой норматив не только выполнялся регионами, но в ряде случаев был выше принятого. </w:t>
      </w:r>
    </w:p>
    <w:p w:rsidR="002C0F56" w:rsidRDefault="00E67C6E">
      <w:pPr>
        <w:ind w:left="165" w:right="869"/>
      </w:pPr>
      <w:r>
        <w:t>С целью дальнейшего совершенствования стратегии развития финансирования здравоохранения и повышения эффективности использования средс</w:t>
      </w:r>
      <w:r>
        <w:t xml:space="preserve">тв в Республике Беларусь считаем целесообразным: </w:t>
      </w:r>
    </w:p>
    <w:p w:rsidR="002C0F56" w:rsidRDefault="00E67C6E">
      <w:pPr>
        <w:numPr>
          <w:ilvl w:val="0"/>
          <w:numId w:val="40"/>
        </w:numPr>
        <w:ind w:right="449"/>
      </w:pPr>
      <w:r>
        <w:t xml:space="preserve">расширить применение финансовых стимулов развития, в том числе посредством либерализации доступа медицинских учреждений к банковским кредитам; </w:t>
      </w:r>
    </w:p>
    <w:p w:rsidR="002C0F56" w:rsidRDefault="00E67C6E">
      <w:pPr>
        <w:numPr>
          <w:ilvl w:val="0"/>
          <w:numId w:val="40"/>
        </w:numPr>
        <w:ind w:right="449"/>
      </w:pPr>
      <w:r>
        <w:t xml:space="preserve">повысить количество и качество оказываемых медицинских услуг, </w:t>
      </w:r>
      <w:r>
        <w:t xml:space="preserve">в том числе и за счет систематического мониторинга нововведений и складывающихся на рынке медицинских услуг тенденций; </w:t>
      </w:r>
    </w:p>
    <w:p w:rsidR="002C0F56" w:rsidRDefault="00E67C6E">
      <w:pPr>
        <w:numPr>
          <w:ilvl w:val="0"/>
          <w:numId w:val="40"/>
        </w:numPr>
        <w:spacing w:after="15" w:line="268" w:lineRule="auto"/>
        <w:ind w:right="449"/>
      </w:pPr>
      <w:r>
        <w:t xml:space="preserve">введение соплатежей населения при получении стационарной помощи; </w:t>
      </w:r>
    </w:p>
    <w:p w:rsidR="002C0F56" w:rsidRDefault="00E67C6E">
      <w:pPr>
        <w:numPr>
          <w:ilvl w:val="0"/>
          <w:numId w:val="40"/>
        </w:numPr>
        <w:ind w:right="449"/>
      </w:pPr>
      <w:r>
        <w:t>развивать информационную, рекламную деятельность в сфере оказания плат</w:t>
      </w:r>
      <w:r>
        <w:t xml:space="preserve">ных медицинских услуг; </w:t>
      </w:r>
    </w:p>
    <w:p w:rsidR="002C0F56" w:rsidRDefault="00E67C6E">
      <w:pPr>
        <w:numPr>
          <w:ilvl w:val="0"/>
          <w:numId w:val="40"/>
        </w:numPr>
        <w:ind w:right="449"/>
      </w:pPr>
      <w:r>
        <w:t xml:space="preserve">повысить качество и профессиональную подготовку и переподготовку кадров. </w:t>
      </w:r>
    </w:p>
    <w:p w:rsidR="002C0F56" w:rsidRDefault="00E67C6E">
      <w:pPr>
        <w:spacing w:after="3"/>
        <w:ind w:left="165" w:right="865"/>
      </w:pPr>
      <w:r>
        <w:t>В средне и долгосрочной перспективе необходим поиск дополнительных источников финансирования, в качестве которых могут рассматриваться также добровольное и об</w:t>
      </w:r>
      <w:r>
        <w:t xml:space="preserve">язательное медицинское страхование, соплатежи населения при оказании медицинской помощи, дополнительные сборы. </w:t>
      </w:r>
    </w:p>
    <w:p w:rsidR="002C0F56" w:rsidRDefault="00E67C6E">
      <w:pPr>
        <w:spacing w:after="24" w:line="259" w:lineRule="auto"/>
        <w:ind w:left="744" w:firstLine="0"/>
        <w:jc w:val="left"/>
      </w:pPr>
      <w:r>
        <w:lastRenderedPageBreak/>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41"/>
        </w:numPr>
        <w:ind w:right="867"/>
      </w:pPr>
      <w:r>
        <w:t xml:space="preserve">Туренко, Т.А. Методические подходы к оценке результативности и эффективности здравоохранения на основе данных официальной </w:t>
      </w:r>
      <w:r>
        <w:t xml:space="preserve">статистики </w:t>
      </w:r>
    </w:p>
    <w:p w:rsidR="002C0F56" w:rsidRDefault="00E67C6E">
      <w:pPr>
        <w:spacing w:after="5" w:line="268" w:lineRule="auto"/>
        <w:ind w:left="165" w:right="293" w:firstLine="0"/>
        <w:jc w:val="left"/>
      </w:pPr>
      <w:r>
        <w:t xml:space="preserve">[Электронный </w:t>
      </w:r>
      <w:r>
        <w:tab/>
        <w:t xml:space="preserve">ресурс] </w:t>
      </w:r>
      <w:r>
        <w:tab/>
        <w:t xml:space="preserve">/ </w:t>
      </w:r>
      <w:r>
        <w:tab/>
        <w:t xml:space="preserve">Режим </w:t>
      </w:r>
      <w:r>
        <w:tab/>
        <w:t xml:space="preserve">доступа: http://cyberleninka.ru/article/n/metodicheskie-podhody-k-otsenke-rezultativnosti-ieffektivnosti-zdravoohraneniya-na-osnove-dannyh-ofitsialnoy-statistiki. </w:t>
      </w:r>
      <w:r>
        <w:tab/>
        <w:t xml:space="preserve">– </w:t>
      </w:r>
      <w:r>
        <w:tab/>
        <w:t xml:space="preserve">Дата доступа: 17.04.2017. </w:t>
      </w:r>
    </w:p>
    <w:p w:rsidR="002C0F56" w:rsidRDefault="00E67C6E">
      <w:pPr>
        <w:numPr>
          <w:ilvl w:val="0"/>
          <w:numId w:val="41"/>
        </w:numPr>
        <w:ind w:right="867"/>
      </w:pPr>
      <w:r>
        <w:t xml:space="preserve">Здравоохранение в Республике Беларусь. Официальный статистический сборник за 2015 г [Электронный ресурс] / Режим доступа: http://minzdrav.gov.by/ru/static/numbers. – Дата доступа: 17.04.2017. </w:t>
      </w:r>
    </w:p>
    <w:p w:rsidR="002C0F56" w:rsidRDefault="00E67C6E">
      <w:pPr>
        <w:numPr>
          <w:ilvl w:val="0"/>
          <w:numId w:val="41"/>
        </w:numPr>
        <w:spacing w:after="5"/>
        <w:ind w:right="867"/>
      </w:pPr>
      <w:r>
        <w:t>Социально-экономическое развитие регионов Республики Беларусь в</w:t>
      </w:r>
      <w:r>
        <w:t xml:space="preserve"> январе-декабре 2016 г. [Электронный ресурс] – Режим доступа: </w:t>
      </w:r>
      <w:hyperlink r:id="rId336">
        <w:r>
          <w:t>http://www.belstat.gov.by/ofitsialnaya</w:t>
        </w:r>
      </w:hyperlink>
      <w:hyperlink r:id="rId337"/>
      <w:hyperlink r:id="rId338">
        <w:r>
          <w:t>statistika/publications/izdania/public_bulletin/index_6948</w:t>
        </w:r>
        <w:r>
          <w:t>/</w:t>
        </w:r>
      </w:hyperlink>
      <w:hyperlink r:id="rId339">
        <w:r>
          <w:t>.</w:t>
        </w:r>
      </w:hyperlink>
      <w:r>
        <w:t xml:space="preserve"> – Дата доступа: </w:t>
      </w:r>
    </w:p>
    <w:p w:rsidR="002C0F56" w:rsidRDefault="00E67C6E">
      <w:pPr>
        <w:ind w:left="165" w:right="875" w:firstLine="0"/>
      </w:pPr>
      <w:r>
        <w:t>17.04.2017. 4</w:t>
      </w:r>
      <w:r>
        <w:rPr>
          <w:rFonts w:ascii="Arial" w:eastAsia="Arial" w:hAnsi="Arial" w:cs="Arial"/>
        </w:rPr>
        <w:t xml:space="preserve"> </w:t>
      </w:r>
      <w:r>
        <w:t>Финансовая диета: реформы государственных финансов Беларуси / К.В. Рудый [и др.]; под научн. ред. К.В. Р</w:t>
      </w:r>
      <w:r>
        <w:t xml:space="preserve">одого. – Минск: Звязда, 2016. – 464 с. </w:t>
      </w:r>
    </w:p>
    <w:p w:rsidR="002C0F56" w:rsidRDefault="00E67C6E">
      <w:pPr>
        <w:spacing w:after="13"/>
        <w:ind w:left="165" w:right="867"/>
      </w:pPr>
      <w:r>
        <w:t>5</w:t>
      </w:r>
      <w:r>
        <w:rPr>
          <w:rFonts w:ascii="Arial" w:eastAsia="Arial" w:hAnsi="Arial" w:cs="Arial"/>
        </w:rPr>
        <w:t xml:space="preserve"> </w:t>
      </w:r>
      <w:r>
        <w:t xml:space="preserve">Шевцова В.В. Развитие финансирования здравоохранения в современных условиях в Республике Беларусь [Электронный ресурс] – Режим доступа: </w:t>
      </w:r>
      <w:hyperlink r:id="rId340">
        <w:r>
          <w:t>http://media.miu.by/files/store/items/uses/xx/mim_uses_xx_03018.pdf</w:t>
        </w:r>
      </w:hyperlink>
      <w:hyperlink r:id="rId341">
        <w:r>
          <w:t>?</w:t>
        </w:r>
      </w:hyperlink>
      <w:r>
        <w:t xml:space="preserve"> uripath=files/s/items/uses/xx/mim_uses_xx_03018.pdf . – Дата доступа: 17.04.2017.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spacing w:after="25" w:line="259" w:lineRule="auto"/>
        <w:ind w:left="10" w:right="856" w:hanging="10"/>
        <w:jc w:val="right"/>
      </w:pPr>
      <w:r>
        <w:rPr>
          <w:b/>
        </w:rPr>
        <w:t>Васи</w:t>
      </w:r>
      <w:r>
        <w:rPr>
          <w:b/>
        </w:rPr>
        <w:t xml:space="preserve">ленко Я. С. </w:t>
      </w:r>
    </w:p>
    <w:p w:rsidR="002C0F56" w:rsidRDefault="00E67C6E">
      <w:pPr>
        <w:spacing w:after="11" w:line="270" w:lineRule="auto"/>
        <w:ind w:left="10" w:right="862" w:hanging="10"/>
        <w:jc w:val="right"/>
      </w:pPr>
      <w:r>
        <w:t xml:space="preserve">Научный руководитель: Хитрых О.В. </w:t>
      </w:r>
    </w:p>
    <w:p w:rsidR="002C0F56" w:rsidRDefault="00E67C6E">
      <w:pPr>
        <w:spacing w:after="0" w:line="267" w:lineRule="auto"/>
        <w:ind w:left="905" w:right="860" w:hanging="10"/>
        <w:jc w:val="right"/>
      </w:pPr>
      <w:r>
        <w:rPr>
          <w:i/>
        </w:rPr>
        <w:t xml:space="preserve">Луганский национальный университет имени Тараса Шевченко </w:t>
      </w:r>
    </w:p>
    <w:p w:rsidR="002C0F56" w:rsidRDefault="00E67C6E">
      <w:pPr>
        <w:spacing w:after="30" w:line="259" w:lineRule="auto"/>
        <w:ind w:left="744" w:firstLine="0"/>
        <w:jc w:val="left"/>
      </w:pPr>
      <w:r>
        <w:t xml:space="preserve"> </w:t>
      </w:r>
    </w:p>
    <w:p w:rsidR="002C0F56" w:rsidRDefault="00E67C6E">
      <w:pPr>
        <w:pStyle w:val="1"/>
        <w:spacing w:after="15" w:line="271" w:lineRule="auto"/>
        <w:ind w:left="469" w:right="0"/>
        <w:jc w:val="left"/>
      </w:pPr>
      <w:r>
        <w:t xml:space="preserve">СРАВНИТЕЛЬНЫЙ АНАЛИЗ ЭФФЕКТИВНОСТИ ОБНАРУЖЕНИЯ ВРЕДОНОСНОГО ПРОГРАММНОГО ОБЕСПЕЧЕНИЯ РАЗЛИЧНЫМИ </w:t>
      </w:r>
    </w:p>
    <w:p w:rsidR="002C0F56" w:rsidRDefault="00E67C6E">
      <w:pPr>
        <w:pStyle w:val="1"/>
        <w:ind w:left="700" w:right="1381"/>
      </w:pPr>
      <w:r>
        <w:t xml:space="preserve">АНТИВИРУСНЫМИ ПРОГРАММАМИ </w:t>
      </w:r>
    </w:p>
    <w:p w:rsidR="002C0F56" w:rsidRDefault="00E67C6E">
      <w:pPr>
        <w:spacing w:after="0" w:line="259" w:lineRule="auto"/>
        <w:ind w:left="744" w:firstLine="0"/>
        <w:jc w:val="left"/>
      </w:pPr>
      <w:r>
        <w:t xml:space="preserve"> </w:t>
      </w:r>
    </w:p>
    <w:p w:rsidR="002C0F56" w:rsidRDefault="00E67C6E">
      <w:pPr>
        <w:spacing w:after="10"/>
        <w:ind w:left="165" w:right="876"/>
      </w:pPr>
      <w:r>
        <w:t xml:space="preserve">В настоящее время компьютер прочно вошел в повседневную жизнь. Его возможности используются в школе, на работе, при проведении досуга, в быту и других сферах жизни человека.  </w:t>
      </w:r>
    </w:p>
    <w:p w:rsidR="002C0F56" w:rsidRDefault="00E67C6E">
      <w:pPr>
        <w:spacing w:after="10"/>
        <w:ind w:left="165" w:right="864"/>
      </w:pPr>
      <w:r>
        <w:t>К сегодняшнему дню массовое применение персональных компьютеров (далее ПК) связа</w:t>
      </w:r>
      <w:r>
        <w:t xml:space="preserve">но с появлением самовоспроизводящихся вирусных программ, которые препятствуют нормальной работе ПК. </w:t>
      </w:r>
    </w:p>
    <w:p w:rsidR="002C0F56" w:rsidRDefault="00E67C6E">
      <w:pPr>
        <w:ind w:left="165" w:right="868"/>
      </w:pPr>
      <w:r>
        <w:lastRenderedPageBreak/>
        <w:t>Для всех ПК компьютерные вирусы могут нанести огромный ущерб. Эти программы существуют по трём правилам – размножаться, скрываться и портить. И какие потря</w:t>
      </w:r>
      <w:r>
        <w:t xml:space="preserve">сения бывают, когда однажды пропадают данные, которые собирались и накапливались, может не один год....  </w:t>
      </w:r>
    </w:p>
    <w:p w:rsidR="002C0F56" w:rsidRDefault="00E67C6E">
      <w:pPr>
        <w:spacing w:after="0"/>
        <w:ind w:left="165" w:right="864"/>
      </w:pPr>
      <w:r>
        <w:t>До середины 20 века термин «вирус» (в переводе с латыни – яд, ядовитое начало) использовался лишь в медицине, обозначая инфекционный агент, вызывающий</w:t>
      </w:r>
      <w:r>
        <w:t xml:space="preserve"> заболевание. С появлением, развитием и усложнением компьютерной техники, систем хранения, обработки и передачи информации, а также соответствующего программного обеспечения возник новый класс программ, известный теперь как компьютерные вирусы.  </w:t>
      </w:r>
    </w:p>
    <w:p w:rsidR="002C0F56" w:rsidRDefault="00E67C6E">
      <w:pPr>
        <w:spacing w:after="0"/>
        <w:ind w:left="165" w:right="867"/>
      </w:pPr>
      <w:r>
        <w:t xml:space="preserve">Несмотря </w:t>
      </w:r>
      <w:r>
        <w:t>на принятые во многих странах законы о борьбе с компьютерными преступлениями и разработку специальных программных средств защиты от вирусных программ, количество новых вирусов постоянно растет. Это требует от пользователя ПК знаний о природе вирусных прогр</w:t>
      </w:r>
      <w:r>
        <w:t xml:space="preserve">амм, способах заражения вирусами и защиты от них. </w:t>
      </w:r>
    </w:p>
    <w:p w:rsidR="002C0F56" w:rsidRDefault="00E67C6E">
      <w:pPr>
        <w:ind w:left="165" w:right="302"/>
      </w:pPr>
      <w:r>
        <w:t xml:space="preserve">Цель исследования: исследование компьютерных вирусных программ и антивирусных программ. </w:t>
      </w:r>
    </w:p>
    <w:p w:rsidR="002C0F56" w:rsidRDefault="00E67C6E">
      <w:pPr>
        <w:ind w:left="744" w:right="302" w:firstLine="0"/>
      </w:pPr>
      <w:r>
        <w:t xml:space="preserve">Объект исследования: персональный компьютер. </w:t>
      </w:r>
    </w:p>
    <w:p w:rsidR="002C0F56" w:rsidRDefault="00E67C6E">
      <w:pPr>
        <w:spacing w:after="59"/>
        <w:ind w:left="744" w:right="302" w:firstLine="0"/>
      </w:pPr>
      <w:r>
        <w:t xml:space="preserve">Предмет исследования: влияние компьютерных вирусных программ на ПК. </w:t>
      </w:r>
      <w:r>
        <w:t xml:space="preserve">Задачи исследования: </w:t>
      </w:r>
    </w:p>
    <w:p w:rsidR="002C0F56" w:rsidRDefault="00E67C6E">
      <w:pPr>
        <w:spacing w:after="57"/>
        <w:ind w:left="165" w:right="302"/>
      </w:pPr>
      <w:r>
        <w:rPr>
          <w:rFonts w:ascii="Segoe UI Symbol" w:eastAsia="Segoe UI Symbol" w:hAnsi="Segoe UI Symbol" w:cs="Segoe UI Symbol"/>
        </w:rPr>
        <w:t></w:t>
      </w:r>
      <w:r>
        <w:rPr>
          <w:rFonts w:ascii="Arial" w:eastAsia="Arial" w:hAnsi="Arial" w:cs="Arial"/>
        </w:rPr>
        <w:t xml:space="preserve"> </w:t>
      </w:r>
      <w:r>
        <w:t xml:space="preserve">исследовать понятие компьютерных вирусных программ и их классификацию; </w:t>
      </w:r>
    </w:p>
    <w:p w:rsidR="002C0F56" w:rsidRDefault="00E67C6E">
      <w:pPr>
        <w:spacing w:after="59"/>
        <w:ind w:left="165" w:right="302"/>
      </w:pPr>
      <w:r>
        <w:rPr>
          <w:rFonts w:ascii="Segoe UI Symbol" w:eastAsia="Segoe UI Symbol" w:hAnsi="Segoe UI Symbol" w:cs="Segoe UI Symbol"/>
        </w:rPr>
        <w:t></w:t>
      </w:r>
      <w:r>
        <w:rPr>
          <w:rFonts w:ascii="Arial" w:eastAsia="Arial" w:hAnsi="Arial" w:cs="Arial"/>
        </w:rPr>
        <w:t xml:space="preserve"> </w:t>
      </w:r>
      <w:r>
        <w:t xml:space="preserve">изучить историю появления и развития компьютерных вирусных программ; </w:t>
      </w:r>
    </w:p>
    <w:p w:rsidR="002C0F56" w:rsidRDefault="00E67C6E">
      <w:pPr>
        <w:ind w:left="165" w:right="302"/>
      </w:pPr>
      <w:r>
        <w:rPr>
          <w:rFonts w:ascii="Segoe UI Symbol" w:eastAsia="Segoe UI Symbol" w:hAnsi="Segoe UI Symbol" w:cs="Segoe UI Symbol"/>
        </w:rPr>
        <w:t></w:t>
      </w:r>
      <w:r>
        <w:rPr>
          <w:rFonts w:ascii="Arial" w:eastAsia="Arial" w:hAnsi="Arial" w:cs="Arial"/>
        </w:rPr>
        <w:t xml:space="preserve"> </w:t>
      </w:r>
      <w:r>
        <w:t xml:space="preserve">исследовать работу некоторых антивирусных программ и их положительные и отрицательные </w:t>
      </w:r>
      <w:r>
        <w:t xml:space="preserve">черты. </w:t>
      </w:r>
    </w:p>
    <w:p w:rsidR="002C0F56" w:rsidRDefault="00E67C6E">
      <w:pPr>
        <w:spacing w:after="8"/>
        <w:ind w:left="165" w:right="865"/>
      </w:pPr>
      <w:r>
        <w:t>Определение влияния компьютерных вирусных программ на ПК проводилось с помощью программы «VirtualBox». Она позволяет создать виртуальную машину, на которой можно установить любую операционную систему и тестировать там вредоносные программы без вред</w:t>
      </w:r>
      <w:r>
        <w:t xml:space="preserve">а вашему жесткому диску. </w:t>
      </w:r>
    </w:p>
    <w:p w:rsidR="002C0F56" w:rsidRDefault="00E67C6E">
      <w:pPr>
        <w:spacing w:after="0"/>
        <w:ind w:left="165" w:right="874"/>
      </w:pPr>
      <w:r>
        <w:t>Для осуществления поставленной задачи было выбрано 20 вирусных программ, которыми позже было заражено виртуальную машину. Вирусы были выбраны разной разрушительной степени (5 неопасных, 8 опасных, 7 очень опасных), для того, что б</w:t>
      </w:r>
      <w:r>
        <w:t xml:space="preserve">ы определить наносимый ими вред, и разной степени построения, можно было определить, сколько вирусных программ видит та или иная антивирусная программа. </w:t>
      </w:r>
    </w:p>
    <w:p w:rsidR="002C0F56" w:rsidRDefault="00E67C6E">
      <w:pPr>
        <w:spacing w:after="13"/>
        <w:ind w:left="165" w:right="867"/>
      </w:pPr>
      <w:r>
        <w:t>На эту же виртуальную машину было установлено 4 разные антивирусные программы: Kaspersky, Аvast, Dr.We</w:t>
      </w:r>
      <w:r>
        <w:t xml:space="preserve">b, ESET NOD32. Каждой антивирусной программой было проверено виртуальную машину, и вот какие были получены </w:t>
      </w:r>
      <w:r>
        <w:lastRenderedPageBreak/>
        <w:t>результаты: антивирус Касперского обнаружил 15 вирусных программ, среди которых было 5 неопасных, 6 опасных и 4 очень опасных вирусных программы; Ava</w:t>
      </w:r>
      <w:r>
        <w:t>st – 12 вирусных программ, в их числе были 4 неопасных, 7 опасных и 1 очень опасная вирусная программа; Dr.Web – 8 вирусных программы: 5 неопасных и 3 опасных вирусных программы; ESET NOD32 – 18 вирусных программ: 5 неопасных, 7 опасных и 6 очень опасных в</w:t>
      </w:r>
      <w:r>
        <w:t xml:space="preserve">ирусных программ </w:t>
      </w:r>
    </w:p>
    <w:p w:rsidR="002C0F56" w:rsidRDefault="00E67C6E">
      <w:pPr>
        <w:spacing w:after="12"/>
        <w:ind w:left="165" w:right="302" w:firstLine="0"/>
      </w:pPr>
      <w:r>
        <w:t xml:space="preserve">(Рис. 1).  </w:t>
      </w:r>
    </w:p>
    <w:p w:rsidR="002C0F56" w:rsidRDefault="00E67C6E">
      <w:pPr>
        <w:spacing w:after="136" w:line="259" w:lineRule="auto"/>
        <w:ind w:left="1508" w:firstLine="0"/>
        <w:jc w:val="left"/>
      </w:pPr>
      <w:r>
        <w:rPr>
          <w:rFonts w:ascii="Calibri" w:eastAsia="Calibri" w:hAnsi="Calibri" w:cs="Calibri"/>
          <w:noProof/>
          <w:sz w:val="22"/>
        </w:rPr>
        <mc:AlternateContent>
          <mc:Choice Requires="wpg">
            <w:drawing>
              <wp:inline distT="0" distB="0" distL="0" distR="0">
                <wp:extent cx="4959942" cy="3054371"/>
                <wp:effectExtent l="0" t="0" r="0" b="0"/>
                <wp:docPr id="567721" name="Group 567721"/>
                <wp:cNvGraphicFramePr/>
                <a:graphic xmlns:a="http://schemas.openxmlformats.org/drawingml/2006/main">
                  <a:graphicData uri="http://schemas.microsoft.com/office/word/2010/wordprocessingGroup">
                    <wpg:wgp>
                      <wpg:cNvGrpSpPr/>
                      <wpg:grpSpPr>
                        <a:xfrm>
                          <a:off x="0" y="0"/>
                          <a:ext cx="4959942" cy="3054371"/>
                          <a:chOff x="0" y="0"/>
                          <a:chExt cx="4959942" cy="3054371"/>
                        </a:xfrm>
                      </wpg:grpSpPr>
                      <wps:wsp>
                        <wps:cNvPr id="704775" name="Shape 704775"/>
                        <wps:cNvSpPr/>
                        <wps:spPr>
                          <a:xfrm>
                            <a:off x="4944529" y="21919"/>
                            <a:ext cx="15384" cy="3032452"/>
                          </a:xfrm>
                          <a:custGeom>
                            <a:avLst/>
                            <a:gdLst/>
                            <a:ahLst/>
                            <a:cxnLst/>
                            <a:rect l="0" t="0" r="0" b="0"/>
                            <a:pathLst>
                              <a:path w="15384" h="3032452">
                                <a:moveTo>
                                  <a:pt x="0" y="0"/>
                                </a:moveTo>
                                <a:lnTo>
                                  <a:pt x="15384" y="0"/>
                                </a:lnTo>
                                <a:lnTo>
                                  <a:pt x="15384" y="3032452"/>
                                </a:lnTo>
                                <a:lnTo>
                                  <a:pt x="0" y="30324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4776" name="Shape 704776"/>
                        <wps:cNvSpPr/>
                        <wps:spPr>
                          <a:xfrm>
                            <a:off x="21903" y="3038782"/>
                            <a:ext cx="4938038" cy="15590"/>
                          </a:xfrm>
                          <a:custGeom>
                            <a:avLst/>
                            <a:gdLst/>
                            <a:ahLst/>
                            <a:cxnLst/>
                            <a:rect l="0" t="0" r="0" b="0"/>
                            <a:pathLst>
                              <a:path w="4938038" h="15590">
                                <a:moveTo>
                                  <a:pt x="0" y="0"/>
                                </a:moveTo>
                                <a:lnTo>
                                  <a:pt x="4938038" y="0"/>
                                </a:lnTo>
                                <a:lnTo>
                                  <a:pt x="4938038" y="15590"/>
                                </a:lnTo>
                                <a:lnTo>
                                  <a:pt x="0" y="1559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4777" name="Shape 704777"/>
                        <wps:cNvSpPr/>
                        <wps:spPr>
                          <a:xfrm>
                            <a:off x="0" y="0"/>
                            <a:ext cx="4943211" cy="95878"/>
                          </a:xfrm>
                          <a:custGeom>
                            <a:avLst/>
                            <a:gdLst/>
                            <a:ahLst/>
                            <a:cxnLst/>
                            <a:rect l="0" t="0" r="0" b="0"/>
                            <a:pathLst>
                              <a:path w="4943211" h="95878">
                                <a:moveTo>
                                  <a:pt x="0" y="0"/>
                                </a:moveTo>
                                <a:lnTo>
                                  <a:pt x="4943211" y="0"/>
                                </a:lnTo>
                                <a:lnTo>
                                  <a:pt x="4943211" y="95878"/>
                                </a:lnTo>
                                <a:lnTo>
                                  <a:pt x="0" y="95878"/>
                                </a:lnTo>
                                <a:lnTo>
                                  <a:pt x="0" y="0"/>
                                </a:lnTo>
                              </a:path>
                            </a:pathLst>
                          </a:custGeom>
                          <a:ln w="0" cap="flat">
                            <a:miter lim="127000"/>
                          </a:ln>
                        </wps:spPr>
                        <wps:style>
                          <a:lnRef idx="0">
                            <a:srgbClr val="000000">
                              <a:alpha val="0"/>
                            </a:srgbClr>
                          </a:lnRef>
                          <a:fillRef idx="1">
                            <a:srgbClr val="EDEDED"/>
                          </a:fillRef>
                          <a:effectRef idx="0">
                            <a:scrgbClr r="0" g="0" b="0"/>
                          </a:effectRef>
                          <a:fontRef idx="none"/>
                        </wps:style>
                        <wps:bodyPr/>
                      </wps:wsp>
                      <wps:wsp>
                        <wps:cNvPr id="704778" name="Shape 704778"/>
                        <wps:cNvSpPr/>
                        <wps:spPr>
                          <a:xfrm>
                            <a:off x="0" y="95888"/>
                            <a:ext cx="4943211" cy="142646"/>
                          </a:xfrm>
                          <a:custGeom>
                            <a:avLst/>
                            <a:gdLst/>
                            <a:ahLst/>
                            <a:cxnLst/>
                            <a:rect l="0" t="0" r="0" b="0"/>
                            <a:pathLst>
                              <a:path w="4943211" h="142646">
                                <a:moveTo>
                                  <a:pt x="0" y="0"/>
                                </a:moveTo>
                                <a:lnTo>
                                  <a:pt x="4943211" y="0"/>
                                </a:lnTo>
                                <a:lnTo>
                                  <a:pt x="4943211" y="142646"/>
                                </a:lnTo>
                                <a:lnTo>
                                  <a:pt x="0" y="142646"/>
                                </a:lnTo>
                                <a:lnTo>
                                  <a:pt x="0" y="0"/>
                                </a:lnTo>
                              </a:path>
                            </a:pathLst>
                          </a:custGeom>
                          <a:ln w="0" cap="flat">
                            <a:miter lim="127000"/>
                          </a:ln>
                        </wps:spPr>
                        <wps:style>
                          <a:lnRef idx="0">
                            <a:srgbClr val="000000">
                              <a:alpha val="0"/>
                            </a:srgbClr>
                          </a:lnRef>
                          <a:fillRef idx="1">
                            <a:srgbClr val="EBEBEB"/>
                          </a:fillRef>
                          <a:effectRef idx="0">
                            <a:scrgbClr r="0" g="0" b="0"/>
                          </a:effectRef>
                          <a:fontRef idx="none"/>
                        </wps:style>
                        <wps:bodyPr/>
                      </wps:wsp>
                      <wps:wsp>
                        <wps:cNvPr id="704779" name="Shape 704779"/>
                        <wps:cNvSpPr/>
                        <wps:spPr>
                          <a:xfrm>
                            <a:off x="0" y="238589"/>
                            <a:ext cx="4943211" cy="173564"/>
                          </a:xfrm>
                          <a:custGeom>
                            <a:avLst/>
                            <a:gdLst/>
                            <a:ahLst/>
                            <a:cxnLst/>
                            <a:rect l="0" t="0" r="0" b="0"/>
                            <a:pathLst>
                              <a:path w="4943211" h="173564">
                                <a:moveTo>
                                  <a:pt x="0" y="0"/>
                                </a:moveTo>
                                <a:lnTo>
                                  <a:pt x="4943211" y="0"/>
                                </a:lnTo>
                                <a:lnTo>
                                  <a:pt x="4943211" y="173564"/>
                                </a:lnTo>
                                <a:lnTo>
                                  <a:pt x="0" y="173564"/>
                                </a:lnTo>
                                <a:lnTo>
                                  <a:pt x="0" y="0"/>
                                </a:lnTo>
                              </a:path>
                            </a:pathLst>
                          </a:custGeom>
                          <a:ln w="0" cap="flat">
                            <a:miter lim="127000"/>
                          </a:ln>
                        </wps:spPr>
                        <wps:style>
                          <a:lnRef idx="0">
                            <a:srgbClr val="000000">
                              <a:alpha val="0"/>
                            </a:srgbClr>
                          </a:lnRef>
                          <a:fillRef idx="1">
                            <a:srgbClr val="E9E9E9"/>
                          </a:fillRef>
                          <a:effectRef idx="0">
                            <a:scrgbClr r="0" g="0" b="0"/>
                          </a:effectRef>
                          <a:fontRef idx="none"/>
                        </wps:style>
                        <wps:bodyPr/>
                      </wps:wsp>
                      <wps:wsp>
                        <wps:cNvPr id="704780" name="Shape 704780"/>
                        <wps:cNvSpPr/>
                        <wps:spPr>
                          <a:xfrm>
                            <a:off x="0" y="412174"/>
                            <a:ext cx="4943211" cy="125757"/>
                          </a:xfrm>
                          <a:custGeom>
                            <a:avLst/>
                            <a:gdLst/>
                            <a:ahLst/>
                            <a:cxnLst/>
                            <a:rect l="0" t="0" r="0" b="0"/>
                            <a:pathLst>
                              <a:path w="4943211" h="125757">
                                <a:moveTo>
                                  <a:pt x="0" y="0"/>
                                </a:moveTo>
                                <a:lnTo>
                                  <a:pt x="4943211" y="0"/>
                                </a:lnTo>
                                <a:lnTo>
                                  <a:pt x="4943211" y="125757"/>
                                </a:lnTo>
                                <a:lnTo>
                                  <a:pt x="0" y="125757"/>
                                </a:lnTo>
                                <a:lnTo>
                                  <a:pt x="0" y="0"/>
                                </a:lnTo>
                              </a:path>
                            </a:pathLst>
                          </a:custGeom>
                          <a:ln w="0" cap="flat">
                            <a:miter lim="127000"/>
                          </a:ln>
                        </wps:spPr>
                        <wps:style>
                          <a:lnRef idx="0">
                            <a:srgbClr val="000000">
                              <a:alpha val="0"/>
                            </a:srgbClr>
                          </a:lnRef>
                          <a:fillRef idx="1">
                            <a:srgbClr val="E7E7E7"/>
                          </a:fillRef>
                          <a:effectRef idx="0">
                            <a:scrgbClr r="0" g="0" b="0"/>
                          </a:effectRef>
                          <a:fontRef idx="none"/>
                        </wps:style>
                        <wps:bodyPr/>
                      </wps:wsp>
                      <wps:wsp>
                        <wps:cNvPr id="704781" name="Shape 704781"/>
                        <wps:cNvSpPr/>
                        <wps:spPr>
                          <a:xfrm>
                            <a:off x="0" y="537942"/>
                            <a:ext cx="4943211" cy="127058"/>
                          </a:xfrm>
                          <a:custGeom>
                            <a:avLst/>
                            <a:gdLst/>
                            <a:ahLst/>
                            <a:cxnLst/>
                            <a:rect l="0" t="0" r="0" b="0"/>
                            <a:pathLst>
                              <a:path w="4943211" h="127058">
                                <a:moveTo>
                                  <a:pt x="0" y="0"/>
                                </a:moveTo>
                                <a:lnTo>
                                  <a:pt x="4943211" y="0"/>
                                </a:lnTo>
                                <a:lnTo>
                                  <a:pt x="4943211" y="127058"/>
                                </a:lnTo>
                                <a:lnTo>
                                  <a:pt x="0" y="127058"/>
                                </a:lnTo>
                                <a:lnTo>
                                  <a:pt x="0" y="0"/>
                                </a:lnTo>
                              </a:path>
                            </a:pathLst>
                          </a:custGeom>
                          <a:ln w="0" cap="flat">
                            <a:miter lim="127000"/>
                          </a:ln>
                        </wps:spPr>
                        <wps:style>
                          <a:lnRef idx="0">
                            <a:srgbClr val="000000">
                              <a:alpha val="0"/>
                            </a:srgbClr>
                          </a:lnRef>
                          <a:fillRef idx="1">
                            <a:srgbClr val="E5E5E5"/>
                          </a:fillRef>
                          <a:effectRef idx="0">
                            <a:scrgbClr r="0" g="0" b="0"/>
                          </a:effectRef>
                          <a:fontRef idx="none"/>
                        </wps:style>
                        <wps:bodyPr/>
                      </wps:wsp>
                      <wps:wsp>
                        <wps:cNvPr id="704782" name="Shape 704782"/>
                        <wps:cNvSpPr/>
                        <wps:spPr>
                          <a:xfrm>
                            <a:off x="0" y="664904"/>
                            <a:ext cx="4943211" cy="142646"/>
                          </a:xfrm>
                          <a:custGeom>
                            <a:avLst/>
                            <a:gdLst/>
                            <a:ahLst/>
                            <a:cxnLst/>
                            <a:rect l="0" t="0" r="0" b="0"/>
                            <a:pathLst>
                              <a:path w="4943211" h="142646">
                                <a:moveTo>
                                  <a:pt x="0" y="0"/>
                                </a:moveTo>
                                <a:lnTo>
                                  <a:pt x="4943211" y="0"/>
                                </a:lnTo>
                                <a:lnTo>
                                  <a:pt x="4943211" y="142646"/>
                                </a:lnTo>
                                <a:lnTo>
                                  <a:pt x="0" y="142646"/>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704783" name="Shape 704783"/>
                        <wps:cNvSpPr/>
                        <wps:spPr>
                          <a:xfrm>
                            <a:off x="0" y="807560"/>
                            <a:ext cx="4943211" cy="172532"/>
                          </a:xfrm>
                          <a:custGeom>
                            <a:avLst/>
                            <a:gdLst/>
                            <a:ahLst/>
                            <a:cxnLst/>
                            <a:rect l="0" t="0" r="0" b="0"/>
                            <a:pathLst>
                              <a:path w="4943211" h="172532">
                                <a:moveTo>
                                  <a:pt x="0" y="0"/>
                                </a:moveTo>
                                <a:lnTo>
                                  <a:pt x="4943211" y="0"/>
                                </a:lnTo>
                                <a:lnTo>
                                  <a:pt x="4943211" y="172532"/>
                                </a:lnTo>
                                <a:lnTo>
                                  <a:pt x="0" y="172532"/>
                                </a:lnTo>
                                <a:lnTo>
                                  <a:pt x="0" y="0"/>
                                </a:lnTo>
                              </a:path>
                            </a:pathLst>
                          </a:custGeom>
                          <a:ln w="0" cap="flat">
                            <a:miter lim="127000"/>
                          </a:ln>
                        </wps:spPr>
                        <wps:style>
                          <a:lnRef idx="0">
                            <a:srgbClr val="000000">
                              <a:alpha val="0"/>
                            </a:srgbClr>
                          </a:lnRef>
                          <a:fillRef idx="1">
                            <a:srgbClr val="E1E1E1"/>
                          </a:fillRef>
                          <a:effectRef idx="0">
                            <a:scrgbClr r="0" g="0" b="0"/>
                          </a:effectRef>
                          <a:fontRef idx="none"/>
                        </wps:style>
                        <wps:bodyPr/>
                      </wps:wsp>
                      <wps:wsp>
                        <wps:cNvPr id="704784" name="Shape 704784"/>
                        <wps:cNvSpPr/>
                        <wps:spPr>
                          <a:xfrm>
                            <a:off x="0" y="980103"/>
                            <a:ext cx="4943211" cy="127058"/>
                          </a:xfrm>
                          <a:custGeom>
                            <a:avLst/>
                            <a:gdLst/>
                            <a:ahLst/>
                            <a:cxnLst/>
                            <a:rect l="0" t="0" r="0" b="0"/>
                            <a:pathLst>
                              <a:path w="4943211" h="127058">
                                <a:moveTo>
                                  <a:pt x="0" y="0"/>
                                </a:moveTo>
                                <a:lnTo>
                                  <a:pt x="4943211" y="0"/>
                                </a:lnTo>
                                <a:lnTo>
                                  <a:pt x="4943211" y="127058"/>
                                </a:lnTo>
                                <a:lnTo>
                                  <a:pt x="0" y="127058"/>
                                </a:lnTo>
                                <a:lnTo>
                                  <a:pt x="0" y="0"/>
                                </a:lnTo>
                              </a:path>
                            </a:pathLst>
                          </a:custGeom>
                          <a:ln w="0" cap="flat">
                            <a:miter lim="127000"/>
                          </a:ln>
                        </wps:spPr>
                        <wps:style>
                          <a:lnRef idx="0">
                            <a:srgbClr val="000000">
                              <a:alpha val="0"/>
                            </a:srgbClr>
                          </a:lnRef>
                          <a:fillRef idx="1">
                            <a:srgbClr val="DFDFDF"/>
                          </a:fillRef>
                          <a:effectRef idx="0">
                            <a:scrgbClr r="0" g="0" b="0"/>
                          </a:effectRef>
                          <a:fontRef idx="none"/>
                        </wps:style>
                        <wps:bodyPr/>
                      </wps:wsp>
                      <wps:wsp>
                        <wps:cNvPr id="15889" name="Shape 15889"/>
                        <wps:cNvSpPr/>
                        <wps:spPr>
                          <a:xfrm>
                            <a:off x="0" y="1107172"/>
                            <a:ext cx="4943211" cy="127058"/>
                          </a:xfrm>
                          <a:custGeom>
                            <a:avLst/>
                            <a:gdLst/>
                            <a:ahLst/>
                            <a:cxnLst/>
                            <a:rect l="0" t="0" r="0" b="0"/>
                            <a:pathLst>
                              <a:path w="4943211" h="127058">
                                <a:moveTo>
                                  <a:pt x="0" y="0"/>
                                </a:moveTo>
                                <a:lnTo>
                                  <a:pt x="4943211" y="0"/>
                                </a:lnTo>
                                <a:lnTo>
                                  <a:pt x="4943211" y="127058"/>
                                </a:lnTo>
                                <a:lnTo>
                                  <a:pt x="0" y="127058"/>
                                </a:lnTo>
                                <a:lnTo>
                                  <a:pt x="0" y="0"/>
                                </a:lnTo>
                                <a:close/>
                              </a:path>
                            </a:pathLst>
                          </a:custGeom>
                          <a:ln w="0" cap="flat">
                            <a:miter lim="127000"/>
                          </a:ln>
                        </wps:spPr>
                        <wps:style>
                          <a:lnRef idx="0">
                            <a:srgbClr val="000000">
                              <a:alpha val="0"/>
                            </a:srgbClr>
                          </a:lnRef>
                          <a:fillRef idx="1">
                            <a:srgbClr val="DDDDDD"/>
                          </a:fillRef>
                          <a:effectRef idx="0">
                            <a:scrgbClr r="0" g="0" b="0"/>
                          </a:effectRef>
                          <a:fontRef idx="none"/>
                        </wps:style>
                        <wps:bodyPr/>
                      </wps:wsp>
                      <wps:wsp>
                        <wps:cNvPr id="704785" name="Shape 704785"/>
                        <wps:cNvSpPr/>
                        <wps:spPr>
                          <a:xfrm>
                            <a:off x="0" y="1234252"/>
                            <a:ext cx="4943210" cy="125757"/>
                          </a:xfrm>
                          <a:custGeom>
                            <a:avLst/>
                            <a:gdLst/>
                            <a:ahLst/>
                            <a:cxnLst/>
                            <a:rect l="0" t="0" r="0" b="0"/>
                            <a:pathLst>
                              <a:path w="4943210" h="125757">
                                <a:moveTo>
                                  <a:pt x="0" y="0"/>
                                </a:moveTo>
                                <a:lnTo>
                                  <a:pt x="4943210" y="0"/>
                                </a:lnTo>
                                <a:lnTo>
                                  <a:pt x="4943210" y="125757"/>
                                </a:lnTo>
                                <a:lnTo>
                                  <a:pt x="0" y="125757"/>
                                </a:lnTo>
                                <a:lnTo>
                                  <a:pt x="0" y="0"/>
                                </a:lnTo>
                              </a:path>
                            </a:pathLst>
                          </a:custGeom>
                          <a:ln w="0" cap="flat">
                            <a:miter lim="127000"/>
                          </a:ln>
                        </wps:spPr>
                        <wps:style>
                          <a:lnRef idx="0">
                            <a:srgbClr val="000000">
                              <a:alpha val="0"/>
                            </a:srgbClr>
                          </a:lnRef>
                          <a:fillRef idx="1">
                            <a:srgbClr val="DBDBDB"/>
                          </a:fillRef>
                          <a:effectRef idx="0">
                            <a:scrgbClr r="0" g="0" b="0"/>
                          </a:effectRef>
                          <a:fontRef idx="none"/>
                        </wps:style>
                        <wps:bodyPr/>
                      </wps:wsp>
                      <wps:wsp>
                        <wps:cNvPr id="704786" name="Shape 704786"/>
                        <wps:cNvSpPr/>
                        <wps:spPr>
                          <a:xfrm>
                            <a:off x="0" y="1360020"/>
                            <a:ext cx="4943210" cy="127058"/>
                          </a:xfrm>
                          <a:custGeom>
                            <a:avLst/>
                            <a:gdLst/>
                            <a:ahLst/>
                            <a:cxnLst/>
                            <a:rect l="0" t="0" r="0" b="0"/>
                            <a:pathLst>
                              <a:path w="4943210" h="127058">
                                <a:moveTo>
                                  <a:pt x="0" y="0"/>
                                </a:moveTo>
                                <a:lnTo>
                                  <a:pt x="4943210" y="0"/>
                                </a:lnTo>
                                <a:lnTo>
                                  <a:pt x="4943210" y="127058"/>
                                </a:lnTo>
                                <a:lnTo>
                                  <a:pt x="0" y="127058"/>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704787" name="Shape 704787"/>
                        <wps:cNvSpPr/>
                        <wps:spPr>
                          <a:xfrm>
                            <a:off x="0" y="1487035"/>
                            <a:ext cx="4943210" cy="125499"/>
                          </a:xfrm>
                          <a:custGeom>
                            <a:avLst/>
                            <a:gdLst/>
                            <a:ahLst/>
                            <a:cxnLst/>
                            <a:rect l="0" t="0" r="0" b="0"/>
                            <a:pathLst>
                              <a:path w="4943210" h="125499">
                                <a:moveTo>
                                  <a:pt x="0" y="0"/>
                                </a:moveTo>
                                <a:lnTo>
                                  <a:pt x="4943210" y="0"/>
                                </a:lnTo>
                                <a:lnTo>
                                  <a:pt x="4943210" y="125499"/>
                                </a:lnTo>
                                <a:lnTo>
                                  <a:pt x="0" y="125499"/>
                                </a:lnTo>
                                <a:lnTo>
                                  <a:pt x="0" y="0"/>
                                </a:lnTo>
                              </a:path>
                            </a:pathLst>
                          </a:custGeom>
                          <a:ln w="0" cap="flat">
                            <a:miter lim="127000"/>
                          </a:ln>
                        </wps:spPr>
                        <wps:style>
                          <a:lnRef idx="0">
                            <a:srgbClr val="000000">
                              <a:alpha val="0"/>
                            </a:srgbClr>
                          </a:lnRef>
                          <a:fillRef idx="1">
                            <a:srgbClr val="D7D7D7"/>
                          </a:fillRef>
                          <a:effectRef idx="0">
                            <a:scrgbClr r="0" g="0" b="0"/>
                          </a:effectRef>
                          <a:fontRef idx="none"/>
                        </wps:style>
                        <wps:bodyPr/>
                      </wps:wsp>
                      <wps:wsp>
                        <wps:cNvPr id="704788" name="Shape 704788"/>
                        <wps:cNvSpPr/>
                        <wps:spPr>
                          <a:xfrm>
                            <a:off x="0" y="1612545"/>
                            <a:ext cx="4943210" cy="127058"/>
                          </a:xfrm>
                          <a:custGeom>
                            <a:avLst/>
                            <a:gdLst/>
                            <a:ahLst/>
                            <a:cxnLst/>
                            <a:rect l="0" t="0" r="0" b="0"/>
                            <a:pathLst>
                              <a:path w="4943210" h="127058">
                                <a:moveTo>
                                  <a:pt x="0" y="0"/>
                                </a:moveTo>
                                <a:lnTo>
                                  <a:pt x="4943210" y="0"/>
                                </a:lnTo>
                                <a:lnTo>
                                  <a:pt x="4943210" y="127058"/>
                                </a:lnTo>
                                <a:lnTo>
                                  <a:pt x="0" y="127057"/>
                                </a:lnTo>
                                <a:lnTo>
                                  <a:pt x="0" y="0"/>
                                </a:lnTo>
                              </a:path>
                            </a:pathLst>
                          </a:custGeom>
                          <a:ln w="0" cap="flat">
                            <a:miter lim="127000"/>
                          </a:ln>
                        </wps:spPr>
                        <wps:style>
                          <a:lnRef idx="0">
                            <a:srgbClr val="000000">
                              <a:alpha val="0"/>
                            </a:srgbClr>
                          </a:lnRef>
                          <a:fillRef idx="1">
                            <a:srgbClr val="D5D5D5"/>
                          </a:fillRef>
                          <a:effectRef idx="0">
                            <a:scrgbClr r="0" g="0" b="0"/>
                          </a:effectRef>
                          <a:fontRef idx="none"/>
                        </wps:style>
                        <wps:bodyPr/>
                      </wps:wsp>
                      <wps:wsp>
                        <wps:cNvPr id="704789" name="Shape 704789"/>
                        <wps:cNvSpPr/>
                        <wps:spPr>
                          <a:xfrm>
                            <a:off x="0" y="1739624"/>
                            <a:ext cx="4943210" cy="125757"/>
                          </a:xfrm>
                          <a:custGeom>
                            <a:avLst/>
                            <a:gdLst/>
                            <a:ahLst/>
                            <a:cxnLst/>
                            <a:rect l="0" t="0" r="0" b="0"/>
                            <a:pathLst>
                              <a:path w="4943210" h="125757">
                                <a:moveTo>
                                  <a:pt x="0" y="0"/>
                                </a:moveTo>
                                <a:lnTo>
                                  <a:pt x="4943210" y="0"/>
                                </a:lnTo>
                                <a:lnTo>
                                  <a:pt x="4943210" y="125757"/>
                                </a:lnTo>
                                <a:lnTo>
                                  <a:pt x="0" y="125757"/>
                                </a:lnTo>
                                <a:lnTo>
                                  <a:pt x="0" y="0"/>
                                </a:lnTo>
                              </a:path>
                            </a:pathLst>
                          </a:custGeom>
                          <a:ln w="0" cap="flat">
                            <a:miter lim="127000"/>
                          </a:ln>
                        </wps:spPr>
                        <wps:style>
                          <a:lnRef idx="0">
                            <a:srgbClr val="000000">
                              <a:alpha val="0"/>
                            </a:srgbClr>
                          </a:lnRef>
                          <a:fillRef idx="1">
                            <a:srgbClr val="D3D3D3"/>
                          </a:fillRef>
                          <a:effectRef idx="0">
                            <a:scrgbClr r="0" g="0" b="0"/>
                          </a:effectRef>
                          <a:fontRef idx="none"/>
                        </wps:style>
                        <wps:bodyPr/>
                      </wps:wsp>
                      <wps:wsp>
                        <wps:cNvPr id="704790" name="Shape 704790"/>
                        <wps:cNvSpPr/>
                        <wps:spPr>
                          <a:xfrm>
                            <a:off x="0" y="1865393"/>
                            <a:ext cx="4943210" cy="127058"/>
                          </a:xfrm>
                          <a:custGeom>
                            <a:avLst/>
                            <a:gdLst/>
                            <a:ahLst/>
                            <a:cxnLst/>
                            <a:rect l="0" t="0" r="0" b="0"/>
                            <a:pathLst>
                              <a:path w="4943210" h="127058">
                                <a:moveTo>
                                  <a:pt x="0" y="0"/>
                                </a:moveTo>
                                <a:lnTo>
                                  <a:pt x="4943210" y="0"/>
                                </a:lnTo>
                                <a:lnTo>
                                  <a:pt x="4943210" y="127058"/>
                                </a:lnTo>
                                <a:lnTo>
                                  <a:pt x="0" y="127058"/>
                                </a:lnTo>
                                <a:lnTo>
                                  <a:pt x="0" y="0"/>
                                </a:lnTo>
                              </a:path>
                            </a:pathLst>
                          </a:custGeom>
                          <a:ln w="0" cap="flat">
                            <a:miter lim="127000"/>
                          </a:ln>
                        </wps:spPr>
                        <wps:style>
                          <a:lnRef idx="0">
                            <a:srgbClr val="000000">
                              <a:alpha val="0"/>
                            </a:srgbClr>
                          </a:lnRef>
                          <a:fillRef idx="1">
                            <a:srgbClr val="D1D1D1"/>
                          </a:fillRef>
                          <a:effectRef idx="0">
                            <a:scrgbClr r="0" g="0" b="0"/>
                          </a:effectRef>
                          <a:fontRef idx="none"/>
                        </wps:style>
                        <wps:bodyPr/>
                      </wps:wsp>
                      <wps:wsp>
                        <wps:cNvPr id="704791" name="Shape 704791"/>
                        <wps:cNvSpPr/>
                        <wps:spPr>
                          <a:xfrm>
                            <a:off x="0" y="1992440"/>
                            <a:ext cx="4943210" cy="117963"/>
                          </a:xfrm>
                          <a:custGeom>
                            <a:avLst/>
                            <a:gdLst/>
                            <a:ahLst/>
                            <a:cxnLst/>
                            <a:rect l="0" t="0" r="0" b="0"/>
                            <a:pathLst>
                              <a:path w="4943210" h="117963">
                                <a:moveTo>
                                  <a:pt x="0" y="0"/>
                                </a:moveTo>
                                <a:lnTo>
                                  <a:pt x="4943210" y="0"/>
                                </a:lnTo>
                                <a:lnTo>
                                  <a:pt x="4943210" y="117963"/>
                                </a:lnTo>
                                <a:lnTo>
                                  <a:pt x="0" y="117963"/>
                                </a:lnTo>
                                <a:lnTo>
                                  <a:pt x="0" y="0"/>
                                </a:lnTo>
                              </a:path>
                            </a:pathLst>
                          </a:custGeom>
                          <a:ln w="0" cap="flat">
                            <a:miter lim="127000"/>
                          </a:ln>
                        </wps:spPr>
                        <wps:style>
                          <a:lnRef idx="0">
                            <a:srgbClr val="000000">
                              <a:alpha val="0"/>
                            </a:srgbClr>
                          </a:lnRef>
                          <a:fillRef idx="1">
                            <a:srgbClr val="CFCFCF"/>
                          </a:fillRef>
                          <a:effectRef idx="0">
                            <a:scrgbClr r="0" g="0" b="0"/>
                          </a:effectRef>
                          <a:fontRef idx="none"/>
                        </wps:style>
                        <wps:bodyPr/>
                      </wps:wsp>
                      <wps:wsp>
                        <wps:cNvPr id="704792" name="Shape 704792"/>
                        <wps:cNvSpPr/>
                        <wps:spPr>
                          <a:xfrm>
                            <a:off x="0" y="2110395"/>
                            <a:ext cx="4943210" cy="96138"/>
                          </a:xfrm>
                          <a:custGeom>
                            <a:avLst/>
                            <a:gdLst/>
                            <a:ahLst/>
                            <a:cxnLst/>
                            <a:rect l="0" t="0" r="0" b="0"/>
                            <a:pathLst>
                              <a:path w="4943210" h="96138">
                                <a:moveTo>
                                  <a:pt x="0" y="0"/>
                                </a:moveTo>
                                <a:lnTo>
                                  <a:pt x="4943210" y="0"/>
                                </a:lnTo>
                                <a:lnTo>
                                  <a:pt x="4943210" y="96138"/>
                                </a:lnTo>
                                <a:lnTo>
                                  <a:pt x="0" y="96138"/>
                                </a:lnTo>
                                <a:lnTo>
                                  <a:pt x="0" y="0"/>
                                </a:lnTo>
                              </a:path>
                            </a:pathLst>
                          </a:custGeom>
                          <a:ln w="0" cap="flat">
                            <a:miter lim="127000"/>
                          </a:ln>
                        </wps:spPr>
                        <wps:style>
                          <a:lnRef idx="0">
                            <a:srgbClr val="000000">
                              <a:alpha val="0"/>
                            </a:srgbClr>
                          </a:lnRef>
                          <a:fillRef idx="1">
                            <a:srgbClr val="CDCDCD"/>
                          </a:fillRef>
                          <a:effectRef idx="0">
                            <a:scrgbClr r="0" g="0" b="0"/>
                          </a:effectRef>
                          <a:fontRef idx="none"/>
                        </wps:style>
                        <wps:bodyPr/>
                      </wps:wsp>
                      <wps:wsp>
                        <wps:cNvPr id="704793" name="Shape 704793"/>
                        <wps:cNvSpPr/>
                        <wps:spPr>
                          <a:xfrm>
                            <a:off x="0" y="2206533"/>
                            <a:ext cx="4943210" cy="101074"/>
                          </a:xfrm>
                          <a:custGeom>
                            <a:avLst/>
                            <a:gdLst/>
                            <a:ahLst/>
                            <a:cxnLst/>
                            <a:rect l="0" t="0" r="0" b="0"/>
                            <a:pathLst>
                              <a:path w="4943210" h="101074">
                                <a:moveTo>
                                  <a:pt x="0" y="0"/>
                                </a:moveTo>
                                <a:lnTo>
                                  <a:pt x="4943210" y="0"/>
                                </a:lnTo>
                                <a:lnTo>
                                  <a:pt x="4943210" y="101074"/>
                                </a:lnTo>
                                <a:lnTo>
                                  <a:pt x="0" y="101074"/>
                                </a:lnTo>
                                <a:lnTo>
                                  <a:pt x="0" y="0"/>
                                </a:lnTo>
                              </a:path>
                            </a:pathLst>
                          </a:custGeom>
                          <a:ln w="0" cap="flat">
                            <a:miter lim="127000"/>
                          </a:ln>
                        </wps:spPr>
                        <wps:style>
                          <a:lnRef idx="0">
                            <a:srgbClr val="000000">
                              <a:alpha val="0"/>
                            </a:srgbClr>
                          </a:lnRef>
                          <a:fillRef idx="1">
                            <a:srgbClr val="CBCBCB"/>
                          </a:fillRef>
                          <a:effectRef idx="0">
                            <a:scrgbClr r="0" g="0" b="0"/>
                          </a:effectRef>
                          <a:fontRef idx="none"/>
                        </wps:style>
                        <wps:bodyPr/>
                      </wps:wsp>
                      <wps:wsp>
                        <wps:cNvPr id="704794" name="Shape 704794"/>
                        <wps:cNvSpPr/>
                        <wps:spPr>
                          <a:xfrm>
                            <a:off x="0" y="2307608"/>
                            <a:ext cx="4943210" cy="127058"/>
                          </a:xfrm>
                          <a:custGeom>
                            <a:avLst/>
                            <a:gdLst/>
                            <a:ahLst/>
                            <a:cxnLst/>
                            <a:rect l="0" t="0" r="0" b="0"/>
                            <a:pathLst>
                              <a:path w="4943210" h="127058">
                                <a:moveTo>
                                  <a:pt x="0" y="0"/>
                                </a:moveTo>
                                <a:lnTo>
                                  <a:pt x="4943210" y="0"/>
                                </a:lnTo>
                                <a:lnTo>
                                  <a:pt x="4943210" y="127058"/>
                                </a:lnTo>
                                <a:lnTo>
                                  <a:pt x="0" y="127058"/>
                                </a:lnTo>
                                <a:lnTo>
                                  <a:pt x="0" y="0"/>
                                </a:lnTo>
                              </a:path>
                            </a:pathLst>
                          </a:custGeom>
                          <a:ln w="0" cap="flat">
                            <a:miter lim="127000"/>
                          </a:ln>
                        </wps:spPr>
                        <wps:style>
                          <a:lnRef idx="0">
                            <a:srgbClr val="000000">
                              <a:alpha val="0"/>
                            </a:srgbClr>
                          </a:lnRef>
                          <a:fillRef idx="1">
                            <a:srgbClr val="C9C9C9"/>
                          </a:fillRef>
                          <a:effectRef idx="0">
                            <a:scrgbClr r="0" g="0" b="0"/>
                          </a:effectRef>
                          <a:fontRef idx="none"/>
                        </wps:style>
                        <wps:bodyPr/>
                      </wps:wsp>
                      <wps:wsp>
                        <wps:cNvPr id="704795" name="Shape 704795"/>
                        <wps:cNvSpPr/>
                        <wps:spPr>
                          <a:xfrm>
                            <a:off x="0" y="2434669"/>
                            <a:ext cx="4943210" cy="103673"/>
                          </a:xfrm>
                          <a:custGeom>
                            <a:avLst/>
                            <a:gdLst/>
                            <a:ahLst/>
                            <a:cxnLst/>
                            <a:rect l="0" t="0" r="0" b="0"/>
                            <a:pathLst>
                              <a:path w="4943210" h="103673">
                                <a:moveTo>
                                  <a:pt x="0" y="0"/>
                                </a:moveTo>
                                <a:lnTo>
                                  <a:pt x="4943210" y="0"/>
                                </a:lnTo>
                                <a:lnTo>
                                  <a:pt x="4943210" y="103673"/>
                                </a:lnTo>
                                <a:lnTo>
                                  <a:pt x="0" y="103673"/>
                                </a:lnTo>
                                <a:lnTo>
                                  <a:pt x="0" y="0"/>
                                </a:lnTo>
                              </a:path>
                            </a:pathLst>
                          </a:custGeom>
                          <a:ln w="0" cap="flat">
                            <a:miter lim="127000"/>
                          </a:ln>
                        </wps:spPr>
                        <wps:style>
                          <a:lnRef idx="0">
                            <a:srgbClr val="000000">
                              <a:alpha val="0"/>
                            </a:srgbClr>
                          </a:lnRef>
                          <a:fillRef idx="1">
                            <a:srgbClr val="C7C7C7"/>
                          </a:fillRef>
                          <a:effectRef idx="0">
                            <a:scrgbClr r="0" g="0" b="0"/>
                          </a:effectRef>
                          <a:fontRef idx="none"/>
                        </wps:style>
                        <wps:bodyPr/>
                      </wps:wsp>
                      <wps:wsp>
                        <wps:cNvPr id="704796" name="Shape 704796"/>
                        <wps:cNvSpPr/>
                        <wps:spPr>
                          <a:xfrm>
                            <a:off x="0" y="2538344"/>
                            <a:ext cx="4943210" cy="94580"/>
                          </a:xfrm>
                          <a:custGeom>
                            <a:avLst/>
                            <a:gdLst/>
                            <a:ahLst/>
                            <a:cxnLst/>
                            <a:rect l="0" t="0" r="0" b="0"/>
                            <a:pathLst>
                              <a:path w="4943210" h="94580">
                                <a:moveTo>
                                  <a:pt x="0" y="0"/>
                                </a:moveTo>
                                <a:lnTo>
                                  <a:pt x="4943210" y="0"/>
                                </a:lnTo>
                                <a:lnTo>
                                  <a:pt x="4943210" y="94580"/>
                                </a:lnTo>
                                <a:lnTo>
                                  <a:pt x="0" y="94580"/>
                                </a:lnTo>
                                <a:lnTo>
                                  <a:pt x="0" y="0"/>
                                </a:lnTo>
                              </a:path>
                            </a:pathLst>
                          </a:custGeom>
                          <a:ln w="0" cap="flat">
                            <a:miter lim="127000"/>
                          </a:ln>
                        </wps:spPr>
                        <wps:style>
                          <a:lnRef idx="0">
                            <a:srgbClr val="000000">
                              <a:alpha val="0"/>
                            </a:srgbClr>
                          </a:lnRef>
                          <a:fillRef idx="1">
                            <a:srgbClr val="C5C5C5"/>
                          </a:fillRef>
                          <a:effectRef idx="0">
                            <a:scrgbClr r="0" g="0" b="0"/>
                          </a:effectRef>
                          <a:fontRef idx="none"/>
                        </wps:style>
                        <wps:bodyPr/>
                      </wps:wsp>
                      <wps:wsp>
                        <wps:cNvPr id="704797" name="Shape 704797"/>
                        <wps:cNvSpPr/>
                        <wps:spPr>
                          <a:xfrm>
                            <a:off x="0" y="2632924"/>
                            <a:ext cx="4943210" cy="117963"/>
                          </a:xfrm>
                          <a:custGeom>
                            <a:avLst/>
                            <a:gdLst/>
                            <a:ahLst/>
                            <a:cxnLst/>
                            <a:rect l="0" t="0" r="0" b="0"/>
                            <a:pathLst>
                              <a:path w="4943210" h="117963">
                                <a:moveTo>
                                  <a:pt x="0" y="0"/>
                                </a:moveTo>
                                <a:lnTo>
                                  <a:pt x="4943210" y="0"/>
                                </a:lnTo>
                                <a:lnTo>
                                  <a:pt x="4943210" y="117963"/>
                                </a:lnTo>
                                <a:lnTo>
                                  <a:pt x="0" y="117963"/>
                                </a:lnTo>
                                <a:lnTo>
                                  <a:pt x="0" y="0"/>
                                </a:lnTo>
                              </a:path>
                            </a:pathLst>
                          </a:custGeom>
                          <a:ln w="0" cap="flat">
                            <a:miter lim="127000"/>
                          </a:ln>
                        </wps:spPr>
                        <wps:style>
                          <a:lnRef idx="0">
                            <a:srgbClr val="000000">
                              <a:alpha val="0"/>
                            </a:srgbClr>
                          </a:lnRef>
                          <a:fillRef idx="1">
                            <a:srgbClr val="C3C3C3"/>
                          </a:fillRef>
                          <a:effectRef idx="0">
                            <a:scrgbClr r="0" g="0" b="0"/>
                          </a:effectRef>
                          <a:fontRef idx="none"/>
                        </wps:style>
                        <wps:bodyPr/>
                      </wps:wsp>
                      <wps:wsp>
                        <wps:cNvPr id="704798" name="Shape 704798"/>
                        <wps:cNvSpPr/>
                        <wps:spPr>
                          <a:xfrm>
                            <a:off x="0" y="2750887"/>
                            <a:ext cx="4943210" cy="119264"/>
                          </a:xfrm>
                          <a:custGeom>
                            <a:avLst/>
                            <a:gdLst/>
                            <a:ahLst/>
                            <a:cxnLst/>
                            <a:rect l="0" t="0" r="0" b="0"/>
                            <a:pathLst>
                              <a:path w="4943210" h="119264">
                                <a:moveTo>
                                  <a:pt x="0" y="0"/>
                                </a:moveTo>
                                <a:lnTo>
                                  <a:pt x="4943210" y="0"/>
                                </a:lnTo>
                                <a:lnTo>
                                  <a:pt x="4943210" y="119264"/>
                                </a:lnTo>
                                <a:lnTo>
                                  <a:pt x="0" y="119264"/>
                                </a:lnTo>
                                <a:lnTo>
                                  <a:pt x="0" y="0"/>
                                </a:lnTo>
                              </a:path>
                            </a:pathLst>
                          </a:custGeom>
                          <a:ln w="0" cap="flat">
                            <a:miter lim="127000"/>
                          </a:ln>
                        </wps:spPr>
                        <wps:style>
                          <a:lnRef idx="0">
                            <a:srgbClr val="000000">
                              <a:alpha val="0"/>
                            </a:srgbClr>
                          </a:lnRef>
                          <a:fillRef idx="1">
                            <a:srgbClr val="C1C1C1"/>
                          </a:fillRef>
                          <a:effectRef idx="0">
                            <a:scrgbClr r="0" g="0" b="0"/>
                          </a:effectRef>
                          <a:fontRef idx="none"/>
                        </wps:style>
                        <wps:bodyPr/>
                      </wps:wsp>
                      <wps:wsp>
                        <wps:cNvPr id="704799" name="Shape 704799"/>
                        <wps:cNvSpPr/>
                        <wps:spPr>
                          <a:xfrm>
                            <a:off x="0" y="2870153"/>
                            <a:ext cx="4943210" cy="94580"/>
                          </a:xfrm>
                          <a:custGeom>
                            <a:avLst/>
                            <a:gdLst/>
                            <a:ahLst/>
                            <a:cxnLst/>
                            <a:rect l="0" t="0" r="0" b="0"/>
                            <a:pathLst>
                              <a:path w="4943210" h="94580">
                                <a:moveTo>
                                  <a:pt x="0" y="0"/>
                                </a:moveTo>
                                <a:lnTo>
                                  <a:pt x="4943210" y="0"/>
                                </a:lnTo>
                                <a:lnTo>
                                  <a:pt x="4943210" y="94580"/>
                                </a:lnTo>
                                <a:lnTo>
                                  <a:pt x="0" y="94579"/>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704800" name="Shape 704800"/>
                        <wps:cNvSpPr/>
                        <wps:spPr>
                          <a:xfrm>
                            <a:off x="0" y="2964729"/>
                            <a:ext cx="4943210" cy="71455"/>
                          </a:xfrm>
                          <a:custGeom>
                            <a:avLst/>
                            <a:gdLst/>
                            <a:ahLst/>
                            <a:cxnLst/>
                            <a:rect l="0" t="0" r="0" b="0"/>
                            <a:pathLst>
                              <a:path w="4943210" h="71455">
                                <a:moveTo>
                                  <a:pt x="0" y="0"/>
                                </a:moveTo>
                                <a:lnTo>
                                  <a:pt x="4943210" y="0"/>
                                </a:lnTo>
                                <a:lnTo>
                                  <a:pt x="4943210" y="71455"/>
                                </a:lnTo>
                                <a:lnTo>
                                  <a:pt x="0" y="71455"/>
                                </a:lnTo>
                                <a:lnTo>
                                  <a:pt x="0" y="0"/>
                                </a:lnTo>
                              </a:path>
                            </a:pathLst>
                          </a:custGeom>
                          <a:ln w="0" cap="flat">
                            <a:miter lim="127000"/>
                          </a:ln>
                        </wps:spPr>
                        <wps:style>
                          <a:lnRef idx="0">
                            <a:srgbClr val="000000">
                              <a:alpha val="0"/>
                            </a:srgbClr>
                          </a:lnRef>
                          <a:fillRef idx="1">
                            <a:srgbClr val="BCBCBC"/>
                          </a:fillRef>
                          <a:effectRef idx="0">
                            <a:scrgbClr r="0" g="0" b="0"/>
                          </a:effectRef>
                          <a:fontRef idx="none"/>
                        </wps:style>
                        <wps:bodyPr/>
                      </wps:wsp>
                      <wps:wsp>
                        <wps:cNvPr id="15906" name="Shape 15906"/>
                        <wps:cNvSpPr/>
                        <wps:spPr>
                          <a:xfrm>
                            <a:off x="1304" y="1338"/>
                            <a:ext cx="4936746" cy="3030948"/>
                          </a:xfrm>
                          <a:custGeom>
                            <a:avLst/>
                            <a:gdLst/>
                            <a:ahLst/>
                            <a:cxnLst/>
                            <a:rect l="0" t="0" r="0" b="0"/>
                            <a:pathLst>
                              <a:path w="4936746" h="3030948">
                                <a:moveTo>
                                  <a:pt x="0" y="3030948"/>
                                </a:moveTo>
                                <a:lnTo>
                                  <a:pt x="4936746" y="3030948"/>
                                </a:lnTo>
                                <a:lnTo>
                                  <a:pt x="4936746" y="0"/>
                                </a:lnTo>
                                <a:lnTo>
                                  <a:pt x="0" y="0"/>
                                </a:lnTo>
                                <a:close/>
                              </a:path>
                            </a:pathLst>
                          </a:custGeom>
                          <a:ln w="1505" cap="flat">
                            <a:round/>
                          </a:ln>
                        </wps:spPr>
                        <wps:style>
                          <a:lnRef idx="1">
                            <a:srgbClr val="000000"/>
                          </a:lnRef>
                          <a:fillRef idx="0">
                            <a:srgbClr val="000000">
                              <a:alpha val="0"/>
                            </a:srgbClr>
                          </a:fillRef>
                          <a:effectRef idx="0">
                            <a:scrgbClr r="0" g="0" b="0"/>
                          </a:effectRef>
                          <a:fontRef idx="none"/>
                        </wps:style>
                        <wps:bodyPr/>
                      </wps:wsp>
                      <wps:wsp>
                        <wps:cNvPr id="704801" name="Shape 704801"/>
                        <wps:cNvSpPr/>
                        <wps:spPr>
                          <a:xfrm>
                            <a:off x="217463" y="707798"/>
                            <a:ext cx="3671555" cy="1916031"/>
                          </a:xfrm>
                          <a:custGeom>
                            <a:avLst/>
                            <a:gdLst/>
                            <a:ahLst/>
                            <a:cxnLst/>
                            <a:rect l="0" t="0" r="0" b="0"/>
                            <a:pathLst>
                              <a:path w="3671555" h="1916031">
                                <a:moveTo>
                                  <a:pt x="0" y="0"/>
                                </a:moveTo>
                                <a:lnTo>
                                  <a:pt x="3671555" y="0"/>
                                </a:lnTo>
                                <a:lnTo>
                                  <a:pt x="3671555" y="1916031"/>
                                </a:lnTo>
                                <a:lnTo>
                                  <a:pt x="0" y="1916031"/>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5911" name="Shape 15911"/>
                        <wps:cNvSpPr/>
                        <wps:spPr>
                          <a:xfrm>
                            <a:off x="221503" y="2388031"/>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13" name="Shape 15913"/>
                        <wps:cNvSpPr/>
                        <wps:spPr>
                          <a:xfrm>
                            <a:off x="221503" y="2149503"/>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15" name="Shape 15915"/>
                        <wps:cNvSpPr/>
                        <wps:spPr>
                          <a:xfrm>
                            <a:off x="221503" y="1909673"/>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17" name="Shape 15917"/>
                        <wps:cNvSpPr/>
                        <wps:spPr>
                          <a:xfrm>
                            <a:off x="221503" y="1669833"/>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19" name="Shape 15919"/>
                        <wps:cNvSpPr/>
                        <wps:spPr>
                          <a:xfrm>
                            <a:off x="221503" y="1429994"/>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21" name="Shape 15921"/>
                        <wps:cNvSpPr/>
                        <wps:spPr>
                          <a:xfrm>
                            <a:off x="221503" y="1191551"/>
                            <a:ext cx="3667578" cy="1"/>
                          </a:xfrm>
                          <a:custGeom>
                            <a:avLst/>
                            <a:gdLst/>
                            <a:ahLst/>
                            <a:cxnLst/>
                            <a:rect l="0" t="0" r="0" b="0"/>
                            <a:pathLst>
                              <a:path w="3667578" h="1">
                                <a:moveTo>
                                  <a:pt x="3667578" y="1"/>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23" name="Shape 15923"/>
                        <wps:cNvSpPr/>
                        <wps:spPr>
                          <a:xfrm>
                            <a:off x="221503" y="951711"/>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25" name="Shape 15925"/>
                        <wps:cNvSpPr/>
                        <wps:spPr>
                          <a:xfrm>
                            <a:off x="221503" y="711872"/>
                            <a:ext cx="3667578" cy="0"/>
                          </a:xfrm>
                          <a:custGeom>
                            <a:avLst/>
                            <a:gdLst/>
                            <a:ahLst/>
                            <a:cxnLst/>
                            <a:rect l="0" t="0" r="0" b="0"/>
                            <a:pathLst>
                              <a:path w="3667578">
                                <a:moveTo>
                                  <a:pt x="3667578" y="0"/>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704802" name="Shape 704802"/>
                        <wps:cNvSpPr/>
                        <wps:spPr>
                          <a:xfrm>
                            <a:off x="370262" y="1426027"/>
                            <a:ext cx="204691" cy="1197802"/>
                          </a:xfrm>
                          <a:custGeom>
                            <a:avLst/>
                            <a:gdLst/>
                            <a:ahLst/>
                            <a:cxnLst/>
                            <a:rect l="0" t="0" r="0" b="0"/>
                            <a:pathLst>
                              <a:path w="204691" h="1197802">
                                <a:moveTo>
                                  <a:pt x="0" y="0"/>
                                </a:moveTo>
                                <a:lnTo>
                                  <a:pt x="204691" y="0"/>
                                </a:lnTo>
                                <a:lnTo>
                                  <a:pt x="204691" y="1197802"/>
                                </a:lnTo>
                                <a:lnTo>
                                  <a:pt x="0" y="1197802"/>
                                </a:lnTo>
                                <a:lnTo>
                                  <a:pt x="0" y="0"/>
                                </a:lnTo>
                              </a:path>
                            </a:pathLst>
                          </a:custGeom>
                          <a:ln w="0" cap="flat">
                            <a:round/>
                          </a:ln>
                        </wps:spPr>
                        <wps:style>
                          <a:lnRef idx="0">
                            <a:srgbClr val="000000">
                              <a:alpha val="0"/>
                            </a:srgbClr>
                          </a:lnRef>
                          <a:fillRef idx="1">
                            <a:srgbClr val="4F81BD"/>
                          </a:fillRef>
                          <a:effectRef idx="0">
                            <a:scrgbClr r="0" g="0" b="0"/>
                          </a:effectRef>
                          <a:fontRef idx="none"/>
                        </wps:style>
                        <wps:bodyPr/>
                      </wps:wsp>
                      <wps:wsp>
                        <wps:cNvPr id="15927" name="Shape 15927"/>
                        <wps:cNvSpPr/>
                        <wps:spPr>
                          <a:xfrm>
                            <a:off x="1288598" y="1665824"/>
                            <a:ext cx="204691" cy="958005"/>
                          </a:xfrm>
                          <a:custGeom>
                            <a:avLst/>
                            <a:gdLst/>
                            <a:ahLst/>
                            <a:cxnLst/>
                            <a:rect l="0" t="0" r="0" b="0"/>
                            <a:pathLst>
                              <a:path w="204691" h="958005">
                                <a:moveTo>
                                  <a:pt x="0" y="0"/>
                                </a:moveTo>
                                <a:lnTo>
                                  <a:pt x="204691" y="0"/>
                                </a:lnTo>
                                <a:lnTo>
                                  <a:pt x="204691" y="958005"/>
                                </a:lnTo>
                                <a:lnTo>
                                  <a:pt x="0" y="958005"/>
                                </a:lnTo>
                                <a:lnTo>
                                  <a:pt x="0" y="0"/>
                                </a:lnTo>
                                <a:close/>
                              </a:path>
                            </a:pathLst>
                          </a:custGeom>
                          <a:ln w="0" cap="flat">
                            <a:round/>
                          </a:ln>
                        </wps:spPr>
                        <wps:style>
                          <a:lnRef idx="0">
                            <a:srgbClr val="000000">
                              <a:alpha val="0"/>
                            </a:srgbClr>
                          </a:lnRef>
                          <a:fillRef idx="1">
                            <a:srgbClr val="4F81BD"/>
                          </a:fillRef>
                          <a:effectRef idx="0">
                            <a:scrgbClr r="0" g="0" b="0"/>
                          </a:effectRef>
                          <a:fontRef idx="none"/>
                        </wps:style>
                        <wps:bodyPr/>
                      </wps:wsp>
                      <wps:wsp>
                        <wps:cNvPr id="704803" name="Shape 704803"/>
                        <wps:cNvSpPr/>
                        <wps:spPr>
                          <a:xfrm>
                            <a:off x="2206729" y="1426027"/>
                            <a:ext cx="203388" cy="1197802"/>
                          </a:xfrm>
                          <a:custGeom>
                            <a:avLst/>
                            <a:gdLst/>
                            <a:ahLst/>
                            <a:cxnLst/>
                            <a:rect l="0" t="0" r="0" b="0"/>
                            <a:pathLst>
                              <a:path w="203388" h="1197802">
                                <a:moveTo>
                                  <a:pt x="0" y="0"/>
                                </a:moveTo>
                                <a:lnTo>
                                  <a:pt x="203388" y="0"/>
                                </a:lnTo>
                                <a:lnTo>
                                  <a:pt x="203388" y="1197802"/>
                                </a:lnTo>
                                <a:lnTo>
                                  <a:pt x="0" y="1197802"/>
                                </a:lnTo>
                                <a:lnTo>
                                  <a:pt x="0" y="0"/>
                                </a:lnTo>
                              </a:path>
                            </a:pathLst>
                          </a:custGeom>
                          <a:ln w="0" cap="flat">
                            <a:round/>
                          </a:ln>
                        </wps:spPr>
                        <wps:style>
                          <a:lnRef idx="0">
                            <a:srgbClr val="000000">
                              <a:alpha val="0"/>
                            </a:srgbClr>
                          </a:lnRef>
                          <a:fillRef idx="1">
                            <a:srgbClr val="4F81BD"/>
                          </a:fillRef>
                          <a:effectRef idx="0">
                            <a:scrgbClr r="0" g="0" b="0"/>
                          </a:effectRef>
                          <a:fontRef idx="none"/>
                        </wps:style>
                        <wps:bodyPr/>
                      </wps:wsp>
                      <wps:wsp>
                        <wps:cNvPr id="704804" name="Shape 704804"/>
                        <wps:cNvSpPr/>
                        <wps:spPr>
                          <a:xfrm>
                            <a:off x="3123783" y="1426027"/>
                            <a:ext cx="204422" cy="1197802"/>
                          </a:xfrm>
                          <a:custGeom>
                            <a:avLst/>
                            <a:gdLst/>
                            <a:ahLst/>
                            <a:cxnLst/>
                            <a:rect l="0" t="0" r="0" b="0"/>
                            <a:pathLst>
                              <a:path w="204422" h="1197802">
                                <a:moveTo>
                                  <a:pt x="0" y="0"/>
                                </a:moveTo>
                                <a:lnTo>
                                  <a:pt x="204422" y="0"/>
                                </a:lnTo>
                                <a:lnTo>
                                  <a:pt x="204422" y="1197802"/>
                                </a:lnTo>
                                <a:lnTo>
                                  <a:pt x="0" y="1197802"/>
                                </a:lnTo>
                                <a:lnTo>
                                  <a:pt x="0" y="0"/>
                                </a:lnTo>
                              </a:path>
                            </a:pathLst>
                          </a:custGeom>
                          <a:ln w="0" cap="flat">
                            <a:round/>
                          </a:ln>
                        </wps:spPr>
                        <wps:style>
                          <a:lnRef idx="0">
                            <a:srgbClr val="000000">
                              <a:alpha val="0"/>
                            </a:srgbClr>
                          </a:lnRef>
                          <a:fillRef idx="1">
                            <a:srgbClr val="4F81BD"/>
                          </a:fillRef>
                          <a:effectRef idx="0">
                            <a:scrgbClr r="0" g="0" b="0"/>
                          </a:effectRef>
                          <a:fontRef idx="none"/>
                        </wps:style>
                        <wps:bodyPr/>
                      </wps:wsp>
                      <wps:wsp>
                        <wps:cNvPr id="15930" name="Shape 15930"/>
                        <wps:cNvSpPr/>
                        <wps:spPr>
                          <a:xfrm>
                            <a:off x="574953" y="1187477"/>
                            <a:ext cx="203387" cy="1436352"/>
                          </a:xfrm>
                          <a:custGeom>
                            <a:avLst/>
                            <a:gdLst/>
                            <a:ahLst/>
                            <a:cxnLst/>
                            <a:rect l="0" t="0" r="0" b="0"/>
                            <a:pathLst>
                              <a:path w="203387" h="1436352">
                                <a:moveTo>
                                  <a:pt x="0" y="0"/>
                                </a:moveTo>
                                <a:lnTo>
                                  <a:pt x="203387" y="0"/>
                                </a:lnTo>
                                <a:lnTo>
                                  <a:pt x="203387" y="1436352"/>
                                </a:lnTo>
                                <a:lnTo>
                                  <a:pt x="0" y="1436352"/>
                                </a:lnTo>
                                <a:lnTo>
                                  <a:pt x="0"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15931" name="Shape 15931"/>
                        <wps:cNvSpPr/>
                        <wps:spPr>
                          <a:xfrm>
                            <a:off x="1493321" y="947637"/>
                            <a:ext cx="203118" cy="1676192"/>
                          </a:xfrm>
                          <a:custGeom>
                            <a:avLst/>
                            <a:gdLst/>
                            <a:ahLst/>
                            <a:cxnLst/>
                            <a:rect l="0" t="0" r="0" b="0"/>
                            <a:pathLst>
                              <a:path w="203118" h="1676192">
                                <a:moveTo>
                                  <a:pt x="0" y="0"/>
                                </a:moveTo>
                                <a:lnTo>
                                  <a:pt x="203118" y="0"/>
                                </a:lnTo>
                                <a:lnTo>
                                  <a:pt x="203118" y="1676192"/>
                                </a:lnTo>
                                <a:lnTo>
                                  <a:pt x="0" y="1676192"/>
                                </a:lnTo>
                                <a:lnTo>
                                  <a:pt x="0"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704805" name="Shape 704805"/>
                        <wps:cNvSpPr/>
                        <wps:spPr>
                          <a:xfrm>
                            <a:off x="2410052" y="1905653"/>
                            <a:ext cx="204691" cy="718176"/>
                          </a:xfrm>
                          <a:custGeom>
                            <a:avLst/>
                            <a:gdLst/>
                            <a:ahLst/>
                            <a:cxnLst/>
                            <a:rect l="0" t="0" r="0" b="0"/>
                            <a:pathLst>
                              <a:path w="204691" h="718176">
                                <a:moveTo>
                                  <a:pt x="0" y="0"/>
                                </a:moveTo>
                                <a:lnTo>
                                  <a:pt x="204691" y="0"/>
                                </a:lnTo>
                                <a:lnTo>
                                  <a:pt x="204691" y="718176"/>
                                </a:lnTo>
                                <a:lnTo>
                                  <a:pt x="0" y="718176"/>
                                </a:lnTo>
                                <a:lnTo>
                                  <a:pt x="0" y="0"/>
                                </a:lnTo>
                              </a:path>
                            </a:pathLst>
                          </a:custGeom>
                          <a:ln w="0" cap="flat">
                            <a:round/>
                          </a:ln>
                        </wps:spPr>
                        <wps:style>
                          <a:lnRef idx="0">
                            <a:srgbClr val="000000">
                              <a:alpha val="0"/>
                            </a:srgbClr>
                          </a:lnRef>
                          <a:fillRef idx="1">
                            <a:srgbClr val="C0504D"/>
                          </a:fillRef>
                          <a:effectRef idx="0">
                            <a:scrgbClr r="0" g="0" b="0"/>
                          </a:effectRef>
                          <a:fontRef idx="none"/>
                        </wps:style>
                        <wps:bodyPr/>
                      </wps:wsp>
                      <wps:wsp>
                        <wps:cNvPr id="704806" name="Shape 704806"/>
                        <wps:cNvSpPr/>
                        <wps:spPr>
                          <a:xfrm>
                            <a:off x="3328183" y="947637"/>
                            <a:ext cx="203388" cy="1676192"/>
                          </a:xfrm>
                          <a:custGeom>
                            <a:avLst/>
                            <a:gdLst/>
                            <a:ahLst/>
                            <a:cxnLst/>
                            <a:rect l="0" t="0" r="0" b="0"/>
                            <a:pathLst>
                              <a:path w="203388" h="1676192">
                                <a:moveTo>
                                  <a:pt x="0" y="0"/>
                                </a:moveTo>
                                <a:lnTo>
                                  <a:pt x="203388" y="0"/>
                                </a:lnTo>
                                <a:lnTo>
                                  <a:pt x="203388" y="1676192"/>
                                </a:lnTo>
                                <a:lnTo>
                                  <a:pt x="0" y="1676192"/>
                                </a:lnTo>
                                <a:lnTo>
                                  <a:pt x="0" y="0"/>
                                </a:lnTo>
                              </a:path>
                            </a:pathLst>
                          </a:custGeom>
                          <a:ln w="0" cap="flat">
                            <a:round/>
                          </a:ln>
                        </wps:spPr>
                        <wps:style>
                          <a:lnRef idx="0">
                            <a:srgbClr val="000000">
                              <a:alpha val="0"/>
                            </a:srgbClr>
                          </a:lnRef>
                          <a:fillRef idx="1">
                            <a:srgbClr val="C0504D"/>
                          </a:fillRef>
                          <a:effectRef idx="0">
                            <a:scrgbClr r="0" g="0" b="0"/>
                          </a:effectRef>
                          <a:fontRef idx="none"/>
                        </wps:style>
                        <wps:bodyPr/>
                      </wps:wsp>
                      <wps:wsp>
                        <wps:cNvPr id="15934" name="Shape 15934"/>
                        <wps:cNvSpPr/>
                        <wps:spPr>
                          <a:xfrm>
                            <a:off x="778330" y="1665824"/>
                            <a:ext cx="204691" cy="958005"/>
                          </a:xfrm>
                          <a:custGeom>
                            <a:avLst/>
                            <a:gdLst/>
                            <a:ahLst/>
                            <a:cxnLst/>
                            <a:rect l="0" t="0" r="0" b="0"/>
                            <a:pathLst>
                              <a:path w="204691" h="958005">
                                <a:moveTo>
                                  <a:pt x="0" y="0"/>
                                </a:moveTo>
                                <a:lnTo>
                                  <a:pt x="204691" y="0"/>
                                </a:lnTo>
                                <a:lnTo>
                                  <a:pt x="204691" y="958005"/>
                                </a:lnTo>
                                <a:lnTo>
                                  <a:pt x="0" y="958005"/>
                                </a:lnTo>
                                <a:lnTo>
                                  <a:pt x="0" y="0"/>
                                </a:ln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704807" name="Shape 704807"/>
                        <wps:cNvSpPr/>
                        <wps:spPr>
                          <a:xfrm>
                            <a:off x="1696429" y="2383999"/>
                            <a:ext cx="204691" cy="239830"/>
                          </a:xfrm>
                          <a:custGeom>
                            <a:avLst/>
                            <a:gdLst/>
                            <a:ahLst/>
                            <a:cxnLst/>
                            <a:rect l="0" t="0" r="0" b="0"/>
                            <a:pathLst>
                              <a:path w="204691" h="239830">
                                <a:moveTo>
                                  <a:pt x="0" y="0"/>
                                </a:moveTo>
                                <a:lnTo>
                                  <a:pt x="204691" y="0"/>
                                </a:lnTo>
                                <a:lnTo>
                                  <a:pt x="204691" y="239830"/>
                                </a:lnTo>
                                <a:lnTo>
                                  <a:pt x="0" y="239830"/>
                                </a:lnTo>
                                <a:lnTo>
                                  <a:pt x="0" y="0"/>
                                </a:lnTo>
                              </a:path>
                            </a:pathLst>
                          </a:custGeom>
                          <a:ln w="0" cap="flat">
                            <a:round/>
                          </a:ln>
                        </wps:spPr>
                        <wps:style>
                          <a:lnRef idx="0">
                            <a:srgbClr val="000000">
                              <a:alpha val="0"/>
                            </a:srgbClr>
                          </a:lnRef>
                          <a:fillRef idx="1">
                            <a:srgbClr val="9BBB59"/>
                          </a:fillRef>
                          <a:effectRef idx="0">
                            <a:scrgbClr r="0" g="0" b="0"/>
                          </a:effectRef>
                          <a:fontRef idx="none"/>
                        </wps:style>
                        <wps:bodyPr/>
                      </wps:wsp>
                      <wps:wsp>
                        <wps:cNvPr id="704808" name="Shape 704808"/>
                        <wps:cNvSpPr/>
                        <wps:spPr>
                          <a:xfrm>
                            <a:off x="3531613" y="1187477"/>
                            <a:ext cx="204691" cy="1436352"/>
                          </a:xfrm>
                          <a:custGeom>
                            <a:avLst/>
                            <a:gdLst/>
                            <a:ahLst/>
                            <a:cxnLst/>
                            <a:rect l="0" t="0" r="0" b="0"/>
                            <a:pathLst>
                              <a:path w="204691" h="1436352">
                                <a:moveTo>
                                  <a:pt x="0" y="0"/>
                                </a:moveTo>
                                <a:lnTo>
                                  <a:pt x="204691" y="0"/>
                                </a:lnTo>
                                <a:lnTo>
                                  <a:pt x="204691" y="1436352"/>
                                </a:lnTo>
                                <a:lnTo>
                                  <a:pt x="0" y="1436352"/>
                                </a:lnTo>
                                <a:lnTo>
                                  <a:pt x="0" y="0"/>
                                </a:lnTo>
                              </a:path>
                            </a:pathLst>
                          </a:custGeom>
                          <a:ln w="0" cap="flat">
                            <a:round/>
                          </a:ln>
                        </wps:spPr>
                        <wps:style>
                          <a:lnRef idx="0">
                            <a:srgbClr val="000000">
                              <a:alpha val="0"/>
                            </a:srgbClr>
                          </a:lnRef>
                          <a:fillRef idx="1">
                            <a:srgbClr val="9BBB59"/>
                          </a:fillRef>
                          <a:effectRef idx="0">
                            <a:scrgbClr r="0" g="0" b="0"/>
                          </a:effectRef>
                          <a:fontRef idx="none"/>
                        </wps:style>
                        <wps:bodyPr/>
                      </wps:wsp>
                      <wps:wsp>
                        <wps:cNvPr id="15938" name="Shape 15938"/>
                        <wps:cNvSpPr/>
                        <wps:spPr>
                          <a:xfrm>
                            <a:off x="221503" y="711872"/>
                            <a:ext cx="0" cy="1914687"/>
                          </a:xfrm>
                          <a:custGeom>
                            <a:avLst/>
                            <a:gdLst/>
                            <a:ahLst/>
                            <a:cxnLst/>
                            <a:rect l="0" t="0" r="0" b="0"/>
                            <a:pathLst>
                              <a:path h="1914687">
                                <a:moveTo>
                                  <a:pt x="0" y="0"/>
                                </a:moveTo>
                                <a:lnTo>
                                  <a:pt x="0" y="1914687"/>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39" name="Shape 15939"/>
                        <wps:cNvSpPr/>
                        <wps:spPr>
                          <a:xfrm>
                            <a:off x="187864" y="2627860"/>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0" name="Shape 15940"/>
                        <wps:cNvSpPr/>
                        <wps:spPr>
                          <a:xfrm>
                            <a:off x="187864" y="2388031"/>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1" name="Shape 15941"/>
                        <wps:cNvSpPr/>
                        <wps:spPr>
                          <a:xfrm>
                            <a:off x="187864" y="2149503"/>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2" name="Shape 15942"/>
                        <wps:cNvSpPr/>
                        <wps:spPr>
                          <a:xfrm>
                            <a:off x="187864" y="1909673"/>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3" name="Shape 15943"/>
                        <wps:cNvSpPr/>
                        <wps:spPr>
                          <a:xfrm>
                            <a:off x="187864" y="1669833"/>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4" name="Shape 15944"/>
                        <wps:cNvSpPr/>
                        <wps:spPr>
                          <a:xfrm>
                            <a:off x="187864" y="1429994"/>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5" name="Shape 15945"/>
                        <wps:cNvSpPr/>
                        <wps:spPr>
                          <a:xfrm>
                            <a:off x="187864" y="1191551"/>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6" name="Shape 15946"/>
                        <wps:cNvSpPr/>
                        <wps:spPr>
                          <a:xfrm>
                            <a:off x="187864" y="951711"/>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7" name="Shape 15947"/>
                        <wps:cNvSpPr/>
                        <wps:spPr>
                          <a:xfrm>
                            <a:off x="187864" y="711872"/>
                            <a:ext cx="32336" cy="0"/>
                          </a:xfrm>
                          <a:custGeom>
                            <a:avLst/>
                            <a:gdLst/>
                            <a:ahLst/>
                            <a:cxnLst/>
                            <a:rect l="0" t="0" r="0" b="0"/>
                            <a:pathLst>
                              <a:path w="32336">
                                <a:moveTo>
                                  <a:pt x="0" y="0"/>
                                </a:moveTo>
                                <a:lnTo>
                                  <a:pt x="3233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8" name="Shape 15948"/>
                        <wps:cNvSpPr/>
                        <wps:spPr>
                          <a:xfrm>
                            <a:off x="221503" y="2627860"/>
                            <a:ext cx="3670316" cy="0"/>
                          </a:xfrm>
                          <a:custGeom>
                            <a:avLst/>
                            <a:gdLst/>
                            <a:ahLst/>
                            <a:cxnLst/>
                            <a:rect l="0" t="0" r="0" b="0"/>
                            <a:pathLst>
                              <a:path w="3670316">
                                <a:moveTo>
                                  <a:pt x="0" y="0"/>
                                </a:moveTo>
                                <a:lnTo>
                                  <a:pt x="3670316"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49" name="Shape 15949"/>
                        <wps:cNvSpPr/>
                        <wps:spPr>
                          <a:xfrm>
                            <a:off x="221503" y="2629161"/>
                            <a:ext cx="0" cy="32476"/>
                          </a:xfrm>
                          <a:custGeom>
                            <a:avLst/>
                            <a:gdLst/>
                            <a:ahLst/>
                            <a:cxnLst/>
                            <a:rect l="0" t="0" r="0" b="0"/>
                            <a:pathLst>
                              <a:path h="32476">
                                <a:moveTo>
                                  <a:pt x="0" y="32476"/>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50" name="Shape 15950"/>
                        <wps:cNvSpPr/>
                        <wps:spPr>
                          <a:xfrm>
                            <a:off x="1139904" y="2629161"/>
                            <a:ext cx="0" cy="32476"/>
                          </a:xfrm>
                          <a:custGeom>
                            <a:avLst/>
                            <a:gdLst/>
                            <a:ahLst/>
                            <a:cxnLst/>
                            <a:rect l="0" t="0" r="0" b="0"/>
                            <a:pathLst>
                              <a:path h="32476">
                                <a:moveTo>
                                  <a:pt x="0" y="32476"/>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51" name="Shape 15951"/>
                        <wps:cNvSpPr/>
                        <wps:spPr>
                          <a:xfrm>
                            <a:off x="2057927" y="2629161"/>
                            <a:ext cx="0" cy="32476"/>
                          </a:xfrm>
                          <a:custGeom>
                            <a:avLst/>
                            <a:gdLst/>
                            <a:ahLst/>
                            <a:cxnLst/>
                            <a:rect l="0" t="0" r="0" b="0"/>
                            <a:pathLst>
                              <a:path h="32476">
                                <a:moveTo>
                                  <a:pt x="0" y="32476"/>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52" name="Shape 15952"/>
                        <wps:cNvSpPr/>
                        <wps:spPr>
                          <a:xfrm>
                            <a:off x="2974981" y="2629161"/>
                            <a:ext cx="0" cy="32476"/>
                          </a:xfrm>
                          <a:custGeom>
                            <a:avLst/>
                            <a:gdLst/>
                            <a:ahLst/>
                            <a:cxnLst/>
                            <a:rect l="0" t="0" r="0" b="0"/>
                            <a:pathLst>
                              <a:path h="32476">
                                <a:moveTo>
                                  <a:pt x="0" y="32476"/>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53" name="Shape 15953"/>
                        <wps:cNvSpPr/>
                        <wps:spPr>
                          <a:xfrm>
                            <a:off x="3893112" y="2629161"/>
                            <a:ext cx="0" cy="32476"/>
                          </a:xfrm>
                          <a:custGeom>
                            <a:avLst/>
                            <a:gdLst/>
                            <a:ahLst/>
                            <a:cxnLst/>
                            <a:rect l="0" t="0" r="0" b="0"/>
                            <a:pathLst>
                              <a:path h="32476">
                                <a:moveTo>
                                  <a:pt x="0" y="32476"/>
                                </a:moveTo>
                                <a:lnTo>
                                  <a:pt x="0" y="0"/>
                                </a:lnTo>
                              </a:path>
                            </a:pathLst>
                          </a:custGeom>
                          <a:ln w="1505" cap="sq">
                            <a:round/>
                          </a:ln>
                        </wps:spPr>
                        <wps:style>
                          <a:lnRef idx="1">
                            <a:srgbClr val="808080"/>
                          </a:lnRef>
                          <a:fillRef idx="0">
                            <a:srgbClr val="000000">
                              <a:alpha val="0"/>
                            </a:srgbClr>
                          </a:fillRef>
                          <a:effectRef idx="0">
                            <a:scrgbClr r="0" g="0" b="0"/>
                          </a:effectRef>
                          <a:fontRef idx="none"/>
                        </wps:style>
                        <wps:bodyPr/>
                      </wps:wsp>
                      <wps:wsp>
                        <wps:cNvPr id="15955" name="Rectangle 15955"/>
                        <wps:cNvSpPr/>
                        <wps:spPr>
                          <a:xfrm>
                            <a:off x="559567" y="145590"/>
                            <a:ext cx="3455455" cy="2636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1"/>
                                </w:rPr>
                                <w:t xml:space="preserve">График обнаружения вирусов </w:t>
                              </w:r>
                            </w:p>
                          </w:txbxContent>
                        </wps:txbx>
                        <wps:bodyPr horzOverflow="overflow" vert="horz" lIns="0" tIns="0" rIns="0" bIns="0" rtlCol="0">
                          <a:noAutofit/>
                        </wps:bodyPr>
                      </wps:wsp>
                      <wps:wsp>
                        <wps:cNvPr id="91851" name="Rectangle 91851"/>
                        <wps:cNvSpPr/>
                        <wps:spPr>
                          <a:xfrm>
                            <a:off x="734253" y="358188"/>
                            <a:ext cx="8791"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т</w:t>
                              </w:r>
                            </w:p>
                          </w:txbxContent>
                        </wps:txbx>
                        <wps:bodyPr horzOverflow="overflow" vert="horz" lIns="0" tIns="0" rIns="0" bIns="0" rtlCol="0">
                          <a:noAutofit/>
                        </wps:bodyPr>
                      </wps:wsp>
                      <wps:wsp>
                        <wps:cNvPr id="91850" name="Rectangle 91850"/>
                        <wps:cNvSpPr/>
                        <wps:spPr>
                          <a:xfrm>
                            <a:off x="628135" y="358188"/>
                            <a:ext cx="1228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н</w:t>
                              </w:r>
                            </w:p>
                          </w:txbxContent>
                        </wps:txbx>
                        <wps:bodyPr horzOverflow="overflow" vert="horz" lIns="0" tIns="0" rIns="0" bIns="0" rtlCol="0">
                          <a:noAutofit/>
                        </wps:bodyPr>
                      </wps:wsp>
                      <wps:wsp>
                        <wps:cNvPr id="91853" name="Rectangle 91853"/>
                        <wps:cNvSpPr/>
                        <wps:spPr>
                          <a:xfrm>
                            <a:off x="809337" y="358188"/>
                            <a:ext cx="1255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и</w:t>
                              </w:r>
                            </w:p>
                          </w:txbxContent>
                        </wps:txbx>
                        <wps:bodyPr horzOverflow="overflow" vert="horz" lIns="0" tIns="0" rIns="0" bIns="0" rtlCol="0">
                          <a:noAutofit/>
                        </wps:bodyPr>
                      </wps:wsp>
                      <wps:wsp>
                        <wps:cNvPr id="91849" name="Rectangle 91849"/>
                        <wps:cNvSpPr/>
                        <wps:spPr>
                          <a:xfrm>
                            <a:off x="532187" y="358188"/>
                            <a:ext cx="1113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а</w:t>
                              </w:r>
                            </w:p>
                          </w:txbxContent>
                        </wps:txbx>
                        <wps:bodyPr horzOverflow="overflow" vert="horz" lIns="0" tIns="0" rIns="0" bIns="0" rtlCol="0">
                          <a:noAutofit/>
                        </wps:bodyPr>
                      </wps:wsp>
                      <wps:wsp>
                        <wps:cNvPr id="91854" name="Rectangle 91854"/>
                        <wps:cNvSpPr/>
                        <wps:spPr>
                          <a:xfrm>
                            <a:off x="918047" y="358188"/>
                            <a:ext cx="1115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в</w:t>
                              </w:r>
                            </w:p>
                          </w:txbxContent>
                        </wps:txbx>
                        <wps:bodyPr horzOverflow="overflow" vert="horz" lIns="0" tIns="0" rIns="0" bIns="0" rtlCol="0">
                          <a:noAutofit/>
                        </wps:bodyPr>
                      </wps:wsp>
                      <wps:wsp>
                        <wps:cNvPr id="91855" name="Rectangle 91855"/>
                        <wps:cNvSpPr/>
                        <wps:spPr>
                          <a:xfrm>
                            <a:off x="1013995" y="358188"/>
                            <a:ext cx="1255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и</w:t>
                              </w:r>
                            </w:p>
                          </w:txbxContent>
                        </wps:txbx>
                        <wps:bodyPr horzOverflow="overflow" vert="horz" lIns="0" tIns="0" rIns="0" bIns="0" rtlCol="0">
                          <a:noAutofit/>
                        </wps:bodyPr>
                      </wps:wsp>
                      <wps:wsp>
                        <wps:cNvPr id="91856" name="Rectangle 91856"/>
                        <wps:cNvSpPr/>
                        <wps:spPr>
                          <a:xfrm>
                            <a:off x="1122706" y="358188"/>
                            <a:ext cx="12105"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р</w:t>
                              </w:r>
                            </w:p>
                          </w:txbxContent>
                        </wps:txbx>
                        <wps:bodyPr horzOverflow="overflow" vert="horz" lIns="0" tIns="0" rIns="0" bIns="0" rtlCol="0">
                          <a:noAutofit/>
                        </wps:bodyPr>
                      </wps:wsp>
                      <wps:wsp>
                        <wps:cNvPr id="91857" name="Rectangle 91857"/>
                        <wps:cNvSpPr/>
                        <wps:spPr>
                          <a:xfrm>
                            <a:off x="1227518" y="358188"/>
                            <a:ext cx="10685"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у</w:t>
                              </w:r>
                            </w:p>
                          </w:txbxContent>
                        </wps:txbx>
                        <wps:bodyPr horzOverflow="overflow" vert="horz" lIns="0" tIns="0" rIns="0" bIns="0" rtlCol="0">
                          <a:noAutofit/>
                        </wps:bodyPr>
                      </wps:wsp>
                      <wps:wsp>
                        <wps:cNvPr id="91860" name="Rectangle 91860"/>
                        <wps:cNvSpPr/>
                        <wps:spPr>
                          <a:xfrm>
                            <a:off x="1319551" y="358188"/>
                            <a:ext cx="9423"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с</w:t>
                              </w:r>
                            </w:p>
                          </w:txbxContent>
                        </wps:txbx>
                        <wps:bodyPr horzOverflow="overflow" vert="horz" lIns="0" tIns="0" rIns="0" bIns="0" rtlCol="0">
                          <a:noAutofit/>
                        </wps:bodyPr>
                      </wps:wsp>
                      <wps:wsp>
                        <wps:cNvPr id="91861" name="Rectangle 91861"/>
                        <wps:cNvSpPr/>
                        <wps:spPr>
                          <a:xfrm>
                            <a:off x="1401143" y="358188"/>
                            <a:ext cx="1228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н</w:t>
                              </w:r>
                            </w:p>
                          </w:txbxContent>
                        </wps:txbx>
                        <wps:bodyPr horzOverflow="overflow" vert="horz" lIns="0" tIns="0" rIns="0" bIns="0" rtlCol="0">
                          <a:noAutofit/>
                        </wps:bodyPr>
                      </wps:wsp>
                      <wps:wsp>
                        <wps:cNvPr id="91862" name="Rectangle 91862"/>
                        <wps:cNvSpPr/>
                        <wps:spPr>
                          <a:xfrm>
                            <a:off x="1507261" y="358188"/>
                            <a:ext cx="16050"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ы</w:t>
                              </w:r>
                            </w:p>
                          </w:txbxContent>
                        </wps:txbx>
                        <wps:bodyPr horzOverflow="overflow" vert="horz" lIns="0" tIns="0" rIns="0" bIns="0" rtlCol="0">
                          <a:noAutofit/>
                        </wps:bodyPr>
                      </wps:wsp>
                      <wps:wsp>
                        <wps:cNvPr id="91863" name="Rectangle 91863"/>
                        <wps:cNvSpPr/>
                        <wps:spPr>
                          <a:xfrm>
                            <a:off x="1645700" y="358188"/>
                            <a:ext cx="16072"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м</w:t>
                              </w:r>
                            </w:p>
                          </w:txbxContent>
                        </wps:txbx>
                        <wps:bodyPr horzOverflow="overflow" vert="horz" lIns="0" tIns="0" rIns="0" bIns="0" rtlCol="0">
                          <a:noAutofit/>
                        </wps:bodyPr>
                      </wps:wsp>
                      <wps:wsp>
                        <wps:cNvPr id="91865" name="Rectangle 91865"/>
                        <wps:cNvSpPr/>
                        <wps:spPr>
                          <a:xfrm>
                            <a:off x="1784139" y="358188"/>
                            <a:ext cx="1255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и</w:t>
                              </w:r>
                            </w:p>
                          </w:txbxContent>
                        </wps:txbx>
                        <wps:bodyPr horzOverflow="overflow" vert="horz" lIns="0" tIns="0" rIns="0" bIns="0" rtlCol="0">
                          <a:noAutofit/>
                        </wps:bodyPr>
                      </wps:wsp>
                      <wps:wsp>
                        <wps:cNvPr id="15957" name="Rectangle 15957"/>
                        <wps:cNvSpPr/>
                        <wps:spPr>
                          <a:xfrm>
                            <a:off x="1893286" y="355567"/>
                            <a:ext cx="5096"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 xml:space="preserve"> </w:t>
                              </w:r>
                            </w:p>
                          </w:txbxContent>
                        </wps:txbx>
                        <wps:bodyPr horzOverflow="overflow" vert="horz" lIns="0" tIns="0" rIns="0" bIns="0" rtlCol="0">
                          <a:noAutofit/>
                        </wps:bodyPr>
                      </wps:wsp>
                      <wps:wsp>
                        <wps:cNvPr id="91866" name="Rectangle 91866"/>
                        <wps:cNvSpPr/>
                        <wps:spPr>
                          <a:xfrm>
                            <a:off x="1937356" y="358188"/>
                            <a:ext cx="12037"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п</w:t>
                              </w:r>
                            </w:p>
                          </w:txbxContent>
                        </wps:txbx>
                        <wps:bodyPr horzOverflow="overflow" vert="horz" lIns="0" tIns="0" rIns="0" bIns="0" rtlCol="0">
                          <a:noAutofit/>
                        </wps:bodyPr>
                      </wps:wsp>
                      <wps:wsp>
                        <wps:cNvPr id="91869" name="Rectangle 91869"/>
                        <wps:cNvSpPr/>
                        <wps:spPr>
                          <a:xfrm>
                            <a:off x="2040863" y="358188"/>
                            <a:ext cx="12105"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р</w:t>
                              </w:r>
                            </w:p>
                          </w:txbxContent>
                        </wps:txbx>
                        <wps:bodyPr horzOverflow="overflow" vert="horz" lIns="0" tIns="0" rIns="0" bIns="0" rtlCol="0">
                          <a:noAutofit/>
                        </wps:bodyPr>
                      </wps:wsp>
                      <wps:wsp>
                        <wps:cNvPr id="91871" name="Rectangle 91871"/>
                        <wps:cNvSpPr/>
                        <wps:spPr>
                          <a:xfrm>
                            <a:off x="2145675" y="358188"/>
                            <a:ext cx="1212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91879" name="Rectangle 91879"/>
                        <wps:cNvSpPr/>
                        <wps:spPr>
                          <a:xfrm>
                            <a:off x="2250488" y="358188"/>
                            <a:ext cx="8002"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91880" name="Rectangle 91880"/>
                        <wps:cNvSpPr/>
                        <wps:spPr>
                          <a:xfrm>
                            <a:off x="2319046" y="358188"/>
                            <a:ext cx="12105"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р</w:t>
                              </w:r>
                            </w:p>
                          </w:txbxContent>
                        </wps:txbx>
                        <wps:bodyPr horzOverflow="overflow" vert="horz" lIns="0" tIns="0" rIns="0" bIns="0" rtlCol="0">
                          <a:noAutofit/>
                        </wps:bodyPr>
                      </wps:wsp>
                      <wps:wsp>
                        <wps:cNvPr id="91881" name="Rectangle 91881"/>
                        <wps:cNvSpPr/>
                        <wps:spPr>
                          <a:xfrm>
                            <a:off x="2423859" y="358188"/>
                            <a:ext cx="1113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а</w:t>
                              </w:r>
                            </w:p>
                          </w:txbxContent>
                        </wps:txbx>
                        <wps:bodyPr horzOverflow="overflow" vert="horz" lIns="0" tIns="0" rIns="0" bIns="0" rtlCol="0">
                          <a:noAutofit/>
                        </wps:bodyPr>
                      </wps:wsp>
                      <wps:wsp>
                        <wps:cNvPr id="91882" name="Rectangle 91882"/>
                        <wps:cNvSpPr/>
                        <wps:spPr>
                          <a:xfrm>
                            <a:off x="2519806" y="358188"/>
                            <a:ext cx="16073"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м</w:t>
                              </w:r>
                            </w:p>
                          </w:txbxContent>
                        </wps:txbx>
                        <wps:bodyPr horzOverflow="overflow" vert="horz" lIns="0" tIns="0" rIns="0" bIns="0" rtlCol="0">
                          <a:noAutofit/>
                        </wps:bodyPr>
                      </wps:wsp>
                      <wps:wsp>
                        <wps:cNvPr id="91883" name="Rectangle 91883"/>
                        <wps:cNvSpPr/>
                        <wps:spPr>
                          <a:xfrm>
                            <a:off x="2658246" y="358188"/>
                            <a:ext cx="16072"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м</w:t>
                              </w:r>
                            </w:p>
                          </w:txbxContent>
                        </wps:txbx>
                        <wps:bodyPr horzOverflow="overflow" vert="horz" lIns="0" tIns="0" rIns="0" bIns="0" rtlCol="0">
                          <a:noAutofit/>
                        </wps:bodyPr>
                      </wps:wsp>
                      <wps:wsp>
                        <wps:cNvPr id="91884" name="Rectangle 91884"/>
                        <wps:cNvSpPr/>
                        <wps:spPr>
                          <a:xfrm>
                            <a:off x="2796685" y="358188"/>
                            <a:ext cx="11135"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а</w:t>
                              </w:r>
                            </w:p>
                          </w:txbxContent>
                        </wps:txbx>
                        <wps:bodyPr horzOverflow="overflow" vert="horz" lIns="0" tIns="0" rIns="0" bIns="0" rtlCol="0">
                          <a:noAutofit/>
                        </wps:bodyPr>
                      </wps:wsp>
                      <wps:wsp>
                        <wps:cNvPr id="91885" name="Rectangle 91885"/>
                        <wps:cNvSpPr/>
                        <wps:spPr>
                          <a:xfrm>
                            <a:off x="2892632" y="358188"/>
                            <a:ext cx="16073"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м</w:t>
                              </w:r>
                            </w:p>
                          </w:txbxContent>
                        </wps:txbx>
                        <wps:bodyPr horzOverflow="overflow" vert="horz" lIns="0" tIns="0" rIns="0" bIns="0" rtlCol="0">
                          <a:noAutofit/>
                        </wps:bodyPr>
                      </wps:wsp>
                      <wps:wsp>
                        <wps:cNvPr id="91886" name="Rectangle 91886"/>
                        <wps:cNvSpPr/>
                        <wps:spPr>
                          <a:xfrm>
                            <a:off x="3031072" y="358188"/>
                            <a:ext cx="1255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и</w:t>
                              </w:r>
                            </w:p>
                          </w:txbxContent>
                        </wps:txbx>
                        <wps:bodyPr horzOverflow="overflow" vert="horz" lIns="0" tIns="0" rIns="0" bIns="0" rtlCol="0">
                          <a:noAutofit/>
                        </wps:bodyPr>
                      </wps:wsp>
                      <wps:wsp>
                        <wps:cNvPr id="15960" name="Rectangle 15960"/>
                        <wps:cNvSpPr/>
                        <wps:spPr>
                          <a:xfrm>
                            <a:off x="81613" y="2575525"/>
                            <a:ext cx="72795" cy="1459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0</w:t>
                              </w:r>
                            </w:p>
                          </w:txbxContent>
                        </wps:txbx>
                        <wps:bodyPr horzOverflow="overflow" vert="horz" lIns="0" tIns="0" rIns="0" bIns="0" rtlCol="0">
                          <a:noAutofit/>
                        </wps:bodyPr>
                      </wps:wsp>
                      <wps:wsp>
                        <wps:cNvPr id="15961" name="Rectangle 15961"/>
                        <wps:cNvSpPr/>
                        <wps:spPr>
                          <a:xfrm>
                            <a:off x="81613" y="2335706"/>
                            <a:ext cx="72795"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1</w:t>
                              </w:r>
                            </w:p>
                          </w:txbxContent>
                        </wps:txbx>
                        <wps:bodyPr horzOverflow="overflow" vert="horz" lIns="0" tIns="0" rIns="0" bIns="0" rtlCol="0">
                          <a:noAutofit/>
                        </wps:bodyPr>
                      </wps:wsp>
                      <wps:wsp>
                        <wps:cNvPr id="15962" name="Rectangle 15962"/>
                        <wps:cNvSpPr/>
                        <wps:spPr>
                          <a:xfrm>
                            <a:off x="81613" y="2097178"/>
                            <a:ext cx="72795"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2</w:t>
                              </w:r>
                            </w:p>
                          </w:txbxContent>
                        </wps:txbx>
                        <wps:bodyPr horzOverflow="overflow" vert="horz" lIns="0" tIns="0" rIns="0" bIns="0" rtlCol="0">
                          <a:noAutofit/>
                        </wps:bodyPr>
                      </wps:wsp>
                      <wps:wsp>
                        <wps:cNvPr id="15963" name="Rectangle 15963"/>
                        <wps:cNvSpPr/>
                        <wps:spPr>
                          <a:xfrm>
                            <a:off x="81613" y="1857381"/>
                            <a:ext cx="72795"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3</w:t>
                              </w:r>
                            </w:p>
                          </w:txbxContent>
                        </wps:txbx>
                        <wps:bodyPr horzOverflow="overflow" vert="horz" lIns="0" tIns="0" rIns="0" bIns="0" rtlCol="0">
                          <a:noAutofit/>
                        </wps:bodyPr>
                      </wps:wsp>
                      <wps:wsp>
                        <wps:cNvPr id="15964" name="Rectangle 15964"/>
                        <wps:cNvSpPr/>
                        <wps:spPr>
                          <a:xfrm>
                            <a:off x="81613" y="1617541"/>
                            <a:ext cx="72795" cy="1459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4</w:t>
                              </w:r>
                            </w:p>
                          </w:txbxContent>
                        </wps:txbx>
                        <wps:bodyPr horzOverflow="overflow" vert="horz" lIns="0" tIns="0" rIns="0" bIns="0" rtlCol="0">
                          <a:noAutofit/>
                        </wps:bodyPr>
                      </wps:wsp>
                      <wps:wsp>
                        <wps:cNvPr id="15965" name="Rectangle 15965"/>
                        <wps:cNvSpPr/>
                        <wps:spPr>
                          <a:xfrm>
                            <a:off x="81613" y="1377701"/>
                            <a:ext cx="72795"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5</w:t>
                              </w:r>
                            </w:p>
                          </w:txbxContent>
                        </wps:txbx>
                        <wps:bodyPr horzOverflow="overflow" vert="horz" lIns="0" tIns="0" rIns="0" bIns="0" rtlCol="0">
                          <a:noAutofit/>
                        </wps:bodyPr>
                      </wps:wsp>
                      <wps:wsp>
                        <wps:cNvPr id="15966" name="Rectangle 15966"/>
                        <wps:cNvSpPr/>
                        <wps:spPr>
                          <a:xfrm>
                            <a:off x="81613" y="1139151"/>
                            <a:ext cx="72795" cy="1459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6</w:t>
                              </w:r>
                            </w:p>
                          </w:txbxContent>
                        </wps:txbx>
                        <wps:bodyPr horzOverflow="overflow" vert="horz" lIns="0" tIns="0" rIns="0" bIns="0" rtlCol="0">
                          <a:noAutofit/>
                        </wps:bodyPr>
                      </wps:wsp>
                      <wps:wsp>
                        <wps:cNvPr id="15967" name="Rectangle 15967"/>
                        <wps:cNvSpPr/>
                        <wps:spPr>
                          <a:xfrm>
                            <a:off x="81613" y="899312"/>
                            <a:ext cx="72795" cy="1459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7</w:t>
                              </w:r>
                            </w:p>
                          </w:txbxContent>
                        </wps:txbx>
                        <wps:bodyPr horzOverflow="overflow" vert="horz" lIns="0" tIns="0" rIns="0" bIns="0" rtlCol="0">
                          <a:noAutofit/>
                        </wps:bodyPr>
                      </wps:wsp>
                      <wps:wsp>
                        <wps:cNvPr id="15968" name="Rectangle 15968"/>
                        <wps:cNvSpPr/>
                        <wps:spPr>
                          <a:xfrm>
                            <a:off x="81613" y="659472"/>
                            <a:ext cx="72795" cy="1459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8</w:t>
                              </w:r>
                            </w:p>
                          </w:txbxContent>
                        </wps:txbx>
                        <wps:bodyPr horzOverflow="overflow" vert="horz" lIns="0" tIns="0" rIns="0" bIns="0" rtlCol="0">
                          <a:noAutofit/>
                        </wps:bodyPr>
                      </wps:wsp>
                      <wps:wsp>
                        <wps:cNvPr id="15970" name="Rectangle 15970"/>
                        <wps:cNvSpPr/>
                        <wps:spPr>
                          <a:xfrm>
                            <a:off x="436495" y="2741563"/>
                            <a:ext cx="640074"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Антивирус</w:t>
                              </w:r>
                            </w:p>
                          </w:txbxContent>
                        </wps:txbx>
                        <wps:bodyPr horzOverflow="overflow" vert="horz" lIns="0" tIns="0" rIns="0" bIns="0" rtlCol="0">
                          <a:noAutofit/>
                        </wps:bodyPr>
                      </wps:wsp>
                      <wps:wsp>
                        <wps:cNvPr id="91909" name="Rectangle 91909"/>
                        <wps:cNvSpPr/>
                        <wps:spPr>
                          <a:xfrm>
                            <a:off x="710181" y="2865262"/>
                            <a:ext cx="9423"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с</w:t>
                              </w:r>
                            </w:p>
                          </w:txbxContent>
                        </wps:txbx>
                        <wps:bodyPr horzOverflow="overflow" vert="horz" lIns="0" tIns="0" rIns="0" bIns="0" rtlCol="0">
                          <a:noAutofit/>
                        </wps:bodyPr>
                      </wps:wsp>
                      <wps:wsp>
                        <wps:cNvPr id="91907" name="Rectangle 91907"/>
                        <wps:cNvSpPr/>
                        <wps:spPr>
                          <a:xfrm>
                            <a:off x="599928" y="2865262"/>
                            <a:ext cx="11339"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е</w:t>
                              </w:r>
                            </w:p>
                          </w:txbxContent>
                        </wps:txbx>
                        <wps:bodyPr horzOverflow="overflow" vert="horz" lIns="0" tIns="0" rIns="0" bIns="0" rtlCol="0">
                          <a:noAutofit/>
                        </wps:bodyPr>
                      </wps:wsp>
                      <wps:wsp>
                        <wps:cNvPr id="91906" name="Rectangle 91906"/>
                        <wps:cNvSpPr/>
                        <wps:spPr>
                          <a:xfrm>
                            <a:off x="544149" y="2865262"/>
                            <a:ext cx="1203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п</w:t>
                              </w:r>
                            </w:p>
                          </w:txbxContent>
                        </wps:txbx>
                        <wps:bodyPr horzOverflow="overflow" vert="horz" lIns="0" tIns="0" rIns="0" bIns="0" rtlCol="0">
                          <a:noAutofit/>
                        </wps:bodyPr>
                      </wps:wsp>
                      <wps:wsp>
                        <wps:cNvPr id="91908" name="Rectangle 91908"/>
                        <wps:cNvSpPr/>
                        <wps:spPr>
                          <a:xfrm>
                            <a:off x="653097" y="2865262"/>
                            <a:ext cx="12105"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р</w:t>
                              </w:r>
                            </w:p>
                          </w:txbxContent>
                        </wps:txbx>
                        <wps:bodyPr horzOverflow="overflow" vert="horz" lIns="0" tIns="0" rIns="0" bIns="0" rtlCol="0">
                          <a:noAutofit/>
                        </wps:bodyPr>
                      </wps:wsp>
                      <wps:wsp>
                        <wps:cNvPr id="91903" name="Rectangle 91903"/>
                        <wps:cNvSpPr/>
                        <wps:spPr>
                          <a:xfrm>
                            <a:off x="396337" y="2865262"/>
                            <a:ext cx="1115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к</w:t>
                              </w:r>
                            </w:p>
                          </w:txbxContent>
                        </wps:txbx>
                        <wps:bodyPr horzOverflow="overflow" vert="horz" lIns="0" tIns="0" rIns="0" bIns="0" rtlCol="0">
                          <a:noAutofit/>
                        </wps:bodyPr>
                      </wps:wsp>
                      <wps:wsp>
                        <wps:cNvPr id="91905" name="Rectangle 91905"/>
                        <wps:cNvSpPr/>
                        <wps:spPr>
                          <a:xfrm>
                            <a:off x="498794" y="2865262"/>
                            <a:ext cx="9423"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с</w:t>
                              </w:r>
                            </w:p>
                          </w:txbxContent>
                        </wps:txbx>
                        <wps:bodyPr horzOverflow="overflow" vert="horz" lIns="0" tIns="0" rIns="0" bIns="0" rtlCol="0">
                          <a:noAutofit/>
                        </wps:bodyPr>
                      </wps:wsp>
                      <wps:wsp>
                        <wps:cNvPr id="91904" name="Rectangle 91904"/>
                        <wps:cNvSpPr/>
                        <wps:spPr>
                          <a:xfrm>
                            <a:off x="446913" y="2865262"/>
                            <a:ext cx="11136"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а</w:t>
                              </w:r>
                            </w:p>
                          </w:txbxContent>
                        </wps:txbx>
                        <wps:bodyPr horzOverflow="overflow" vert="horz" lIns="0" tIns="0" rIns="0" bIns="0" rtlCol="0">
                          <a:noAutofit/>
                        </wps:bodyPr>
                      </wps:wsp>
                      <wps:wsp>
                        <wps:cNvPr id="91913" name="Rectangle 91913"/>
                        <wps:cNvSpPr/>
                        <wps:spPr>
                          <a:xfrm>
                            <a:off x="900721" y="2865262"/>
                            <a:ext cx="1212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91910" name="Rectangle 91910"/>
                        <wps:cNvSpPr/>
                        <wps:spPr>
                          <a:xfrm>
                            <a:off x="755537" y="2865262"/>
                            <a:ext cx="1115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к</w:t>
                              </w:r>
                            </w:p>
                          </w:txbxContent>
                        </wps:txbx>
                        <wps:bodyPr horzOverflow="overflow" vert="horz" lIns="0" tIns="0" rIns="0" bIns="0" rtlCol="0">
                          <a:noAutofit/>
                        </wps:bodyPr>
                      </wps:wsp>
                      <wps:wsp>
                        <wps:cNvPr id="91911" name="Rectangle 91911"/>
                        <wps:cNvSpPr/>
                        <wps:spPr>
                          <a:xfrm>
                            <a:off x="806112" y="2865262"/>
                            <a:ext cx="12128"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91912" name="Rectangle 91912"/>
                        <wps:cNvSpPr/>
                        <wps:spPr>
                          <a:xfrm>
                            <a:off x="863196" y="2865262"/>
                            <a:ext cx="8002" cy="2290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91891" name="Rectangle 91891"/>
                        <wps:cNvSpPr/>
                        <wps:spPr>
                          <a:xfrm>
                            <a:off x="1677910" y="2721296"/>
                            <a:ext cx="8080"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t</w:t>
                              </w:r>
                            </w:p>
                          </w:txbxContent>
                        </wps:txbx>
                        <wps:bodyPr horzOverflow="overflow" vert="horz" lIns="0" tIns="0" rIns="0" bIns="0" rtlCol="0">
                          <a:noAutofit/>
                        </wps:bodyPr>
                      </wps:wsp>
                      <wps:wsp>
                        <wps:cNvPr id="91888" name="Rectangle 91888"/>
                        <wps:cNvSpPr/>
                        <wps:spPr>
                          <a:xfrm>
                            <a:off x="1537126" y="2721296"/>
                            <a:ext cx="11028"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v</w:t>
                              </w:r>
                            </w:p>
                          </w:txbxContent>
                        </wps:txbx>
                        <wps:bodyPr horzOverflow="overflow" vert="horz" lIns="0" tIns="0" rIns="0" bIns="0" rtlCol="0">
                          <a:noAutofit/>
                        </wps:bodyPr>
                      </wps:wsp>
                      <wps:wsp>
                        <wps:cNvPr id="91887" name="Rectangle 91887"/>
                        <wps:cNvSpPr/>
                        <wps:spPr>
                          <a:xfrm>
                            <a:off x="1475004" y="2721296"/>
                            <a:ext cx="14123"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A</w:t>
                              </w:r>
                            </w:p>
                          </w:txbxContent>
                        </wps:txbx>
                        <wps:bodyPr horzOverflow="overflow" vert="horz" lIns="0" tIns="0" rIns="0" bIns="0" rtlCol="0">
                          <a:noAutofit/>
                        </wps:bodyPr>
                      </wps:wsp>
                      <wps:wsp>
                        <wps:cNvPr id="91889" name="Rectangle 91889"/>
                        <wps:cNvSpPr/>
                        <wps:spPr>
                          <a:xfrm>
                            <a:off x="1585267" y="2721296"/>
                            <a:ext cx="11506"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a</w:t>
                              </w:r>
                            </w:p>
                          </w:txbxContent>
                        </wps:txbx>
                        <wps:bodyPr horzOverflow="overflow" vert="horz" lIns="0" tIns="0" rIns="0" bIns="0" rtlCol="0">
                          <a:noAutofit/>
                        </wps:bodyPr>
                      </wps:wsp>
                      <wps:wsp>
                        <wps:cNvPr id="91890" name="Rectangle 91890"/>
                        <wps:cNvSpPr/>
                        <wps:spPr>
                          <a:xfrm>
                            <a:off x="1637816" y="2721296"/>
                            <a:ext cx="9298"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s</w:t>
                              </w:r>
                            </w:p>
                          </w:txbxContent>
                        </wps:txbx>
                        <wps:bodyPr horzOverflow="overflow" vert="horz" lIns="0" tIns="0" rIns="0" bIns="0" rtlCol="0">
                          <a:noAutofit/>
                        </wps:bodyPr>
                      </wps:wsp>
                      <wps:wsp>
                        <wps:cNvPr id="91897" name="Rectangle 91897"/>
                        <wps:cNvSpPr/>
                        <wps:spPr>
                          <a:xfrm>
                            <a:off x="2624899" y="2721296"/>
                            <a:ext cx="12313"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b</w:t>
                              </w:r>
                            </w:p>
                          </w:txbxContent>
                        </wps:txbx>
                        <wps:bodyPr horzOverflow="overflow" vert="horz" lIns="0" tIns="0" rIns="0" bIns="0" rtlCol="0">
                          <a:noAutofit/>
                        </wps:bodyPr>
                      </wps:wsp>
                      <wps:wsp>
                        <wps:cNvPr id="91893" name="Rectangle 91893"/>
                        <wps:cNvSpPr/>
                        <wps:spPr>
                          <a:xfrm>
                            <a:off x="2409657" y="2721296"/>
                            <a:ext cx="8156"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r</w:t>
                              </w:r>
                            </w:p>
                          </w:txbxContent>
                        </wps:txbx>
                        <wps:bodyPr horzOverflow="overflow" vert="horz" lIns="0" tIns="0" rIns="0" bIns="0" rtlCol="0">
                          <a:noAutofit/>
                        </wps:bodyPr>
                      </wps:wsp>
                      <wps:wsp>
                        <wps:cNvPr id="91892" name="Rectangle 91892"/>
                        <wps:cNvSpPr/>
                        <wps:spPr>
                          <a:xfrm>
                            <a:off x="2344109" y="2721296"/>
                            <a:ext cx="14464"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D</w:t>
                              </w:r>
                            </w:p>
                          </w:txbxContent>
                        </wps:txbx>
                        <wps:bodyPr horzOverflow="overflow" vert="horz" lIns="0" tIns="0" rIns="0" bIns="0" rtlCol="0">
                          <a:noAutofit/>
                        </wps:bodyPr>
                      </wps:wsp>
                      <wps:wsp>
                        <wps:cNvPr id="91894" name="Rectangle 91894"/>
                        <wps:cNvSpPr/>
                        <wps:spPr>
                          <a:xfrm>
                            <a:off x="2447275" y="2721296"/>
                            <a:ext cx="6128"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t>
                              </w:r>
                            </w:p>
                          </w:txbxContent>
                        </wps:txbx>
                        <wps:bodyPr horzOverflow="overflow" vert="horz" lIns="0" tIns="0" rIns="0" bIns="0" rtlCol="0">
                          <a:noAutofit/>
                        </wps:bodyPr>
                      </wps:wsp>
                      <wps:wsp>
                        <wps:cNvPr id="91895" name="Rectangle 91895"/>
                        <wps:cNvSpPr/>
                        <wps:spPr>
                          <a:xfrm>
                            <a:off x="2474673" y="2721296"/>
                            <a:ext cx="20794"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w:t>
                              </w:r>
                            </w:p>
                          </w:txbxContent>
                        </wps:txbx>
                        <wps:bodyPr horzOverflow="overflow" vert="horz" lIns="0" tIns="0" rIns="0" bIns="0" rtlCol="0">
                          <a:noAutofit/>
                        </wps:bodyPr>
                      </wps:wsp>
                      <wps:wsp>
                        <wps:cNvPr id="91896" name="Rectangle 91896"/>
                        <wps:cNvSpPr/>
                        <wps:spPr>
                          <a:xfrm>
                            <a:off x="2571686" y="2721296"/>
                            <a:ext cx="11551"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e</w:t>
                              </w:r>
                            </w:p>
                          </w:txbxContent>
                        </wps:txbx>
                        <wps:bodyPr horzOverflow="overflow" vert="horz" lIns="0" tIns="0" rIns="0" bIns="0" rtlCol="0">
                          <a:noAutofit/>
                        </wps:bodyPr>
                      </wps:wsp>
                      <wps:wsp>
                        <wps:cNvPr id="91899" name="Rectangle 91899"/>
                        <wps:cNvSpPr/>
                        <wps:spPr>
                          <a:xfrm>
                            <a:off x="3343045" y="2721296"/>
                            <a:ext cx="15590"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O</w:t>
                              </w:r>
                            </w:p>
                          </w:txbxContent>
                        </wps:txbx>
                        <wps:bodyPr horzOverflow="overflow" vert="horz" lIns="0" tIns="0" rIns="0" bIns="0" rtlCol="0">
                          <a:noAutofit/>
                        </wps:bodyPr>
                      </wps:wsp>
                      <wps:wsp>
                        <wps:cNvPr id="91900" name="Rectangle 91900"/>
                        <wps:cNvSpPr/>
                        <wps:spPr>
                          <a:xfrm>
                            <a:off x="3414067" y="2721296"/>
                            <a:ext cx="14533"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D</w:t>
                              </w:r>
                            </w:p>
                          </w:txbxContent>
                        </wps:txbx>
                        <wps:bodyPr horzOverflow="overflow" vert="horz" lIns="0" tIns="0" rIns="0" bIns="0" rtlCol="0">
                          <a:noAutofit/>
                        </wps:bodyPr>
                      </wps:wsp>
                      <wps:wsp>
                        <wps:cNvPr id="91901" name="Rectangle 91901"/>
                        <wps:cNvSpPr/>
                        <wps:spPr>
                          <a:xfrm>
                            <a:off x="3479925" y="2721296"/>
                            <a:ext cx="11685"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3</w:t>
                              </w:r>
                            </w:p>
                          </w:txbxContent>
                        </wps:txbx>
                        <wps:bodyPr horzOverflow="overflow" vert="horz" lIns="0" tIns="0" rIns="0" bIns="0" rtlCol="0">
                          <a:noAutofit/>
                        </wps:bodyPr>
                      </wps:wsp>
                      <wps:wsp>
                        <wps:cNvPr id="91902" name="Rectangle 91902"/>
                        <wps:cNvSpPr/>
                        <wps:spPr>
                          <a:xfrm>
                            <a:off x="3534784" y="2721296"/>
                            <a:ext cx="11685"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2</w:t>
                              </w:r>
                            </w:p>
                          </w:txbxContent>
                        </wps:txbx>
                        <wps:bodyPr horzOverflow="overflow" vert="horz" lIns="0" tIns="0" rIns="0" bIns="0" rtlCol="0">
                          <a:noAutofit/>
                        </wps:bodyPr>
                      </wps:wsp>
                      <wps:wsp>
                        <wps:cNvPr id="91898" name="Rectangle 91898"/>
                        <wps:cNvSpPr/>
                        <wps:spPr>
                          <a:xfrm>
                            <a:off x="3272692" y="2721296"/>
                            <a:ext cx="15186" cy="25077"/>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N</w:t>
                              </w:r>
                            </w:p>
                          </w:txbxContent>
                        </wps:txbx>
                        <wps:bodyPr horzOverflow="overflow" vert="horz" lIns="0" tIns="0" rIns="0" bIns="0" rtlCol="0">
                          <a:noAutofit/>
                        </wps:bodyPr>
                      </wps:wsp>
                      <wps:wsp>
                        <wps:cNvPr id="704809" name="Shape 704809"/>
                        <wps:cNvSpPr/>
                        <wps:spPr>
                          <a:xfrm>
                            <a:off x="4049672" y="1586851"/>
                            <a:ext cx="65969" cy="65998"/>
                          </a:xfrm>
                          <a:custGeom>
                            <a:avLst/>
                            <a:gdLst/>
                            <a:ahLst/>
                            <a:cxnLst/>
                            <a:rect l="0" t="0" r="0" b="0"/>
                            <a:pathLst>
                              <a:path w="65969" h="65998">
                                <a:moveTo>
                                  <a:pt x="0" y="0"/>
                                </a:moveTo>
                                <a:lnTo>
                                  <a:pt x="65969" y="0"/>
                                </a:lnTo>
                                <a:lnTo>
                                  <a:pt x="65969" y="65998"/>
                                </a:lnTo>
                                <a:lnTo>
                                  <a:pt x="0" y="65998"/>
                                </a:lnTo>
                                <a:lnTo>
                                  <a:pt x="0" y="0"/>
                                </a:lnTo>
                              </a:path>
                            </a:pathLst>
                          </a:custGeom>
                          <a:ln w="0" cap="flat">
                            <a:round/>
                          </a:ln>
                        </wps:spPr>
                        <wps:style>
                          <a:lnRef idx="0">
                            <a:srgbClr val="000000">
                              <a:alpha val="0"/>
                            </a:srgbClr>
                          </a:lnRef>
                          <a:fillRef idx="1">
                            <a:srgbClr val="4F81BD"/>
                          </a:fillRef>
                          <a:effectRef idx="0">
                            <a:scrgbClr r="0" g="0" b="0"/>
                          </a:effectRef>
                          <a:fontRef idx="none"/>
                        </wps:style>
                        <wps:bodyPr/>
                      </wps:wsp>
                      <wps:wsp>
                        <wps:cNvPr id="15977" name="Rectangle 15977"/>
                        <wps:cNvSpPr/>
                        <wps:spPr>
                          <a:xfrm>
                            <a:off x="4142767" y="1573357"/>
                            <a:ext cx="681856"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Неопасные</w:t>
                              </w:r>
                            </w:p>
                          </w:txbxContent>
                        </wps:txbx>
                        <wps:bodyPr horzOverflow="overflow" vert="horz" lIns="0" tIns="0" rIns="0" bIns="0" rtlCol="0">
                          <a:noAutofit/>
                        </wps:bodyPr>
                      </wps:wsp>
                      <wps:wsp>
                        <wps:cNvPr id="704810" name="Shape 704810"/>
                        <wps:cNvSpPr/>
                        <wps:spPr>
                          <a:xfrm>
                            <a:off x="4049672" y="1777301"/>
                            <a:ext cx="65969" cy="66258"/>
                          </a:xfrm>
                          <a:custGeom>
                            <a:avLst/>
                            <a:gdLst/>
                            <a:ahLst/>
                            <a:cxnLst/>
                            <a:rect l="0" t="0" r="0" b="0"/>
                            <a:pathLst>
                              <a:path w="65969" h="66258">
                                <a:moveTo>
                                  <a:pt x="0" y="0"/>
                                </a:moveTo>
                                <a:lnTo>
                                  <a:pt x="65969" y="0"/>
                                </a:lnTo>
                                <a:lnTo>
                                  <a:pt x="65969" y="66258"/>
                                </a:lnTo>
                                <a:lnTo>
                                  <a:pt x="0" y="66258"/>
                                </a:lnTo>
                                <a:lnTo>
                                  <a:pt x="0" y="0"/>
                                </a:lnTo>
                              </a:path>
                            </a:pathLst>
                          </a:custGeom>
                          <a:ln w="0" cap="flat">
                            <a:round/>
                          </a:ln>
                        </wps:spPr>
                        <wps:style>
                          <a:lnRef idx="0">
                            <a:srgbClr val="000000">
                              <a:alpha val="0"/>
                            </a:srgbClr>
                          </a:lnRef>
                          <a:fillRef idx="1">
                            <a:srgbClr val="C0504D"/>
                          </a:fillRef>
                          <a:effectRef idx="0">
                            <a:scrgbClr r="0" g="0" b="0"/>
                          </a:effectRef>
                          <a:fontRef idx="none"/>
                        </wps:style>
                        <wps:bodyPr/>
                      </wps:wsp>
                      <wps:wsp>
                        <wps:cNvPr id="15980" name="Rectangle 15980"/>
                        <wps:cNvSpPr/>
                        <wps:spPr>
                          <a:xfrm>
                            <a:off x="4142767" y="1764068"/>
                            <a:ext cx="540287" cy="1459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Опасные</w:t>
                              </w:r>
                            </w:p>
                          </w:txbxContent>
                        </wps:txbx>
                        <wps:bodyPr horzOverflow="overflow" vert="horz" lIns="0" tIns="0" rIns="0" bIns="0" rtlCol="0">
                          <a:noAutofit/>
                        </wps:bodyPr>
                      </wps:wsp>
                      <wps:wsp>
                        <wps:cNvPr id="704811" name="Shape 704811"/>
                        <wps:cNvSpPr/>
                        <wps:spPr>
                          <a:xfrm>
                            <a:off x="4049672" y="1969315"/>
                            <a:ext cx="65969" cy="65998"/>
                          </a:xfrm>
                          <a:custGeom>
                            <a:avLst/>
                            <a:gdLst/>
                            <a:ahLst/>
                            <a:cxnLst/>
                            <a:rect l="0" t="0" r="0" b="0"/>
                            <a:pathLst>
                              <a:path w="65969" h="65998">
                                <a:moveTo>
                                  <a:pt x="0" y="0"/>
                                </a:moveTo>
                                <a:lnTo>
                                  <a:pt x="65969" y="0"/>
                                </a:lnTo>
                                <a:lnTo>
                                  <a:pt x="65969" y="65998"/>
                                </a:lnTo>
                                <a:lnTo>
                                  <a:pt x="0" y="65998"/>
                                </a:lnTo>
                                <a:lnTo>
                                  <a:pt x="0" y="0"/>
                                </a:lnTo>
                              </a:path>
                            </a:pathLst>
                          </a:custGeom>
                          <a:ln w="0" cap="flat">
                            <a:round/>
                          </a:ln>
                        </wps:spPr>
                        <wps:style>
                          <a:lnRef idx="0">
                            <a:srgbClr val="000000">
                              <a:alpha val="0"/>
                            </a:srgbClr>
                          </a:lnRef>
                          <a:fillRef idx="1">
                            <a:srgbClr val="9BBB59"/>
                          </a:fillRef>
                          <a:effectRef idx="0">
                            <a:scrgbClr r="0" g="0" b="0"/>
                          </a:effectRef>
                          <a:fontRef idx="none"/>
                        </wps:style>
                        <wps:bodyPr/>
                      </wps:wsp>
                      <wps:wsp>
                        <wps:cNvPr id="15983" name="Rectangle 15983"/>
                        <wps:cNvSpPr/>
                        <wps:spPr>
                          <a:xfrm>
                            <a:off x="4142767" y="1955821"/>
                            <a:ext cx="930247" cy="1459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17"/>
                                </w:rPr>
                                <w:t>Очень опасные</w:t>
                              </w:r>
                            </w:p>
                          </w:txbxContent>
                        </wps:txbx>
                        <wps:bodyPr horzOverflow="overflow" vert="horz" lIns="0" tIns="0" rIns="0" bIns="0" rtlCol="0">
                          <a:noAutofit/>
                        </wps:bodyPr>
                      </wps:wsp>
                      <wps:wsp>
                        <wps:cNvPr id="15985" name="Shape 15985"/>
                        <wps:cNvSpPr/>
                        <wps:spPr>
                          <a:xfrm>
                            <a:off x="1304" y="1338"/>
                            <a:ext cx="4936746" cy="3030948"/>
                          </a:xfrm>
                          <a:custGeom>
                            <a:avLst/>
                            <a:gdLst/>
                            <a:ahLst/>
                            <a:cxnLst/>
                            <a:rect l="0" t="0" r="0" b="0"/>
                            <a:pathLst>
                              <a:path w="4936746" h="3030948">
                                <a:moveTo>
                                  <a:pt x="0" y="3030948"/>
                                </a:moveTo>
                                <a:lnTo>
                                  <a:pt x="4936746" y="3030948"/>
                                </a:lnTo>
                                <a:lnTo>
                                  <a:pt x="4936746" y="0"/>
                                </a:lnTo>
                                <a:lnTo>
                                  <a:pt x="0" y="0"/>
                                </a:lnTo>
                                <a:close/>
                              </a:path>
                            </a:pathLst>
                          </a:custGeom>
                          <a:ln w="150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67721" style="width:390.547pt;height:240.502pt;mso-position-horizontal-relative:char;mso-position-vertical-relative:line" coordsize="49599,30543">
                <v:shape id="Shape 704812" style="position:absolute;width:153;height:30324;left:49445;top:219;" coordsize="15384,3032452" path="m0,0l15384,0l15384,3032452l0,3032452l0,0">
                  <v:stroke weight="0pt" endcap="flat" joinstyle="miter" miterlimit="10" on="false" color="#000000" opacity="0"/>
                  <v:fill on="true" color="#000000"/>
                </v:shape>
                <v:shape id="Shape 704813" style="position:absolute;width:49380;height:155;left:219;top:30387;" coordsize="4938038,15590" path="m0,0l4938038,0l4938038,15590l0,15590l0,0">
                  <v:stroke weight="0pt" endcap="flat" joinstyle="miter" miterlimit="10" on="false" color="#000000" opacity="0"/>
                  <v:fill on="true" color="#000000"/>
                </v:shape>
                <v:shape id="Shape 704814" style="position:absolute;width:49432;height:958;left:0;top:0;" coordsize="4943211,95878" path="m0,0l4943211,0l4943211,95878l0,95878l0,0">
                  <v:stroke weight="0pt" endcap="flat" joinstyle="miter" miterlimit="10" on="false" color="#000000" opacity="0"/>
                  <v:fill on="true" color="#ededed"/>
                </v:shape>
                <v:shape id="Shape 704815" style="position:absolute;width:49432;height:1426;left:0;top:958;" coordsize="4943211,142646" path="m0,0l4943211,0l4943211,142646l0,142646l0,0">
                  <v:stroke weight="0pt" endcap="flat" joinstyle="miter" miterlimit="10" on="false" color="#000000" opacity="0"/>
                  <v:fill on="true" color="#ebebeb"/>
                </v:shape>
                <v:shape id="Shape 704816" style="position:absolute;width:49432;height:1735;left:0;top:2385;" coordsize="4943211,173564" path="m0,0l4943211,0l4943211,173564l0,173564l0,0">
                  <v:stroke weight="0pt" endcap="flat" joinstyle="miter" miterlimit="10" on="false" color="#000000" opacity="0"/>
                  <v:fill on="true" color="#e9e9e9"/>
                </v:shape>
                <v:shape id="Shape 704817" style="position:absolute;width:49432;height:1257;left:0;top:4121;" coordsize="4943211,125757" path="m0,0l4943211,0l4943211,125757l0,125757l0,0">
                  <v:stroke weight="0pt" endcap="flat" joinstyle="miter" miterlimit="10" on="false" color="#000000" opacity="0"/>
                  <v:fill on="true" color="#e7e7e7"/>
                </v:shape>
                <v:shape id="Shape 704818" style="position:absolute;width:49432;height:1270;left:0;top:5379;" coordsize="4943211,127058" path="m0,0l4943211,0l4943211,127058l0,127058l0,0">
                  <v:stroke weight="0pt" endcap="flat" joinstyle="miter" miterlimit="10" on="false" color="#000000" opacity="0"/>
                  <v:fill on="true" color="#e5e5e5"/>
                </v:shape>
                <v:shape id="Shape 704819" style="position:absolute;width:49432;height:1426;left:0;top:6649;" coordsize="4943211,142646" path="m0,0l4943211,0l4943211,142646l0,142646l0,0">
                  <v:stroke weight="0pt" endcap="flat" joinstyle="miter" miterlimit="10" on="false" color="#000000" opacity="0"/>
                  <v:fill on="true" color="#e3e3e3"/>
                </v:shape>
                <v:shape id="Shape 704820" style="position:absolute;width:49432;height:1725;left:0;top:8075;" coordsize="4943211,172532" path="m0,0l4943211,0l4943211,172532l0,172532l0,0">
                  <v:stroke weight="0pt" endcap="flat" joinstyle="miter" miterlimit="10" on="false" color="#000000" opacity="0"/>
                  <v:fill on="true" color="#e1e1e1"/>
                </v:shape>
                <v:shape id="Shape 704821" style="position:absolute;width:49432;height:1270;left:0;top:9801;" coordsize="4943211,127058" path="m0,0l4943211,0l4943211,127058l0,127058l0,0">
                  <v:stroke weight="0pt" endcap="flat" joinstyle="miter" miterlimit="10" on="false" color="#000000" opacity="0"/>
                  <v:fill on="true" color="#dfdfdf"/>
                </v:shape>
                <v:shape id="Shape 15889" style="position:absolute;width:49432;height:1270;left:0;top:11071;" coordsize="4943211,127058" path="m0,0l4943211,0l4943211,127058l0,127058l0,0x">
                  <v:stroke weight="0pt" endcap="flat" joinstyle="miter" miterlimit="10" on="false" color="#000000" opacity="0"/>
                  <v:fill on="true" color="#dddddd"/>
                </v:shape>
                <v:shape id="Shape 704822" style="position:absolute;width:49432;height:1257;left:0;top:12342;" coordsize="4943210,125757" path="m0,0l4943210,0l4943210,125757l0,125757l0,0">
                  <v:stroke weight="0pt" endcap="flat" joinstyle="miter" miterlimit="10" on="false" color="#000000" opacity="0"/>
                  <v:fill on="true" color="#dbdbdb"/>
                </v:shape>
                <v:shape id="Shape 704823" style="position:absolute;width:49432;height:1270;left:0;top:13600;" coordsize="4943210,127058" path="m0,0l4943210,0l4943210,127058l0,127058l0,0">
                  <v:stroke weight="0pt" endcap="flat" joinstyle="miter" miterlimit="10" on="false" color="#000000" opacity="0"/>
                  <v:fill on="true" color="#d9d9d9"/>
                </v:shape>
                <v:shape id="Shape 704824" style="position:absolute;width:49432;height:1254;left:0;top:14870;" coordsize="4943210,125499" path="m0,0l4943210,0l4943210,125499l0,125499l0,0">
                  <v:stroke weight="0pt" endcap="flat" joinstyle="miter" miterlimit="10" on="false" color="#000000" opacity="0"/>
                  <v:fill on="true" color="#d7d7d7"/>
                </v:shape>
                <v:shape id="Shape 704825" style="position:absolute;width:49432;height:1270;left:0;top:16125;" coordsize="4943210,127058" path="m0,0l4943210,0l4943210,127058l0,127057l0,0">
                  <v:stroke weight="0pt" endcap="flat" joinstyle="miter" miterlimit="10" on="false" color="#000000" opacity="0"/>
                  <v:fill on="true" color="#d5d5d5"/>
                </v:shape>
                <v:shape id="Shape 704826" style="position:absolute;width:49432;height:1257;left:0;top:17396;" coordsize="4943210,125757" path="m0,0l4943210,0l4943210,125757l0,125757l0,0">
                  <v:stroke weight="0pt" endcap="flat" joinstyle="miter" miterlimit="10" on="false" color="#000000" opacity="0"/>
                  <v:fill on="true" color="#d3d3d3"/>
                </v:shape>
                <v:shape id="Shape 704827" style="position:absolute;width:49432;height:1270;left:0;top:18653;" coordsize="4943210,127058" path="m0,0l4943210,0l4943210,127058l0,127058l0,0">
                  <v:stroke weight="0pt" endcap="flat" joinstyle="miter" miterlimit="10" on="false" color="#000000" opacity="0"/>
                  <v:fill on="true" color="#d1d1d1"/>
                </v:shape>
                <v:shape id="Shape 704828" style="position:absolute;width:49432;height:1179;left:0;top:19924;" coordsize="4943210,117963" path="m0,0l4943210,0l4943210,117963l0,117963l0,0">
                  <v:stroke weight="0pt" endcap="flat" joinstyle="miter" miterlimit="10" on="false" color="#000000" opacity="0"/>
                  <v:fill on="true" color="#cfcfcf"/>
                </v:shape>
                <v:shape id="Shape 704829" style="position:absolute;width:49432;height:961;left:0;top:21103;" coordsize="4943210,96138" path="m0,0l4943210,0l4943210,96138l0,96138l0,0">
                  <v:stroke weight="0pt" endcap="flat" joinstyle="miter" miterlimit="10" on="false" color="#000000" opacity="0"/>
                  <v:fill on="true" color="#cdcdcd"/>
                </v:shape>
                <v:shape id="Shape 704830" style="position:absolute;width:49432;height:1010;left:0;top:22065;" coordsize="4943210,101074" path="m0,0l4943210,0l4943210,101074l0,101074l0,0">
                  <v:stroke weight="0pt" endcap="flat" joinstyle="miter" miterlimit="10" on="false" color="#000000" opacity="0"/>
                  <v:fill on="true" color="#cbcbcb"/>
                </v:shape>
                <v:shape id="Shape 704831" style="position:absolute;width:49432;height:1270;left:0;top:23076;" coordsize="4943210,127058" path="m0,0l4943210,0l4943210,127058l0,127058l0,0">
                  <v:stroke weight="0pt" endcap="flat" joinstyle="miter" miterlimit="10" on="false" color="#000000" opacity="0"/>
                  <v:fill on="true" color="#c9c9c9"/>
                </v:shape>
                <v:shape id="Shape 704832" style="position:absolute;width:49432;height:1036;left:0;top:24346;" coordsize="4943210,103673" path="m0,0l4943210,0l4943210,103673l0,103673l0,0">
                  <v:stroke weight="0pt" endcap="flat" joinstyle="miter" miterlimit="10" on="false" color="#000000" opacity="0"/>
                  <v:fill on="true" color="#c7c7c7"/>
                </v:shape>
                <v:shape id="Shape 704833" style="position:absolute;width:49432;height:945;left:0;top:25383;" coordsize="4943210,94580" path="m0,0l4943210,0l4943210,94580l0,94580l0,0">
                  <v:stroke weight="0pt" endcap="flat" joinstyle="miter" miterlimit="10" on="false" color="#000000" opacity="0"/>
                  <v:fill on="true" color="#c5c5c5"/>
                </v:shape>
                <v:shape id="Shape 704834" style="position:absolute;width:49432;height:1179;left:0;top:26329;" coordsize="4943210,117963" path="m0,0l4943210,0l4943210,117963l0,117963l0,0">
                  <v:stroke weight="0pt" endcap="flat" joinstyle="miter" miterlimit="10" on="false" color="#000000" opacity="0"/>
                  <v:fill on="true" color="#c3c3c3"/>
                </v:shape>
                <v:shape id="Shape 704835" style="position:absolute;width:49432;height:1192;left:0;top:27508;" coordsize="4943210,119264" path="m0,0l4943210,0l4943210,119264l0,119264l0,0">
                  <v:stroke weight="0pt" endcap="flat" joinstyle="miter" miterlimit="10" on="false" color="#000000" opacity="0"/>
                  <v:fill on="true" color="#c1c1c1"/>
                </v:shape>
                <v:shape id="Shape 704836" style="position:absolute;width:49432;height:945;left:0;top:28701;" coordsize="4943210,94580" path="m0,0l4943210,0l4943210,94580l0,94579l0,0">
                  <v:stroke weight="0pt" endcap="flat" joinstyle="miter" miterlimit="10" on="false" color="#000000" opacity="0"/>
                  <v:fill on="true" color="#bfbfbf"/>
                </v:shape>
                <v:shape id="Shape 704837" style="position:absolute;width:49432;height:714;left:0;top:29647;" coordsize="4943210,71455" path="m0,0l4943210,0l4943210,71455l0,71455l0,0">
                  <v:stroke weight="0pt" endcap="flat" joinstyle="miter" miterlimit="10" on="false" color="#000000" opacity="0"/>
                  <v:fill on="true" color="#bcbcbc"/>
                </v:shape>
                <v:shape id="Shape 15906" style="position:absolute;width:49367;height:30309;left:13;top:13;" coordsize="4936746,3030948" path="m0,3030948l4936746,3030948l4936746,0l0,0x">
                  <v:stroke weight="0.118508pt" endcap="flat" joinstyle="round" on="true" color="#000000"/>
                  <v:fill on="false" color="#000000" opacity="0"/>
                </v:shape>
                <v:shape id="Shape 704838" style="position:absolute;width:36715;height:19160;left:2174;top:7077;" coordsize="3671555,1916031" path="m0,0l3671555,0l3671555,1916031l0,1916031l0,0">
                  <v:stroke weight="0pt" endcap="flat" joinstyle="round" on="false" color="#000000" opacity="0"/>
                  <v:fill on="true" color="#ffffff"/>
                </v:shape>
                <v:shape id="Shape 15911" style="position:absolute;width:36675;height:0;left:2215;top:23880;" coordsize="3667578,0" path="m3667578,0l0,0">
                  <v:stroke weight="0.118508pt" endcap="square" joinstyle="round" on="true" color="#808080"/>
                  <v:fill on="false" color="#000000" opacity="0"/>
                </v:shape>
                <v:shape id="Shape 15913" style="position:absolute;width:36675;height:0;left:2215;top:21495;" coordsize="3667578,0" path="m3667578,0l0,0">
                  <v:stroke weight="0.118508pt" endcap="square" joinstyle="round" on="true" color="#808080"/>
                  <v:fill on="false" color="#000000" opacity="0"/>
                </v:shape>
                <v:shape id="Shape 15915" style="position:absolute;width:36675;height:0;left:2215;top:19096;" coordsize="3667578,0" path="m3667578,0l0,0">
                  <v:stroke weight="0.118508pt" endcap="square" joinstyle="round" on="true" color="#808080"/>
                  <v:fill on="false" color="#000000" opacity="0"/>
                </v:shape>
                <v:shape id="Shape 15917" style="position:absolute;width:36675;height:0;left:2215;top:16698;" coordsize="3667578,0" path="m3667578,0l0,0">
                  <v:stroke weight="0.118508pt" endcap="square" joinstyle="round" on="true" color="#808080"/>
                  <v:fill on="false" color="#000000" opacity="0"/>
                </v:shape>
                <v:shape id="Shape 15919" style="position:absolute;width:36675;height:0;left:2215;top:14299;" coordsize="3667578,0" path="m3667578,0l0,0">
                  <v:stroke weight="0.118508pt" endcap="square" joinstyle="round" on="true" color="#808080"/>
                  <v:fill on="false" color="#000000" opacity="0"/>
                </v:shape>
                <v:shape id="Shape 15921" style="position:absolute;width:36675;height:0;left:2215;top:11915;" coordsize="3667578,1" path="m3667578,1l0,0">
                  <v:stroke weight="0.118508pt" endcap="square" joinstyle="round" on="true" color="#808080"/>
                  <v:fill on="false" color="#000000" opacity="0"/>
                </v:shape>
                <v:shape id="Shape 15923" style="position:absolute;width:36675;height:0;left:2215;top:9517;" coordsize="3667578,0" path="m3667578,0l0,0">
                  <v:stroke weight="0.118508pt" endcap="square" joinstyle="round" on="true" color="#808080"/>
                  <v:fill on="false" color="#000000" opacity="0"/>
                </v:shape>
                <v:shape id="Shape 15925" style="position:absolute;width:36675;height:0;left:2215;top:7118;" coordsize="3667578,0" path="m3667578,0l0,0">
                  <v:stroke weight="0.118508pt" endcap="square" joinstyle="round" on="true" color="#808080"/>
                  <v:fill on="false" color="#000000" opacity="0"/>
                </v:shape>
                <v:shape id="Shape 704839" style="position:absolute;width:2046;height:11978;left:3702;top:14260;" coordsize="204691,1197802" path="m0,0l204691,0l204691,1197802l0,1197802l0,0">
                  <v:stroke weight="0pt" endcap="flat" joinstyle="round" on="false" color="#000000" opacity="0"/>
                  <v:fill on="true" color="#4f81bd"/>
                </v:shape>
                <v:shape id="Shape 15927" style="position:absolute;width:2046;height:9580;left:12885;top:16658;" coordsize="204691,958005" path="m0,0l204691,0l204691,958005l0,958005l0,0x">
                  <v:stroke weight="0pt" endcap="flat" joinstyle="round" on="false" color="#000000" opacity="0"/>
                  <v:fill on="true" color="#4f81bd"/>
                </v:shape>
                <v:shape id="Shape 704840" style="position:absolute;width:2033;height:11978;left:22067;top:14260;" coordsize="203388,1197802" path="m0,0l203388,0l203388,1197802l0,1197802l0,0">
                  <v:stroke weight="0pt" endcap="flat" joinstyle="round" on="false" color="#000000" opacity="0"/>
                  <v:fill on="true" color="#4f81bd"/>
                </v:shape>
                <v:shape id="Shape 704841" style="position:absolute;width:2044;height:11978;left:31237;top:14260;" coordsize="204422,1197802" path="m0,0l204422,0l204422,1197802l0,1197802l0,0">
                  <v:stroke weight="0pt" endcap="flat" joinstyle="round" on="false" color="#000000" opacity="0"/>
                  <v:fill on="true" color="#4f81bd"/>
                </v:shape>
                <v:shape id="Shape 15930" style="position:absolute;width:2033;height:14363;left:5749;top:11874;" coordsize="203387,1436352" path="m0,0l203387,0l203387,1436352l0,1436352l0,0x">
                  <v:stroke weight="0pt" endcap="flat" joinstyle="round" on="false" color="#000000" opacity="0"/>
                  <v:fill on="true" color="#c0504d"/>
                </v:shape>
                <v:shape id="Shape 15931" style="position:absolute;width:2031;height:16761;left:14933;top:9476;" coordsize="203118,1676192" path="m0,0l203118,0l203118,1676192l0,1676192l0,0x">
                  <v:stroke weight="0pt" endcap="flat" joinstyle="round" on="false" color="#000000" opacity="0"/>
                  <v:fill on="true" color="#c0504d"/>
                </v:shape>
                <v:shape id="Shape 704842" style="position:absolute;width:2046;height:7181;left:24100;top:19056;" coordsize="204691,718176" path="m0,0l204691,0l204691,718176l0,718176l0,0">
                  <v:stroke weight="0pt" endcap="flat" joinstyle="round" on="false" color="#000000" opacity="0"/>
                  <v:fill on="true" color="#c0504d"/>
                </v:shape>
                <v:shape id="Shape 704843" style="position:absolute;width:2033;height:16761;left:33281;top:9476;" coordsize="203388,1676192" path="m0,0l203388,0l203388,1676192l0,1676192l0,0">
                  <v:stroke weight="0pt" endcap="flat" joinstyle="round" on="false" color="#000000" opacity="0"/>
                  <v:fill on="true" color="#c0504d"/>
                </v:shape>
                <v:shape id="Shape 15934" style="position:absolute;width:2046;height:9580;left:7783;top:16658;" coordsize="204691,958005" path="m0,0l204691,0l204691,958005l0,958005l0,0x">
                  <v:stroke weight="0pt" endcap="flat" joinstyle="round" on="false" color="#000000" opacity="0"/>
                  <v:fill on="true" color="#9bbb59"/>
                </v:shape>
                <v:shape id="Shape 704844" style="position:absolute;width:2046;height:2398;left:16964;top:23839;" coordsize="204691,239830" path="m0,0l204691,0l204691,239830l0,239830l0,0">
                  <v:stroke weight="0pt" endcap="flat" joinstyle="round" on="false" color="#000000" opacity="0"/>
                  <v:fill on="true" color="#9bbb59"/>
                </v:shape>
                <v:shape id="Shape 704845" style="position:absolute;width:2046;height:14363;left:35316;top:11874;" coordsize="204691,1436352" path="m0,0l204691,0l204691,1436352l0,1436352l0,0">
                  <v:stroke weight="0pt" endcap="flat" joinstyle="round" on="false" color="#000000" opacity="0"/>
                  <v:fill on="true" color="#9bbb59"/>
                </v:shape>
                <v:shape id="Shape 15938" style="position:absolute;width:0;height:19146;left:2215;top:7118;" coordsize="0,1914687" path="m0,0l0,1914687">
                  <v:stroke weight="0.118508pt" endcap="square" joinstyle="round" on="true" color="#808080"/>
                  <v:fill on="false" color="#000000" opacity="0"/>
                </v:shape>
                <v:shape id="Shape 15939" style="position:absolute;width:323;height:0;left:1878;top:26278;" coordsize="32336,0" path="m0,0l32336,0">
                  <v:stroke weight="0.118508pt" endcap="square" joinstyle="round" on="true" color="#808080"/>
                  <v:fill on="false" color="#000000" opacity="0"/>
                </v:shape>
                <v:shape id="Shape 15940" style="position:absolute;width:323;height:0;left:1878;top:23880;" coordsize="32336,0" path="m0,0l32336,0">
                  <v:stroke weight="0.118508pt" endcap="square" joinstyle="round" on="true" color="#808080"/>
                  <v:fill on="false" color="#000000" opacity="0"/>
                </v:shape>
                <v:shape id="Shape 15941" style="position:absolute;width:323;height:0;left:1878;top:21495;" coordsize="32336,0" path="m0,0l32336,0">
                  <v:stroke weight="0.118508pt" endcap="square" joinstyle="round" on="true" color="#808080"/>
                  <v:fill on="false" color="#000000" opacity="0"/>
                </v:shape>
                <v:shape id="Shape 15942" style="position:absolute;width:323;height:0;left:1878;top:19096;" coordsize="32336,0" path="m0,0l32336,0">
                  <v:stroke weight="0.118508pt" endcap="square" joinstyle="round" on="true" color="#808080"/>
                  <v:fill on="false" color="#000000" opacity="0"/>
                </v:shape>
                <v:shape id="Shape 15943" style="position:absolute;width:323;height:0;left:1878;top:16698;" coordsize="32336,0" path="m0,0l32336,0">
                  <v:stroke weight="0.118508pt" endcap="square" joinstyle="round" on="true" color="#808080"/>
                  <v:fill on="false" color="#000000" opacity="0"/>
                </v:shape>
                <v:shape id="Shape 15944" style="position:absolute;width:323;height:0;left:1878;top:14299;" coordsize="32336,0" path="m0,0l32336,0">
                  <v:stroke weight="0.118508pt" endcap="square" joinstyle="round" on="true" color="#808080"/>
                  <v:fill on="false" color="#000000" opacity="0"/>
                </v:shape>
                <v:shape id="Shape 15945" style="position:absolute;width:323;height:0;left:1878;top:11915;" coordsize="32336,0" path="m0,0l32336,0">
                  <v:stroke weight="0.118508pt" endcap="square" joinstyle="round" on="true" color="#808080"/>
                  <v:fill on="false" color="#000000" opacity="0"/>
                </v:shape>
                <v:shape id="Shape 15946" style="position:absolute;width:323;height:0;left:1878;top:9517;" coordsize="32336,0" path="m0,0l32336,0">
                  <v:stroke weight="0.118508pt" endcap="square" joinstyle="round" on="true" color="#808080"/>
                  <v:fill on="false" color="#000000" opacity="0"/>
                </v:shape>
                <v:shape id="Shape 15947" style="position:absolute;width:323;height:0;left:1878;top:7118;" coordsize="32336,0" path="m0,0l32336,0">
                  <v:stroke weight="0.118508pt" endcap="square" joinstyle="round" on="true" color="#808080"/>
                  <v:fill on="false" color="#000000" opacity="0"/>
                </v:shape>
                <v:shape id="Shape 15948" style="position:absolute;width:36703;height:0;left:2215;top:26278;" coordsize="3670316,0" path="m0,0l3670316,0">
                  <v:stroke weight="0.118508pt" endcap="square" joinstyle="round" on="true" color="#808080"/>
                  <v:fill on="false" color="#000000" opacity="0"/>
                </v:shape>
                <v:shape id="Shape 15949" style="position:absolute;width:0;height:324;left:2215;top:26291;" coordsize="0,32476" path="m0,32476l0,0">
                  <v:stroke weight="0.118508pt" endcap="square" joinstyle="round" on="true" color="#808080"/>
                  <v:fill on="false" color="#000000" opacity="0"/>
                </v:shape>
                <v:shape id="Shape 15950" style="position:absolute;width:0;height:324;left:11399;top:26291;" coordsize="0,32476" path="m0,32476l0,0">
                  <v:stroke weight="0.118508pt" endcap="square" joinstyle="round" on="true" color="#808080"/>
                  <v:fill on="false" color="#000000" opacity="0"/>
                </v:shape>
                <v:shape id="Shape 15951" style="position:absolute;width:0;height:324;left:20579;top:26291;" coordsize="0,32476" path="m0,32476l0,0">
                  <v:stroke weight="0.118508pt" endcap="square" joinstyle="round" on="true" color="#808080"/>
                  <v:fill on="false" color="#000000" opacity="0"/>
                </v:shape>
                <v:shape id="Shape 15952" style="position:absolute;width:0;height:324;left:29749;top:26291;" coordsize="0,32476" path="m0,32476l0,0">
                  <v:stroke weight="0.118508pt" endcap="square" joinstyle="round" on="true" color="#808080"/>
                  <v:fill on="false" color="#000000" opacity="0"/>
                </v:shape>
                <v:shape id="Shape 15953" style="position:absolute;width:0;height:324;left:38931;top:26291;" coordsize="0,32476" path="m0,32476l0,0">
                  <v:stroke weight="0.118508pt" endcap="square" joinstyle="round" on="true" color="#808080"/>
                  <v:fill on="false" color="#000000" opacity="0"/>
                </v:shape>
                <v:rect id="Rectangle 15955" style="position:absolute;width:34554;height:2636;left:5595;top:1455;" filled="f" stroked="f">
                  <v:textbox inset="0,0,0,0">
                    <w:txbxContent>
                      <w:p>
                        <w:pPr>
                          <w:spacing w:before="0" w:after="160" w:line="259" w:lineRule="auto"/>
                          <w:ind w:left="0" w:firstLine="0"/>
                          <w:jc w:val="left"/>
                        </w:pPr>
                        <w:r>
                          <w:rPr>
                            <w:rFonts w:cs="Calibri" w:hAnsi="Calibri" w:eastAsia="Calibri" w:ascii="Calibri"/>
                            <w:b w:val="1"/>
                            <w:sz w:val="31"/>
                          </w:rPr>
                          <w:t xml:space="preserve">График обнаружения вирусов </w:t>
                        </w:r>
                      </w:p>
                    </w:txbxContent>
                  </v:textbox>
                </v:rect>
                <v:rect id="Rectangle 91851" style="position:absolute;width:87;height:229;left:7342;top:3581;" filled="f" stroked="f">
                  <v:textbox inset="0,0,0,0">
                    <w:txbxContent>
                      <w:p>
                        <w:pPr>
                          <w:spacing w:before="0" w:after="160" w:line="259" w:lineRule="auto"/>
                          <w:ind w:left="0" w:firstLine="0"/>
                          <w:jc w:val="left"/>
                        </w:pPr>
                        <w:r>
                          <w:rPr>
                            <w:rFonts w:cs="Calibri" w:hAnsi="Calibri" w:eastAsia="Calibri" w:ascii="Calibri"/>
                            <w:b w:val="1"/>
                            <w:sz w:val="3"/>
                          </w:rPr>
                          <w:t xml:space="preserve">т</w:t>
                        </w:r>
                      </w:p>
                    </w:txbxContent>
                  </v:textbox>
                </v:rect>
                <v:rect id="Rectangle 91850" style="position:absolute;width:122;height:229;left:6281;top:3581;" filled="f" stroked="f">
                  <v:textbox inset="0,0,0,0">
                    <w:txbxContent>
                      <w:p>
                        <w:pPr>
                          <w:spacing w:before="0" w:after="160" w:line="259" w:lineRule="auto"/>
                          <w:ind w:left="0" w:firstLine="0"/>
                          <w:jc w:val="left"/>
                        </w:pPr>
                        <w:r>
                          <w:rPr>
                            <w:rFonts w:cs="Calibri" w:hAnsi="Calibri" w:eastAsia="Calibri" w:ascii="Calibri"/>
                            <w:b w:val="1"/>
                            <w:sz w:val="3"/>
                          </w:rPr>
                          <w:t xml:space="preserve">н</w:t>
                        </w:r>
                      </w:p>
                    </w:txbxContent>
                  </v:textbox>
                </v:rect>
                <v:rect id="Rectangle 91853" style="position:absolute;width:125;height:229;left:8093;top:3581;" filled="f" stroked="f">
                  <v:textbox inset="0,0,0,0">
                    <w:txbxContent>
                      <w:p>
                        <w:pPr>
                          <w:spacing w:before="0" w:after="160" w:line="259" w:lineRule="auto"/>
                          <w:ind w:left="0" w:firstLine="0"/>
                          <w:jc w:val="left"/>
                        </w:pPr>
                        <w:r>
                          <w:rPr>
                            <w:rFonts w:cs="Calibri" w:hAnsi="Calibri" w:eastAsia="Calibri" w:ascii="Calibri"/>
                            <w:b w:val="1"/>
                            <w:sz w:val="3"/>
                          </w:rPr>
                          <w:t xml:space="preserve">и</w:t>
                        </w:r>
                      </w:p>
                    </w:txbxContent>
                  </v:textbox>
                </v:rect>
                <v:rect id="Rectangle 91849" style="position:absolute;width:111;height:229;left:5321;top:3581;" filled="f" stroked="f">
                  <v:textbox inset="0,0,0,0">
                    <w:txbxContent>
                      <w:p>
                        <w:pPr>
                          <w:spacing w:before="0" w:after="160" w:line="259" w:lineRule="auto"/>
                          <w:ind w:left="0" w:firstLine="0"/>
                          <w:jc w:val="left"/>
                        </w:pPr>
                        <w:r>
                          <w:rPr>
                            <w:rFonts w:cs="Calibri" w:hAnsi="Calibri" w:eastAsia="Calibri" w:ascii="Calibri"/>
                            <w:b w:val="1"/>
                            <w:sz w:val="3"/>
                          </w:rPr>
                          <w:t xml:space="preserve">а</w:t>
                        </w:r>
                      </w:p>
                    </w:txbxContent>
                  </v:textbox>
                </v:rect>
                <v:rect id="Rectangle 91854" style="position:absolute;width:111;height:229;left:9180;top:3581;" filled="f" stroked="f">
                  <v:textbox inset="0,0,0,0">
                    <w:txbxContent>
                      <w:p>
                        <w:pPr>
                          <w:spacing w:before="0" w:after="160" w:line="259" w:lineRule="auto"/>
                          <w:ind w:left="0" w:firstLine="0"/>
                          <w:jc w:val="left"/>
                        </w:pPr>
                        <w:r>
                          <w:rPr>
                            <w:rFonts w:cs="Calibri" w:hAnsi="Calibri" w:eastAsia="Calibri" w:ascii="Calibri"/>
                            <w:b w:val="1"/>
                            <w:sz w:val="3"/>
                          </w:rPr>
                          <w:t xml:space="preserve">в</w:t>
                        </w:r>
                      </w:p>
                    </w:txbxContent>
                  </v:textbox>
                </v:rect>
                <v:rect id="Rectangle 91855" style="position:absolute;width:125;height:229;left:10139;top:3581;" filled="f" stroked="f">
                  <v:textbox inset="0,0,0,0">
                    <w:txbxContent>
                      <w:p>
                        <w:pPr>
                          <w:spacing w:before="0" w:after="160" w:line="259" w:lineRule="auto"/>
                          <w:ind w:left="0" w:firstLine="0"/>
                          <w:jc w:val="left"/>
                        </w:pPr>
                        <w:r>
                          <w:rPr>
                            <w:rFonts w:cs="Calibri" w:hAnsi="Calibri" w:eastAsia="Calibri" w:ascii="Calibri"/>
                            <w:b w:val="1"/>
                            <w:sz w:val="3"/>
                          </w:rPr>
                          <w:t xml:space="preserve">и</w:t>
                        </w:r>
                      </w:p>
                    </w:txbxContent>
                  </v:textbox>
                </v:rect>
                <v:rect id="Rectangle 91856" style="position:absolute;width:121;height:229;left:11227;top:3581;" filled="f" stroked="f">
                  <v:textbox inset="0,0,0,0">
                    <w:txbxContent>
                      <w:p>
                        <w:pPr>
                          <w:spacing w:before="0" w:after="160" w:line="259" w:lineRule="auto"/>
                          <w:ind w:left="0" w:firstLine="0"/>
                          <w:jc w:val="left"/>
                        </w:pPr>
                        <w:r>
                          <w:rPr>
                            <w:rFonts w:cs="Calibri" w:hAnsi="Calibri" w:eastAsia="Calibri" w:ascii="Calibri"/>
                            <w:b w:val="1"/>
                            <w:sz w:val="3"/>
                          </w:rPr>
                          <w:t xml:space="preserve">р</w:t>
                        </w:r>
                      </w:p>
                    </w:txbxContent>
                  </v:textbox>
                </v:rect>
                <v:rect id="Rectangle 91857" style="position:absolute;width:106;height:229;left:12275;top:3581;" filled="f" stroked="f">
                  <v:textbox inset="0,0,0,0">
                    <w:txbxContent>
                      <w:p>
                        <w:pPr>
                          <w:spacing w:before="0" w:after="160" w:line="259" w:lineRule="auto"/>
                          <w:ind w:left="0" w:firstLine="0"/>
                          <w:jc w:val="left"/>
                        </w:pPr>
                        <w:r>
                          <w:rPr>
                            <w:rFonts w:cs="Calibri" w:hAnsi="Calibri" w:eastAsia="Calibri" w:ascii="Calibri"/>
                            <w:b w:val="1"/>
                            <w:sz w:val="3"/>
                          </w:rPr>
                          <w:t xml:space="preserve">у</w:t>
                        </w:r>
                      </w:p>
                    </w:txbxContent>
                  </v:textbox>
                </v:rect>
                <v:rect id="Rectangle 91860" style="position:absolute;width:94;height:229;left:13195;top:3581;" filled="f" stroked="f">
                  <v:textbox inset="0,0,0,0">
                    <w:txbxContent>
                      <w:p>
                        <w:pPr>
                          <w:spacing w:before="0" w:after="160" w:line="259" w:lineRule="auto"/>
                          <w:ind w:left="0" w:firstLine="0"/>
                          <w:jc w:val="left"/>
                        </w:pPr>
                        <w:r>
                          <w:rPr>
                            <w:rFonts w:cs="Calibri" w:hAnsi="Calibri" w:eastAsia="Calibri" w:ascii="Calibri"/>
                            <w:b w:val="1"/>
                            <w:sz w:val="3"/>
                          </w:rPr>
                          <w:t xml:space="preserve">с</w:t>
                        </w:r>
                      </w:p>
                    </w:txbxContent>
                  </v:textbox>
                </v:rect>
                <v:rect id="Rectangle 91861" style="position:absolute;width:122;height:229;left:14011;top:3581;" filled="f" stroked="f">
                  <v:textbox inset="0,0,0,0">
                    <w:txbxContent>
                      <w:p>
                        <w:pPr>
                          <w:spacing w:before="0" w:after="160" w:line="259" w:lineRule="auto"/>
                          <w:ind w:left="0" w:firstLine="0"/>
                          <w:jc w:val="left"/>
                        </w:pPr>
                        <w:r>
                          <w:rPr>
                            <w:rFonts w:cs="Calibri" w:hAnsi="Calibri" w:eastAsia="Calibri" w:ascii="Calibri"/>
                            <w:b w:val="1"/>
                            <w:sz w:val="3"/>
                          </w:rPr>
                          <w:t xml:space="preserve">н</w:t>
                        </w:r>
                      </w:p>
                    </w:txbxContent>
                  </v:textbox>
                </v:rect>
                <v:rect id="Rectangle 91862" style="position:absolute;width:160;height:229;left:15072;top:3581;" filled="f" stroked="f">
                  <v:textbox inset="0,0,0,0">
                    <w:txbxContent>
                      <w:p>
                        <w:pPr>
                          <w:spacing w:before="0" w:after="160" w:line="259" w:lineRule="auto"/>
                          <w:ind w:left="0" w:firstLine="0"/>
                          <w:jc w:val="left"/>
                        </w:pPr>
                        <w:r>
                          <w:rPr>
                            <w:rFonts w:cs="Calibri" w:hAnsi="Calibri" w:eastAsia="Calibri" w:ascii="Calibri"/>
                            <w:b w:val="1"/>
                            <w:sz w:val="3"/>
                          </w:rPr>
                          <w:t xml:space="preserve">ы</w:t>
                        </w:r>
                      </w:p>
                    </w:txbxContent>
                  </v:textbox>
                </v:rect>
                <v:rect id="Rectangle 91863" style="position:absolute;width:160;height:229;left:16457;top:3581;" filled="f" stroked="f">
                  <v:textbox inset="0,0,0,0">
                    <w:txbxContent>
                      <w:p>
                        <w:pPr>
                          <w:spacing w:before="0" w:after="160" w:line="259" w:lineRule="auto"/>
                          <w:ind w:left="0" w:firstLine="0"/>
                          <w:jc w:val="left"/>
                        </w:pPr>
                        <w:r>
                          <w:rPr>
                            <w:rFonts w:cs="Calibri" w:hAnsi="Calibri" w:eastAsia="Calibri" w:ascii="Calibri"/>
                            <w:b w:val="1"/>
                            <w:sz w:val="3"/>
                          </w:rPr>
                          <w:t xml:space="preserve">м</w:t>
                        </w:r>
                      </w:p>
                    </w:txbxContent>
                  </v:textbox>
                </v:rect>
                <v:rect id="Rectangle 91865" style="position:absolute;width:125;height:229;left:17841;top:3581;" filled="f" stroked="f">
                  <v:textbox inset="0,0,0,0">
                    <w:txbxContent>
                      <w:p>
                        <w:pPr>
                          <w:spacing w:before="0" w:after="160" w:line="259" w:lineRule="auto"/>
                          <w:ind w:left="0" w:firstLine="0"/>
                          <w:jc w:val="left"/>
                        </w:pPr>
                        <w:r>
                          <w:rPr>
                            <w:rFonts w:cs="Calibri" w:hAnsi="Calibri" w:eastAsia="Calibri" w:ascii="Calibri"/>
                            <w:b w:val="1"/>
                            <w:sz w:val="3"/>
                          </w:rPr>
                          <w:t xml:space="preserve">и</w:t>
                        </w:r>
                      </w:p>
                    </w:txbxContent>
                  </v:textbox>
                </v:rect>
                <v:rect id="Rectangle 15957" style="position:absolute;width:50;height:250;left:18932;top:3555;" filled="f" stroked="f">
                  <v:textbox inset="0,0,0,0">
                    <w:txbxContent>
                      <w:p>
                        <w:pPr>
                          <w:spacing w:before="0" w:after="160" w:line="259" w:lineRule="auto"/>
                          <w:ind w:left="0" w:firstLine="0"/>
                          <w:jc w:val="left"/>
                        </w:pPr>
                        <w:r>
                          <w:rPr>
                            <w:rFonts w:cs="Calibri" w:hAnsi="Calibri" w:eastAsia="Calibri" w:ascii="Calibri"/>
                            <w:b w:val="1"/>
                            <w:sz w:val="3"/>
                          </w:rPr>
                          <w:t xml:space="preserve"> </w:t>
                        </w:r>
                      </w:p>
                    </w:txbxContent>
                  </v:textbox>
                </v:rect>
                <v:rect id="Rectangle 91866" style="position:absolute;width:120;height:229;left:19373;top:3581;" filled="f" stroked="f">
                  <v:textbox inset="0,0,0,0">
                    <w:txbxContent>
                      <w:p>
                        <w:pPr>
                          <w:spacing w:before="0" w:after="160" w:line="259" w:lineRule="auto"/>
                          <w:ind w:left="0" w:firstLine="0"/>
                          <w:jc w:val="left"/>
                        </w:pPr>
                        <w:r>
                          <w:rPr>
                            <w:rFonts w:cs="Calibri" w:hAnsi="Calibri" w:eastAsia="Calibri" w:ascii="Calibri"/>
                            <w:b w:val="1"/>
                            <w:sz w:val="3"/>
                          </w:rPr>
                          <w:t xml:space="preserve">п</w:t>
                        </w:r>
                      </w:p>
                    </w:txbxContent>
                  </v:textbox>
                </v:rect>
                <v:rect id="Rectangle 91869" style="position:absolute;width:121;height:229;left:20408;top:3581;" filled="f" stroked="f">
                  <v:textbox inset="0,0,0,0">
                    <w:txbxContent>
                      <w:p>
                        <w:pPr>
                          <w:spacing w:before="0" w:after="160" w:line="259" w:lineRule="auto"/>
                          <w:ind w:left="0" w:firstLine="0"/>
                          <w:jc w:val="left"/>
                        </w:pPr>
                        <w:r>
                          <w:rPr>
                            <w:rFonts w:cs="Calibri" w:hAnsi="Calibri" w:eastAsia="Calibri" w:ascii="Calibri"/>
                            <w:b w:val="1"/>
                            <w:sz w:val="3"/>
                          </w:rPr>
                          <w:t xml:space="preserve">р</w:t>
                        </w:r>
                      </w:p>
                    </w:txbxContent>
                  </v:textbox>
                </v:rect>
                <v:rect id="Rectangle 91871" style="position:absolute;width:121;height:229;left:21456;top:3581;"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91879" style="position:absolute;width:80;height:229;left:22504;top:3581;"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91880" style="position:absolute;width:121;height:229;left:23190;top:3581;" filled="f" stroked="f">
                  <v:textbox inset="0,0,0,0">
                    <w:txbxContent>
                      <w:p>
                        <w:pPr>
                          <w:spacing w:before="0" w:after="160" w:line="259" w:lineRule="auto"/>
                          <w:ind w:left="0" w:firstLine="0"/>
                          <w:jc w:val="left"/>
                        </w:pPr>
                        <w:r>
                          <w:rPr>
                            <w:rFonts w:cs="Calibri" w:hAnsi="Calibri" w:eastAsia="Calibri" w:ascii="Calibri"/>
                            <w:b w:val="1"/>
                            <w:sz w:val="3"/>
                          </w:rPr>
                          <w:t xml:space="preserve">р</w:t>
                        </w:r>
                      </w:p>
                    </w:txbxContent>
                  </v:textbox>
                </v:rect>
                <v:rect id="Rectangle 91881" style="position:absolute;width:111;height:229;left:24238;top:3581;" filled="f" stroked="f">
                  <v:textbox inset="0,0,0,0">
                    <w:txbxContent>
                      <w:p>
                        <w:pPr>
                          <w:spacing w:before="0" w:after="160" w:line="259" w:lineRule="auto"/>
                          <w:ind w:left="0" w:firstLine="0"/>
                          <w:jc w:val="left"/>
                        </w:pPr>
                        <w:r>
                          <w:rPr>
                            <w:rFonts w:cs="Calibri" w:hAnsi="Calibri" w:eastAsia="Calibri" w:ascii="Calibri"/>
                            <w:b w:val="1"/>
                            <w:sz w:val="3"/>
                          </w:rPr>
                          <w:t xml:space="preserve">а</w:t>
                        </w:r>
                      </w:p>
                    </w:txbxContent>
                  </v:textbox>
                </v:rect>
                <v:rect id="Rectangle 91882" style="position:absolute;width:160;height:229;left:25198;top:3581;" filled="f" stroked="f">
                  <v:textbox inset="0,0,0,0">
                    <w:txbxContent>
                      <w:p>
                        <w:pPr>
                          <w:spacing w:before="0" w:after="160" w:line="259" w:lineRule="auto"/>
                          <w:ind w:left="0" w:firstLine="0"/>
                          <w:jc w:val="left"/>
                        </w:pPr>
                        <w:r>
                          <w:rPr>
                            <w:rFonts w:cs="Calibri" w:hAnsi="Calibri" w:eastAsia="Calibri" w:ascii="Calibri"/>
                            <w:b w:val="1"/>
                            <w:sz w:val="3"/>
                          </w:rPr>
                          <w:t xml:space="preserve">м</w:t>
                        </w:r>
                      </w:p>
                    </w:txbxContent>
                  </v:textbox>
                </v:rect>
                <v:rect id="Rectangle 91883" style="position:absolute;width:160;height:229;left:26582;top:3581;" filled="f" stroked="f">
                  <v:textbox inset="0,0,0,0">
                    <w:txbxContent>
                      <w:p>
                        <w:pPr>
                          <w:spacing w:before="0" w:after="160" w:line="259" w:lineRule="auto"/>
                          <w:ind w:left="0" w:firstLine="0"/>
                          <w:jc w:val="left"/>
                        </w:pPr>
                        <w:r>
                          <w:rPr>
                            <w:rFonts w:cs="Calibri" w:hAnsi="Calibri" w:eastAsia="Calibri" w:ascii="Calibri"/>
                            <w:b w:val="1"/>
                            <w:sz w:val="3"/>
                          </w:rPr>
                          <w:t xml:space="preserve">м</w:t>
                        </w:r>
                      </w:p>
                    </w:txbxContent>
                  </v:textbox>
                </v:rect>
                <v:rect id="Rectangle 91884" style="position:absolute;width:111;height:229;left:27966;top:3581;" filled="f" stroked="f">
                  <v:textbox inset="0,0,0,0">
                    <w:txbxContent>
                      <w:p>
                        <w:pPr>
                          <w:spacing w:before="0" w:after="160" w:line="259" w:lineRule="auto"/>
                          <w:ind w:left="0" w:firstLine="0"/>
                          <w:jc w:val="left"/>
                        </w:pPr>
                        <w:r>
                          <w:rPr>
                            <w:rFonts w:cs="Calibri" w:hAnsi="Calibri" w:eastAsia="Calibri" w:ascii="Calibri"/>
                            <w:b w:val="1"/>
                            <w:sz w:val="3"/>
                          </w:rPr>
                          <w:t xml:space="preserve">а</w:t>
                        </w:r>
                      </w:p>
                    </w:txbxContent>
                  </v:textbox>
                </v:rect>
                <v:rect id="Rectangle 91885" style="position:absolute;width:160;height:229;left:28926;top:3581;" filled="f" stroked="f">
                  <v:textbox inset="0,0,0,0">
                    <w:txbxContent>
                      <w:p>
                        <w:pPr>
                          <w:spacing w:before="0" w:after="160" w:line="259" w:lineRule="auto"/>
                          <w:ind w:left="0" w:firstLine="0"/>
                          <w:jc w:val="left"/>
                        </w:pPr>
                        <w:r>
                          <w:rPr>
                            <w:rFonts w:cs="Calibri" w:hAnsi="Calibri" w:eastAsia="Calibri" w:ascii="Calibri"/>
                            <w:b w:val="1"/>
                            <w:sz w:val="3"/>
                          </w:rPr>
                          <w:t xml:space="preserve">м</w:t>
                        </w:r>
                      </w:p>
                    </w:txbxContent>
                  </v:textbox>
                </v:rect>
                <v:rect id="Rectangle 91886" style="position:absolute;width:125;height:229;left:30310;top:3581;" filled="f" stroked="f">
                  <v:textbox inset="0,0,0,0">
                    <w:txbxContent>
                      <w:p>
                        <w:pPr>
                          <w:spacing w:before="0" w:after="160" w:line="259" w:lineRule="auto"/>
                          <w:ind w:left="0" w:firstLine="0"/>
                          <w:jc w:val="left"/>
                        </w:pPr>
                        <w:r>
                          <w:rPr>
                            <w:rFonts w:cs="Calibri" w:hAnsi="Calibri" w:eastAsia="Calibri" w:ascii="Calibri"/>
                            <w:b w:val="1"/>
                            <w:sz w:val="3"/>
                          </w:rPr>
                          <w:t xml:space="preserve">и</w:t>
                        </w:r>
                      </w:p>
                    </w:txbxContent>
                  </v:textbox>
                </v:rect>
                <v:rect id="Rectangle 15960" style="position:absolute;width:727;height:1459;left:816;top:25755;" filled="f" stroked="f">
                  <v:textbox inset="0,0,0,0">
                    <w:txbxContent>
                      <w:p>
                        <w:pPr>
                          <w:spacing w:before="0" w:after="160" w:line="259" w:lineRule="auto"/>
                          <w:ind w:left="0" w:firstLine="0"/>
                          <w:jc w:val="left"/>
                        </w:pPr>
                        <w:r>
                          <w:rPr>
                            <w:rFonts w:cs="Calibri" w:hAnsi="Calibri" w:eastAsia="Calibri" w:ascii="Calibri"/>
                            <w:sz w:val="17"/>
                          </w:rPr>
                          <w:t xml:space="preserve">0</w:t>
                        </w:r>
                      </w:p>
                    </w:txbxContent>
                  </v:textbox>
                </v:rect>
                <v:rect id="Rectangle 15961" style="position:absolute;width:727;height:1459;left:816;top:23357;" filled="f" stroked="f">
                  <v:textbox inset="0,0,0,0">
                    <w:txbxContent>
                      <w:p>
                        <w:pPr>
                          <w:spacing w:before="0" w:after="160" w:line="259" w:lineRule="auto"/>
                          <w:ind w:left="0" w:firstLine="0"/>
                          <w:jc w:val="left"/>
                        </w:pPr>
                        <w:r>
                          <w:rPr>
                            <w:rFonts w:cs="Calibri" w:hAnsi="Calibri" w:eastAsia="Calibri" w:ascii="Calibri"/>
                            <w:sz w:val="17"/>
                          </w:rPr>
                          <w:t xml:space="preserve">1</w:t>
                        </w:r>
                      </w:p>
                    </w:txbxContent>
                  </v:textbox>
                </v:rect>
                <v:rect id="Rectangle 15962" style="position:absolute;width:727;height:1459;left:816;top:20971;" filled="f" stroked="f">
                  <v:textbox inset="0,0,0,0">
                    <w:txbxContent>
                      <w:p>
                        <w:pPr>
                          <w:spacing w:before="0" w:after="160" w:line="259" w:lineRule="auto"/>
                          <w:ind w:left="0" w:firstLine="0"/>
                          <w:jc w:val="left"/>
                        </w:pPr>
                        <w:r>
                          <w:rPr>
                            <w:rFonts w:cs="Calibri" w:hAnsi="Calibri" w:eastAsia="Calibri" w:ascii="Calibri"/>
                            <w:sz w:val="17"/>
                          </w:rPr>
                          <w:t xml:space="preserve">2</w:t>
                        </w:r>
                      </w:p>
                    </w:txbxContent>
                  </v:textbox>
                </v:rect>
                <v:rect id="Rectangle 15963" style="position:absolute;width:727;height:1459;left:816;top:18573;" filled="f" stroked="f">
                  <v:textbox inset="0,0,0,0">
                    <w:txbxContent>
                      <w:p>
                        <w:pPr>
                          <w:spacing w:before="0" w:after="160" w:line="259" w:lineRule="auto"/>
                          <w:ind w:left="0" w:firstLine="0"/>
                          <w:jc w:val="left"/>
                        </w:pPr>
                        <w:r>
                          <w:rPr>
                            <w:rFonts w:cs="Calibri" w:hAnsi="Calibri" w:eastAsia="Calibri" w:ascii="Calibri"/>
                            <w:sz w:val="17"/>
                          </w:rPr>
                          <w:t xml:space="preserve">3</w:t>
                        </w:r>
                      </w:p>
                    </w:txbxContent>
                  </v:textbox>
                </v:rect>
                <v:rect id="Rectangle 15964" style="position:absolute;width:727;height:1459;left:816;top:16175;" filled="f" stroked="f">
                  <v:textbox inset="0,0,0,0">
                    <w:txbxContent>
                      <w:p>
                        <w:pPr>
                          <w:spacing w:before="0" w:after="160" w:line="259" w:lineRule="auto"/>
                          <w:ind w:left="0" w:firstLine="0"/>
                          <w:jc w:val="left"/>
                        </w:pPr>
                        <w:r>
                          <w:rPr>
                            <w:rFonts w:cs="Calibri" w:hAnsi="Calibri" w:eastAsia="Calibri" w:ascii="Calibri"/>
                            <w:sz w:val="17"/>
                          </w:rPr>
                          <w:t xml:space="preserve">4</w:t>
                        </w:r>
                      </w:p>
                    </w:txbxContent>
                  </v:textbox>
                </v:rect>
                <v:rect id="Rectangle 15965" style="position:absolute;width:727;height:1459;left:816;top:13777;" filled="f" stroked="f">
                  <v:textbox inset="0,0,0,0">
                    <w:txbxContent>
                      <w:p>
                        <w:pPr>
                          <w:spacing w:before="0" w:after="160" w:line="259" w:lineRule="auto"/>
                          <w:ind w:left="0" w:firstLine="0"/>
                          <w:jc w:val="left"/>
                        </w:pPr>
                        <w:r>
                          <w:rPr>
                            <w:rFonts w:cs="Calibri" w:hAnsi="Calibri" w:eastAsia="Calibri" w:ascii="Calibri"/>
                            <w:sz w:val="17"/>
                          </w:rPr>
                          <w:t xml:space="preserve">5</w:t>
                        </w:r>
                      </w:p>
                    </w:txbxContent>
                  </v:textbox>
                </v:rect>
                <v:rect id="Rectangle 15966" style="position:absolute;width:727;height:1459;left:816;top:11391;" filled="f" stroked="f">
                  <v:textbox inset="0,0,0,0">
                    <w:txbxContent>
                      <w:p>
                        <w:pPr>
                          <w:spacing w:before="0" w:after="160" w:line="259" w:lineRule="auto"/>
                          <w:ind w:left="0" w:firstLine="0"/>
                          <w:jc w:val="left"/>
                        </w:pPr>
                        <w:r>
                          <w:rPr>
                            <w:rFonts w:cs="Calibri" w:hAnsi="Calibri" w:eastAsia="Calibri" w:ascii="Calibri"/>
                            <w:sz w:val="17"/>
                          </w:rPr>
                          <w:t xml:space="preserve">6</w:t>
                        </w:r>
                      </w:p>
                    </w:txbxContent>
                  </v:textbox>
                </v:rect>
                <v:rect id="Rectangle 15967" style="position:absolute;width:727;height:1459;left:816;top:8993;" filled="f" stroked="f">
                  <v:textbox inset="0,0,0,0">
                    <w:txbxContent>
                      <w:p>
                        <w:pPr>
                          <w:spacing w:before="0" w:after="160" w:line="259" w:lineRule="auto"/>
                          <w:ind w:left="0" w:firstLine="0"/>
                          <w:jc w:val="left"/>
                        </w:pPr>
                        <w:r>
                          <w:rPr>
                            <w:rFonts w:cs="Calibri" w:hAnsi="Calibri" w:eastAsia="Calibri" w:ascii="Calibri"/>
                            <w:sz w:val="17"/>
                          </w:rPr>
                          <w:t xml:space="preserve">7</w:t>
                        </w:r>
                      </w:p>
                    </w:txbxContent>
                  </v:textbox>
                </v:rect>
                <v:rect id="Rectangle 15968" style="position:absolute;width:727;height:1459;left:816;top:6594;" filled="f" stroked="f">
                  <v:textbox inset="0,0,0,0">
                    <w:txbxContent>
                      <w:p>
                        <w:pPr>
                          <w:spacing w:before="0" w:after="160" w:line="259" w:lineRule="auto"/>
                          <w:ind w:left="0" w:firstLine="0"/>
                          <w:jc w:val="left"/>
                        </w:pPr>
                        <w:r>
                          <w:rPr>
                            <w:rFonts w:cs="Calibri" w:hAnsi="Calibri" w:eastAsia="Calibri" w:ascii="Calibri"/>
                            <w:sz w:val="17"/>
                          </w:rPr>
                          <w:t xml:space="preserve">8</w:t>
                        </w:r>
                      </w:p>
                    </w:txbxContent>
                  </v:textbox>
                </v:rect>
                <v:rect id="Rectangle 15970" style="position:absolute;width:6400;height:1459;left:4364;top:27415;" filled="f" stroked="f">
                  <v:textbox inset="0,0,0,0">
                    <w:txbxContent>
                      <w:p>
                        <w:pPr>
                          <w:spacing w:before="0" w:after="160" w:line="259" w:lineRule="auto"/>
                          <w:ind w:left="0" w:firstLine="0"/>
                          <w:jc w:val="left"/>
                        </w:pPr>
                        <w:r>
                          <w:rPr>
                            <w:rFonts w:cs="Calibri" w:hAnsi="Calibri" w:eastAsia="Calibri" w:ascii="Calibri"/>
                            <w:sz w:val="17"/>
                          </w:rPr>
                          <w:t xml:space="preserve">Антивирус</w:t>
                        </w:r>
                      </w:p>
                    </w:txbxContent>
                  </v:textbox>
                </v:rect>
                <v:rect id="Rectangle 91909" style="position:absolute;width:94;height:229;left:7101;top:28652;" filled="f" stroked="f">
                  <v:textbox inset="0,0,0,0">
                    <w:txbxContent>
                      <w:p>
                        <w:pPr>
                          <w:spacing w:before="0" w:after="160" w:line="259" w:lineRule="auto"/>
                          <w:ind w:left="0" w:firstLine="0"/>
                          <w:jc w:val="left"/>
                        </w:pPr>
                        <w:r>
                          <w:rPr>
                            <w:rFonts w:cs="Calibri" w:hAnsi="Calibri" w:eastAsia="Calibri" w:ascii="Calibri"/>
                            <w:b w:val="1"/>
                            <w:sz w:val="3"/>
                          </w:rPr>
                          <w:t xml:space="preserve">с</w:t>
                        </w:r>
                      </w:p>
                    </w:txbxContent>
                  </v:textbox>
                </v:rect>
                <v:rect id="Rectangle 91907" style="position:absolute;width:113;height:229;left:5999;top:28652;" filled="f" stroked="f">
                  <v:textbox inset="0,0,0,0">
                    <w:txbxContent>
                      <w:p>
                        <w:pPr>
                          <w:spacing w:before="0" w:after="160" w:line="259" w:lineRule="auto"/>
                          <w:ind w:left="0" w:firstLine="0"/>
                          <w:jc w:val="left"/>
                        </w:pPr>
                        <w:r>
                          <w:rPr>
                            <w:rFonts w:cs="Calibri" w:hAnsi="Calibri" w:eastAsia="Calibri" w:ascii="Calibri"/>
                            <w:b w:val="1"/>
                            <w:sz w:val="3"/>
                          </w:rPr>
                          <w:t xml:space="preserve">е</w:t>
                        </w:r>
                      </w:p>
                    </w:txbxContent>
                  </v:textbox>
                </v:rect>
                <v:rect id="Rectangle 91906" style="position:absolute;width:120;height:229;left:5441;top:28652;" filled="f" stroked="f">
                  <v:textbox inset="0,0,0,0">
                    <w:txbxContent>
                      <w:p>
                        <w:pPr>
                          <w:spacing w:before="0" w:after="160" w:line="259" w:lineRule="auto"/>
                          <w:ind w:left="0" w:firstLine="0"/>
                          <w:jc w:val="left"/>
                        </w:pPr>
                        <w:r>
                          <w:rPr>
                            <w:rFonts w:cs="Calibri" w:hAnsi="Calibri" w:eastAsia="Calibri" w:ascii="Calibri"/>
                            <w:b w:val="1"/>
                            <w:sz w:val="3"/>
                          </w:rPr>
                          <w:t xml:space="preserve">п</w:t>
                        </w:r>
                      </w:p>
                    </w:txbxContent>
                  </v:textbox>
                </v:rect>
                <v:rect id="Rectangle 91908" style="position:absolute;width:121;height:229;left:6530;top:28652;" filled="f" stroked="f">
                  <v:textbox inset="0,0,0,0">
                    <w:txbxContent>
                      <w:p>
                        <w:pPr>
                          <w:spacing w:before="0" w:after="160" w:line="259" w:lineRule="auto"/>
                          <w:ind w:left="0" w:firstLine="0"/>
                          <w:jc w:val="left"/>
                        </w:pPr>
                        <w:r>
                          <w:rPr>
                            <w:rFonts w:cs="Calibri" w:hAnsi="Calibri" w:eastAsia="Calibri" w:ascii="Calibri"/>
                            <w:b w:val="1"/>
                            <w:sz w:val="3"/>
                          </w:rPr>
                          <w:t xml:space="preserve">р</w:t>
                        </w:r>
                      </w:p>
                    </w:txbxContent>
                  </v:textbox>
                </v:rect>
                <v:rect id="Rectangle 91903" style="position:absolute;width:111;height:229;left:3963;top:28652;" filled="f" stroked="f">
                  <v:textbox inset="0,0,0,0">
                    <w:txbxContent>
                      <w:p>
                        <w:pPr>
                          <w:spacing w:before="0" w:after="160" w:line="259" w:lineRule="auto"/>
                          <w:ind w:left="0" w:firstLine="0"/>
                          <w:jc w:val="left"/>
                        </w:pPr>
                        <w:r>
                          <w:rPr>
                            <w:rFonts w:cs="Calibri" w:hAnsi="Calibri" w:eastAsia="Calibri" w:ascii="Calibri"/>
                            <w:b w:val="1"/>
                            <w:sz w:val="3"/>
                          </w:rPr>
                          <w:t xml:space="preserve">к</w:t>
                        </w:r>
                      </w:p>
                    </w:txbxContent>
                  </v:textbox>
                </v:rect>
                <v:rect id="Rectangle 91905" style="position:absolute;width:94;height:229;left:4987;top:28652;" filled="f" stroked="f">
                  <v:textbox inset="0,0,0,0">
                    <w:txbxContent>
                      <w:p>
                        <w:pPr>
                          <w:spacing w:before="0" w:after="160" w:line="259" w:lineRule="auto"/>
                          <w:ind w:left="0" w:firstLine="0"/>
                          <w:jc w:val="left"/>
                        </w:pPr>
                        <w:r>
                          <w:rPr>
                            <w:rFonts w:cs="Calibri" w:hAnsi="Calibri" w:eastAsia="Calibri" w:ascii="Calibri"/>
                            <w:b w:val="1"/>
                            <w:sz w:val="3"/>
                          </w:rPr>
                          <w:t xml:space="preserve">с</w:t>
                        </w:r>
                      </w:p>
                    </w:txbxContent>
                  </v:textbox>
                </v:rect>
                <v:rect id="Rectangle 91904" style="position:absolute;width:111;height:229;left:4469;top:28652;" filled="f" stroked="f">
                  <v:textbox inset="0,0,0,0">
                    <w:txbxContent>
                      <w:p>
                        <w:pPr>
                          <w:spacing w:before="0" w:after="160" w:line="259" w:lineRule="auto"/>
                          <w:ind w:left="0" w:firstLine="0"/>
                          <w:jc w:val="left"/>
                        </w:pPr>
                        <w:r>
                          <w:rPr>
                            <w:rFonts w:cs="Calibri" w:hAnsi="Calibri" w:eastAsia="Calibri" w:ascii="Calibri"/>
                            <w:b w:val="1"/>
                            <w:sz w:val="3"/>
                          </w:rPr>
                          <w:t xml:space="preserve">а</w:t>
                        </w:r>
                      </w:p>
                    </w:txbxContent>
                  </v:textbox>
                </v:rect>
                <v:rect id="Rectangle 91913" style="position:absolute;width:121;height:229;left:9007;top:28652;"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91910" style="position:absolute;width:111;height:229;left:7555;top:28652;" filled="f" stroked="f">
                  <v:textbox inset="0,0,0,0">
                    <w:txbxContent>
                      <w:p>
                        <w:pPr>
                          <w:spacing w:before="0" w:after="160" w:line="259" w:lineRule="auto"/>
                          <w:ind w:left="0" w:firstLine="0"/>
                          <w:jc w:val="left"/>
                        </w:pPr>
                        <w:r>
                          <w:rPr>
                            <w:rFonts w:cs="Calibri" w:hAnsi="Calibri" w:eastAsia="Calibri" w:ascii="Calibri"/>
                            <w:b w:val="1"/>
                            <w:sz w:val="3"/>
                          </w:rPr>
                          <w:t xml:space="preserve">к</w:t>
                        </w:r>
                      </w:p>
                    </w:txbxContent>
                  </v:textbox>
                </v:rect>
                <v:rect id="Rectangle 91911" style="position:absolute;width:121;height:229;left:8061;top:28652;"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91912" style="position:absolute;width:80;height:229;left:8631;top:28652;"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91891" style="position:absolute;width:80;height:250;left:16779;top:27212;" filled="f" stroked="f">
                  <v:textbox inset="0,0,0,0">
                    <w:txbxContent>
                      <w:p>
                        <w:pPr>
                          <w:spacing w:before="0" w:after="160" w:line="259" w:lineRule="auto"/>
                          <w:ind w:left="0" w:firstLine="0"/>
                          <w:jc w:val="left"/>
                        </w:pPr>
                        <w:r>
                          <w:rPr>
                            <w:rFonts w:cs="Calibri" w:hAnsi="Calibri" w:eastAsia="Calibri" w:ascii="Calibri"/>
                            <w:b w:val="1"/>
                            <w:sz w:val="3"/>
                          </w:rPr>
                          <w:t xml:space="preserve">t</w:t>
                        </w:r>
                      </w:p>
                    </w:txbxContent>
                  </v:textbox>
                </v:rect>
                <v:rect id="Rectangle 91888" style="position:absolute;width:110;height:250;left:15371;top:27212;" filled="f" stroked="f">
                  <v:textbox inset="0,0,0,0">
                    <w:txbxContent>
                      <w:p>
                        <w:pPr>
                          <w:spacing w:before="0" w:after="160" w:line="259" w:lineRule="auto"/>
                          <w:ind w:left="0" w:firstLine="0"/>
                          <w:jc w:val="left"/>
                        </w:pPr>
                        <w:r>
                          <w:rPr>
                            <w:rFonts w:cs="Calibri" w:hAnsi="Calibri" w:eastAsia="Calibri" w:ascii="Calibri"/>
                            <w:b w:val="1"/>
                            <w:sz w:val="3"/>
                          </w:rPr>
                          <w:t xml:space="preserve">v</w:t>
                        </w:r>
                      </w:p>
                    </w:txbxContent>
                  </v:textbox>
                </v:rect>
                <v:rect id="Rectangle 91887" style="position:absolute;width:141;height:250;left:14750;top:27212;" filled="f" stroked="f">
                  <v:textbox inset="0,0,0,0">
                    <w:txbxContent>
                      <w:p>
                        <w:pPr>
                          <w:spacing w:before="0" w:after="160" w:line="259" w:lineRule="auto"/>
                          <w:ind w:left="0" w:firstLine="0"/>
                          <w:jc w:val="left"/>
                        </w:pPr>
                        <w:r>
                          <w:rPr>
                            <w:rFonts w:cs="Calibri" w:hAnsi="Calibri" w:eastAsia="Calibri" w:ascii="Calibri"/>
                            <w:b w:val="1"/>
                            <w:sz w:val="3"/>
                          </w:rPr>
                          <w:t xml:space="preserve">A</w:t>
                        </w:r>
                      </w:p>
                    </w:txbxContent>
                  </v:textbox>
                </v:rect>
                <v:rect id="Rectangle 91889" style="position:absolute;width:115;height:250;left:15852;top:27212;" filled="f" stroked="f">
                  <v:textbox inset="0,0,0,0">
                    <w:txbxContent>
                      <w:p>
                        <w:pPr>
                          <w:spacing w:before="0" w:after="160" w:line="259" w:lineRule="auto"/>
                          <w:ind w:left="0" w:firstLine="0"/>
                          <w:jc w:val="left"/>
                        </w:pPr>
                        <w:r>
                          <w:rPr>
                            <w:rFonts w:cs="Calibri" w:hAnsi="Calibri" w:eastAsia="Calibri" w:ascii="Calibri"/>
                            <w:b w:val="1"/>
                            <w:sz w:val="3"/>
                          </w:rPr>
                          <w:t xml:space="preserve">a</w:t>
                        </w:r>
                      </w:p>
                    </w:txbxContent>
                  </v:textbox>
                </v:rect>
                <v:rect id="Rectangle 91890" style="position:absolute;width:92;height:250;left:16378;top:27212;" filled="f" stroked="f">
                  <v:textbox inset="0,0,0,0">
                    <w:txbxContent>
                      <w:p>
                        <w:pPr>
                          <w:spacing w:before="0" w:after="160" w:line="259" w:lineRule="auto"/>
                          <w:ind w:left="0" w:firstLine="0"/>
                          <w:jc w:val="left"/>
                        </w:pPr>
                        <w:r>
                          <w:rPr>
                            <w:rFonts w:cs="Calibri" w:hAnsi="Calibri" w:eastAsia="Calibri" w:ascii="Calibri"/>
                            <w:b w:val="1"/>
                            <w:sz w:val="3"/>
                          </w:rPr>
                          <w:t xml:space="preserve">s</w:t>
                        </w:r>
                      </w:p>
                    </w:txbxContent>
                  </v:textbox>
                </v:rect>
                <v:rect id="Rectangle 91897" style="position:absolute;width:123;height:250;left:26248;top:27212;" filled="f" stroked="f">
                  <v:textbox inset="0,0,0,0">
                    <w:txbxContent>
                      <w:p>
                        <w:pPr>
                          <w:spacing w:before="0" w:after="160" w:line="259" w:lineRule="auto"/>
                          <w:ind w:left="0" w:firstLine="0"/>
                          <w:jc w:val="left"/>
                        </w:pPr>
                        <w:r>
                          <w:rPr>
                            <w:rFonts w:cs="Calibri" w:hAnsi="Calibri" w:eastAsia="Calibri" w:ascii="Calibri"/>
                            <w:b w:val="1"/>
                            <w:sz w:val="3"/>
                          </w:rPr>
                          <w:t xml:space="preserve">b</w:t>
                        </w:r>
                      </w:p>
                    </w:txbxContent>
                  </v:textbox>
                </v:rect>
                <v:rect id="Rectangle 91893" style="position:absolute;width:81;height:250;left:24096;top:27212;" filled="f" stroked="f">
                  <v:textbox inset="0,0,0,0">
                    <w:txbxContent>
                      <w:p>
                        <w:pPr>
                          <w:spacing w:before="0" w:after="160" w:line="259" w:lineRule="auto"/>
                          <w:ind w:left="0" w:firstLine="0"/>
                          <w:jc w:val="left"/>
                        </w:pPr>
                        <w:r>
                          <w:rPr>
                            <w:rFonts w:cs="Calibri" w:hAnsi="Calibri" w:eastAsia="Calibri" w:ascii="Calibri"/>
                            <w:b w:val="1"/>
                            <w:sz w:val="3"/>
                          </w:rPr>
                          <w:t xml:space="preserve">r</w:t>
                        </w:r>
                      </w:p>
                    </w:txbxContent>
                  </v:textbox>
                </v:rect>
                <v:rect id="Rectangle 91892" style="position:absolute;width:144;height:250;left:23441;top:27212;" filled="f" stroked="f">
                  <v:textbox inset="0,0,0,0">
                    <w:txbxContent>
                      <w:p>
                        <w:pPr>
                          <w:spacing w:before="0" w:after="160" w:line="259" w:lineRule="auto"/>
                          <w:ind w:left="0" w:firstLine="0"/>
                          <w:jc w:val="left"/>
                        </w:pPr>
                        <w:r>
                          <w:rPr>
                            <w:rFonts w:cs="Calibri" w:hAnsi="Calibri" w:eastAsia="Calibri" w:ascii="Calibri"/>
                            <w:b w:val="1"/>
                            <w:sz w:val="3"/>
                          </w:rPr>
                          <w:t xml:space="preserve">D</w:t>
                        </w:r>
                      </w:p>
                    </w:txbxContent>
                  </v:textbox>
                </v:rect>
                <v:rect id="Rectangle 91894" style="position:absolute;width:61;height:250;left:24472;top:27212;" filled="f" stroked="f">
                  <v:textbox inset="0,0,0,0">
                    <w:txbxContent>
                      <w:p>
                        <w:pPr>
                          <w:spacing w:before="0" w:after="160" w:line="259" w:lineRule="auto"/>
                          <w:ind w:left="0" w:firstLine="0"/>
                          <w:jc w:val="left"/>
                        </w:pPr>
                        <w:r>
                          <w:rPr>
                            <w:rFonts w:cs="Calibri" w:hAnsi="Calibri" w:eastAsia="Calibri" w:ascii="Calibri"/>
                            <w:b w:val="1"/>
                            <w:sz w:val="3"/>
                          </w:rPr>
                          <w:t xml:space="preserve">.</w:t>
                        </w:r>
                      </w:p>
                    </w:txbxContent>
                  </v:textbox>
                </v:rect>
                <v:rect id="Rectangle 91895" style="position:absolute;width:207;height:250;left:24746;top:27212;" filled="f" stroked="f">
                  <v:textbox inset="0,0,0,0">
                    <w:txbxContent>
                      <w:p>
                        <w:pPr>
                          <w:spacing w:before="0" w:after="160" w:line="259" w:lineRule="auto"/>
                          <w:ind w:left="0" w:firstLine="0"/>
                          <w:jc w:val="left"/>
                        </w:pPr>
                        <w:r>
                          <w:rPr>
                            <w:rFonts w:cs="Calibri" w:hAnsi="Calibri" w:eastAsia="Calibri" w:ascii="Calibri"/>
                            <w:b w:val="1"/>
                            <w:sz w:val="3"/>
                          </w:rPr>
                          <w:t xml:space="preserve">W</w:t>
                        </w:r>
                      </w:p>
                    </w:txbxContent>
                  </v:textbox>
                </v:rect>
                <v:rect id="Rectangle 91896" style="position:absolute;width:115;height:250;left:25716;top:27212;" filled="f" stroked="f">
                  <v:textbox inset="0,0,0,0">
                    <w:txbxContent>
                      <w:p>
                        <w:pPr>
                          <w:spacing w:before="0" w:after="160" w:line="259" w:lineRule="auto"/>
                          <w:ind w:left="0" w:firstLine="0"/>
                          <w:jc w:val="left"/>
                        </w:pPr>
                        <w:r>
                          <w:rPr>
                            <w:rFonts w:cs="Calibri" w:hAnsi="Calibri" w:eastAsia="Calibri" w:ascii="Calibri"/>
                            <w:b w:val="1"/>
                            <w:sz w:val="3"/>
                          </w:rPr>
                          <w:t xml:space="preserve">e</w:t>
                        </w:r>
                      </w:p>
                    </w:txbxContent>
                  </v:textbox>
                </v:rect>
                <v:rect id="Rectangle 91899" style="position:absolute;width:155;height:250;left:33430;top:27212;" filled="f" stroked="f">
                  <v:textbox inset="0,0,0,0">
                    <w:txbxContent>
                      <w:p>
                        <w:pPr>
                          <w:spacing w:before="0" w:after="160" w:line="259" w:lineRule="auto"/>
                          <w:ind w:left="0" w:firstLine="0"/>
                          <w:jc w:val="left"/>
                        </w:pPr>
                        <w:r>
                          <w:rPr>
                            <w:rFonts w:cs="Calibri" w:hAnsi="Calibri" w:eastAsia="Calibri" w:ascii="Calibri"/>
                            <w:b w:val="1"/>
                            <w:sz w:val="3"/>
                          </w:rPr>
                          <w:t xml:space="preserve">O</w:t>
                        </w:r>
                      </w:p>
                    </w:txbxContent>
                  </v:textbox>
                </v:rect>
                <v:rect id="Rectangle 91900" style="position:absolute;width:145;height:250;left:34140;top:27212;" filled="f" stroked="f">
                  <v:textbox inset="0,0,0,0">
                    <w:txbxContent>
                      <w:p>
                        <w:pPr>
                          <w:spacing w:before="0" w:after="160" w:line="259" w:lineRule="auto"/>
                          <w:ind w:left="0" w:firstLine="0"/>
                          <w:jc w:val="left"/>
                        </w:pPr>
                        <w:r>
                          <w:rPr>
                            <w:rFonts w:cs="Calibri" w:hAnsi="Calibri" w:eastAsia="Calibri" w:ascii="Calibri"/>
                            <w:b w:val="1"/>
                            <w:sz w:val="3"/>
                          </w:rPr>
                          <w:t xml:space="preserve">D</w:t>
                        </w:r>
                      </w:p>
                    </w:txbxContent>
                  </v:textbox>
                </v:rect>
                <v:rect id="Rectangle 91901" style="position:absolute;width:116;height:250;left:34799;top:27212;" filled="f" stroked="f">
                  <v:textbox inset="0,0,0,0">
                    <w:txbxContent>
                      <w:p>
                        <w:pPr>
                          <w:spacing w:before="0" w:after="160" w:line="259" w:lineRule="auto"/>
                          <w:ind w:left="0" w:firstLine="0"/>
                          <w:jc w:val="left"/>
                        </w:pPr>
                        <w:r>
                          <w:rPr>
                            <w:rFonts w:cs="Calibri" w:hAnsi="Calibri" w:eastAsia="Calibri" w:ascii="Calibri"/>
                            <w:b w:val="1"/>
                            <w:sz w:val="3"/>
                          </w:rPr>
                          <w:t xml:space="preserve">3</w:t>
                        </w:r>
                      </w:p>
                    </w:txbxContent>
                  </v:textbox>
                </v:rect>
                <v:rect id="Rectangle 91902" style="position:absolute;width:116;height:250;left:35347;top:27212;" filled="f" stroked="f">
                  <v:textbox inset="0,0,0,0">
                    <w:txbxContent>
                      <w:p>
                        <w:pPr>
                          <w:spacing w:before="0" w:after="160" w:line="259" w:lineRule="auto"/>
                          <w:ind w:left="0" w:firstLine="0"/>
                          <w:jc w:val="left"/>
                        </w:pPr>
                        <w:r>
                          <w:rPr>
                            <w:rFonts w:cs="Calibri" w:hAnsi="Calibri" w:eastAsia="Calibri" w:ascii="Calibri"/>
                            <w:b w:val="1"/>
                            <w:sz w:val="3"/>
                          </w:rPr>
                          <w:t xml:space="preserve">2</w:t>
                        </w:r>
                      </w:p>
                    </w:txbxContent>
                  </v:textbox>
                </v:rect>
                <v:rect id="Rectangle 91898" style="position:absolute;width:151;height:250;left:32726;top:27212;" filled="f" stroked="f">
                  <v:textbox inset="0,0,0,0">
                    <w:txbxContent>
                      <w:p>
                        <w:pPr>
                          <w:spacing w:before="0" w:after="160" w:line="259" w:lineRule="auto"/>
                          <w:ind w:left="0" w:firstLine="0"/>
                          <w:jc w:val="left"/>
                        </w:pPr>
                        <w:r>
                          <w:rPr>
                            <w:rFonts w:cs="Calibri" w:hAnsi="Calibri" w:eastAsia="Calibri" w:ascii="Calibri"/>
                            <w:b w:val="1"/>
                            <w:sz w:val="3"/>
                          </w:rPr>
                          <w:t xml:space="preserve">N</w:t>
                        </w:r>
                      </w:p>
                    </w:txbxContent>
                  </v:textbox>
                </v:rect>
                <v:shape id="Shape 704846" style="position:absolute;width:659;height:659;left:40496;top:15868;" coordsize="65969,65998" path="m0,0l65969,0l65969,65998l0,65998l0,0">
                  <v:stroke weight="0pt" endcap="flat" joinstyle="round" on="false" color="#000000" opacity="0"/>
                  <v:fill on="true" color="#4f81bd"/>
                </v:shape>
                <v:rect id="Rectangle 15977" style="position:absolute;width:6818;height:1459;left:41427;top:15733;" filled="f" stroked="f">
                  <v:textbox inset="0,0,0,0">
                    <w:txbxContent>
                      <w:p>
                        <w:pPr>
                          <w:spacing w:before="0" w:after="160" w:line="259" w:lineRule="auto"/>
                          <w:ind w:left="0" w:firstLine="0"/>
                          <w:jc w:val="left"/>
                        </w:pPr>
                        <w:r>
                          <w:rPr>
                            <w:rFonts w:cs="Calibri" w:hAnsi="Calibri" w:eastAsia="Calibri" w:ascii="Calibri"/>
                            <w:sz w:val="17"/>
                          </w:rPr>
                          <w:t xml:space="preserve">Неопасные</w:t>
                        </w:r>
                      </w:p>
                    </w:txbxContent>
                  </v:textbox>
                </v:rect>
                <v:shape id="Shape 704847" style="position:absolute;width:659;height:662;left:40496;top:17773;" coordsize="65969,66258" path="m0,0l65969,0l65969,66258l0,66258l0,0">
                  <v:stroke weight="0pt" endcap="flat" joinstyle="round" on="false" color="#000000" opacity="0"/>
                  <v:fill on="true" color="#c0504d"/>
                </v:shape>
                <v:rect id="Rectangle 15980" style="position:absolute;width:5402;height:1459;left:41427;top:17640;" filled="f" stroked="f">
                  <v:textbox inset="0,0,0,0">
                    <w:txbxContent>
                      <w:p>
                        <w:pPr>
                          <w:spacing w:before="0" w:after="160" w:line="259" w:lineRule="auto"/>
                          <w:ind w:left="0" w:firstLine="0"/>
                          <w:jc w:val="left"/>
                        </w:pPr>
                        <w:r>
                          <w:rPr>
                            <w:rFonts w:cs="Calibri" w:hAnsi="Calibri" w:eastAsia="Calibri" w:ascii="Calibri"/>
                            <w:sz w:val="17"/>
                          </w:rPr>
                          <w:t xml:space="preserve">Опасные</w:t>
                        </w:r>
                      </w:p>
                    </w:txbxContent>
                  </v:textbox>
                </v:rect>
                <v:shape id="Shape 704848" style="position:absolute;width:659;height:659;left:40496;top:19693;" coordsize="65969,65998" path="m0,0l65969,0l65969,65998l0,65998l0,0">
                  <v:stroke weight="0pt" endcap="flat" joinstyle="round" on="false" color="#000000" opacity="0"/>
                  <v:fill on="true" color="#9bbb59"/>
                </v:shape>
                <v:rect id="Rectangle 15983" style="position:absolute;width:9302;height:1459;left:41427;top:19558;" filled="f" stroked="f">
                  <v:textbox inset="0,0,0,0">
                    <w:txbxContent>
                      <w:p>
                        <w:pPr>
                          <w:spacing w:before="0" w:after="160" w:line="259" w:lineRule="auto"/>
                          <w:ind w:left="0" w:firstLine="0"/>
                          <w:jc w:val="left"/>
                        </w:pPr>
                        <w:r>
                          <w:rPr>
                            <w:rFonts w:cs="Calibri" w:hAnsi="Calibri" w:eastAsia="Calibri" w:ascii="Calibri"/>
                            <w:sz w:val="17"/>
                          </w:rPr>
                          <w:t xml:space="preserve">Очень опасные</w:t>
                        </w:r>
                      </w:p>
                    </w:txbxContent>
                  </v:textbox>
                </v:rect>
                <v:shape id="Shape 15985" style="position:absolute;width:49367;height:30309;left:13;top:13;" coordsize="4936746,3030948" path="m0,3030948l4936746,3030948l4936746,0l0,0x">
                  <v:stroke weight="0.118508pt" endcap="flat" joinstyle="round" on="true" color="#000000"/>
                  <v:fill on="false" color="#000000" opacity="0"/>
                </v:shape>
              </v:group>
            </w:pict>
          </mc:Fallback>
        </mc:AlternateContent>
      </w:r>
    </w:p>
    <w:p w:rsidR="002C0F56" w:rsidRDefault="00E67C6E">
      <w:pPr>
        <w:spacing w:after="5" w:line="271" w:lineRule="auto"/>
        <w:ind w:left="1642" w:right="396" w:hanging="10"/>
        <w:jc w:val="left"/>
      </w:pPr>
      <w:r>
        <w:rPr>
          <w:b/>
          <w:sz w:val="24"/>
        </w:rPr>
        <w:t xml:space="preserve">Рис. 1. График обнаружения вирусных и антивирусных программ </w:t>
      </w:r>
    </w:p>
    <w:p w:rsidR="002C0F56" w:rsidRDefault="00E67C6E">
      <w:pPr>
        <w:spacing w:after="25" w:line="259" w:lineRule="auto"/>
        <w:ind w:left="744" w:firstLine="0"/>
        <w:jc w:val="left"/>
      </w:pPr>
      <w:r>
        <w:t xml:space="preserve"> </w:t>
      </w:r>
    </w:p>
    <w:p w:rsidR="002C0F56" w:rsidRDefault="00E67C6E">
      <w:pPr>
        <w:ind w:left="165" w:right="864"/>
      </w:pPr>
      <w:r>
        <w:t xml:space="preserve">Так же был рассмотрен способ борьбы с «Рекламным вирусом» - </w:t>
      </w:r>
      <w:r>
        <w:t xml:space="preserve">вирусом, который открывает во всех вкладках браузера рекламу, в том числе и на официальных сайтах. Были рассмотрены разные варианты удаления этого вируса. </w:t>
      </w:r>
    </w:p>
    <w:p w:rsidR="002C0F56" w:rsidRDefault="00E67C6E">
      <w:pPr>
        <w:spacing w:after="0"/>
        <w:ind w:left="165" w:right="872"/>
      </w:pPr>
      <w:r>
        <w:t>В первом варианте проверялись расширения браузера, в котором появляется реклама, для этого в меню на</w:t>
      </w:r>
      <w:r>
        <w:t>стройки расширений браузера, были отключены все расширения браузера, после чего он был перезапущен. После перезапуска, браузер был проверен на рекламу, если реклама на сайтах исчезала, то поочерёдно включали расширения и проверяли, какое из них является вр</w:t>
      </w:r>
      <w:r>
        <w:t xml:space="preserve">едоносным. </w:t>
      </w:r>
    </w:p>
    <w:p w:rsidR="002C0F56" w:rsidRDefault="00E67C6E">
      <w:pPr>
        <w:spacing w:after="14"/>
        <w:ind w:left="165" w:right="868"/>
      </w:pPr>
      <w:r>
        <w:t>Вторым вариантом решения этой задачи (если первый не дал никаких результатов), было очищение временных файлов и прочего «мусора» с компьютера с помощью программы CCleaner, для этого была включена программа без изменений параметров, и запускался</w:t>
      </w:r>
      <w:r>
        <w:t xml:space="preserve"> анализ компьютера, после </w:t>
      </w:r>
      <w:r>
        <w:lastRenderedPageBreak/>
        <w:t xml:space="preserve">анализа - очистка, которая уничтожала весь мусор. Если после этого реклама так же осталась на сайтах, то рассматривался третий вариант. </w:t>
      </w:r>
    </w:p>
    <w:p w:rsidR="002C0F56" w:rsidRDefault="00E67C6E">
      <w:pPr>
        <w:spacing w:after="10"/>
        <w:ind w:left="165" w:right="868"/>
      </w:pPr>
      <w:r>
        <w:t>Третьим вариантом удаления этого вируса была проверка установленных недавно программ, через п</w:t>
      </w:r>
      <w:r>
        <w:t xml:space="preserve">анель управления, так как вирус мог попасть с установкой какой-то неизвестной программы. Если в списке была недавно установленная незнакомая программа, то она удалялась, и после удаления всех таких программ браузер проверялся на рекламу.  </w:t>
      </w:r>
    </w:p>
    <w:p w:rsidR="002C0F56" w:rsidRDefault="00E67C6E">
      <w:pPr>
        <w:ind w:left="165" w:right="302"/>
      </w:pPr>
      <w:r>
        <w:t>После любого усп</w:t>
      </w:r>
      <w:r>
        <w:t xml:space="preserve">ешного варианта удаления этого вируса компьютер проверялся на вирусы.  </w:t>
      </w:r>
    </w:p>
    <w:p w:rsidR="002C0F56" w:rsidRDefault="00E67C6E">
      <w:pPr>
        <w:ind w:left="165" w:right="302"/>
      </w:pPr>
      <w:r>
        <w:t xml:space="preserve">В случае с представленным выше «Рекламным вирусом» помог наиболее распространённый способ его удаление, это способ номер три. </w:t>
      </w:r>
    </w:p>
    <w:p w:rsidR="002C0F56" w:rsidRDefault="00E67C6E">
      <w:pPr>
        <w:spacing w:after="10"/>
        <w:ind w:left="165" w:right="874"/>
      </w:pPr>
      <w:r>
        <w:t xml:space="preserve">В ходе проведенного исследования было выявлено, что 2 из 4 антивирусных программы показали хорошие результаты в поиске вирусных программ, но ни одна из них не дала полноценной защиты (в 100%).  </w:t>
      </w:r>
    </w:p>
    <w:p w:rsidR="002C0F56" w:rsidRDefault="00E67C6E">
      <w:pPr>
        <w:spacing w:after="2"/>
        <w:ind w:left="165" w:right="872"/>
      </w:pPr>
      <w:r>
        <w:t>Антивирус является хорошим средством защиты компьютера, но не</w:t>
      </w:r>
      <w:r>
        <w:t xml:space="preserve">которые пользователи умудряются заразить компьютер даже с ним, поэтому нужно помнить прописную истину пользователя: «Если не знаешь, что это, откуда и для чего, лучше не открывай!».  </w:t>
      </w:r>
    </w:p>
    <w:p w:rsidR="002C0F56" w:rsidRDefault="00E67C6E">
      <w:pPr>
        <w:spacing w:after="22" w:line="259" w:lineRule="auto"/>
        <w:ind w:left="744" w:firstLine="0"/>
        <w:jc w:val="left"/>
      </w:pPr>
      <w:r>
        <w:rPr>
          <w:b/>
        </w:rP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42"/>
        </w:numPr>
        <w:spacing w:after="12"/>
        <w:ind w:right="302" w:hanging="336"/>
      </w:pPr>
      <w:r>
        <w:t>http://www.kolomna-school7-ict.narod.ru/st30401.ht</w:t>
      </w:r>
      <w:r>
        <w:t xml:space="preserve">m </w:t>
      </w:r>
    </w:p>
    <w:p w:rsidR="002C0F56" w:rsidRDefault="00E67C6E">
      <w:pPr>
        <w:numPr>
          <w:ilvl w:val="0"/>
          <w:numId w:val="42"/>
        </w:numPr>
        <w:spacing w:after="12"/>
        <w:ind w:right="302" w:hanging="336"/>
      </w:pPr>
      <w:r>
        <w:t xml:space="preserve">http://window.edu.ru/resource/809/26809/files/omsu218.pdf </w:t>
      </w:r>
    </w:p>
    <w:p w:rsidR="002C0F56" w:rsidRDefault="00E67C6E">
      <w:pPr>
        <w:numPr>
          <w:ilvl w:val="0"/>
          <w:numId w:val="42"/>
        </w:numPr>
        <w:spacing w:after="12"/>
        <w:ind w:right="302" w:hanging="336"/>
      </w:pPr>
      <w:r>
        <w:t xml:space="preserve">http://window.edu.ru/catalog/pdf2txt/010/22010/5223?p_page=2 </w:t>
      </w:r>
    </w:p>
    <w:p w:rsidR="002C0F56" w:rsidRDefault="00E67C6E">
      <w:pPr>
        <w:spacing w:after="21" w:line="259" w:lineRule="auto"/>
        <w:ind w:left="744" w:firstLine="0"/>
        <w:jc w:val="left"/>
      </w:pPr>
      <w:r>
        <w:t xml:space="preserve"> </w:t>
      </w:r>
    </w:p>
    <w:p w:rsidR="002C0F56" w:rsidRDefault="00E67C6E">
      <w:pPr>
        <w:pStyle w:val="1"/>
        <w:spacing w:after="25" w:line="259" w:lineRule="auto"/>
        <w:ind w:right="856"/>
        <w:jc w:val="right"/>
      </w:pPr>
      <w:r>
        <w:t xml:space="preserve">Винник С. Н. </w:t>
      </w:r>
      <w:r>
        <w:rPr>
          <w:b w:val="0"/>
        </w:rPr>
        <w:t xml:space="preserve">Научный руководитель Булкин В.И., к.т.н., доц.  </w:t>
      </w:r>
    </w:p>
    <w:p w:rsidR="002C0F56" w:rsidRDefault="00E67C6E">
      <w:pPr>
        <w:spacing w:after="0" w:line="267" w:lineRule="auto"/>
        <w:ind w:left="905" w:right="860" w:hanging="10"/>
        <w:jc w:val="right"/>
      </w:pPr>
      <w:r>
        <w:rPr>
          <w:i/>
        </w:rPr>
        <w:t xml:space="preserve">Макеевский экономико-гуманитарный институт </w:t>
      </w:r>
    </w:p>
    <w:p w:rsidR="002C0F56" w:rsidRDefault="00E67C6E">
      <w:pPr>
        <w:spacing w:after="30" w:line="259" w:lineRule="auto"/>
        <w:ind w:left="744" w:firstLine="0"/>
        <w:jc w:val="left"/>
      </w:pPr>
      <w:r>
        <w:t xml:space="preserve"> </w:t>
      </w:r>
    </w:p>
    <w:p w:rsidR="002C0F56" w:rsidRDefault="00E67C6E">
      <w:pPr>
        <w:pStyle w:val="1"/>
        <w:spacing w:after="15" w:line="271" w:lineRule="auto"/>
        <w:ind w:left="201" w:right="0"/>
        <w:jc w:val="left"/>
      </w:pPr>
      <w:r>
        <w:t xml:space="preserve">ИСПОЛЬЗОВАНИЕ МЕТОДА </w:t>
      </w:r>
      <w:r>
        <w:t xml:space="preserve">КОМПАРАТОРНОЙ ИДЕНТИФИКАЦИИ ЗНАНИЙ ДЛЯ СОЗДАНИЯ КОМПЬЮТЕРНЫХ ОБУЧАЮЩИХ ПРОГРАММ </w:t>
      </w:r>
    </w:p>
    <w:p w:rsidR="002C0F56" w:rsidRDefault="00E67C6E">
      <w:pPr>
        <w:spacing w:after="0"/>
        <w:ind w:left="165" w:right="302"/>
      </w:pPr>
      <w:r>
        <w:t>Одной из важнейших задач искусственного интеллекта является задача создания технических устройств, воспроизводящих функции интеллекта естественного. Другой не менее важной зад</w:t>
      </w:r>
      <w:r>
        <w:t>ачей является совершенствование  человеческого интеллекта на основе достижений, полученных при разработке систем искусственного интеллекта. В данном докладе речь идет об использовании метода компараторной идентификации знаний для разработки алгоритмов прио</w:t>
      </w:r>
      <w:r>
        <w:t xml:space="preserve">бретения и обновления знаний и создания на их основе компьютерных обучающих программ.  </w:t>
      </w:r>
    </w:p>
    <w:p w:rsidR="002C0F56" w:rsidRDefault="00E67C6E">
      <w:pPr>
        <w:spacing w:after="3"/>
        <w:ind w:left="165" w:right="871"/>
      </w:pPr>
      <w:r>
        <w:t xml:space="preserve">Целью исследования в данном докладе является использование метода компараторной идентификации знаний для разработки алгоритмов запоминания </w:t>
      </w:r>
      <w:r>
        <w:lastRenderedPageBreak/>
        <w:t>и обновления знаний, и создан</w:t>
      </w:r>
      <w:r>
        <w:t xml:space="preserve">ие на этой основе компьютерных обучающих систем с адаптивными свойствами [1, 2].  </w:t>
      </w:r>
    </w:p>
    <w:p w:rsidR="002C0F56" w:rsidRDefault="00E67C6E">
      <w:pPr>
        <w:ind w:left="165" w:right="302"/>
      </w:pPr>
      <w:r>
        <w:t xml:space="preserve">Этапы приобретения знаний можно представить в виде следующей обобщенной блок-схемы (рис. 1). </w:t>
      </w:r>
    </w:p>
    <w:p w:rsidR="002C0F56" w:rsidRDefault="00E67C6E">
      <w:pPr>
        <w:spacing w:after="519" w:line="259" w:lineRule="auto"/>
        <w:ind w:left="2461" w:firstLine="0"/>
        <w:jc w:val="left"/>
      </w:pPr>
      <w:r>
        <w:rPr>
          <w:rFonts w:ascii="Calibri" w:eastAsia="Calibri" w:hAnsi="Calibri" w:cs="Calibri"/>
          <w:noProof/>
          <w:sz w:val="22"/>
        </w:rPr>
        <mc:AlternateContent>
          <mc:Choice Requires="wpg">
            <w:drawing>
              <wp:inline distT="0" distB="0" distL="0" distR="0">
                <wp:extent cx="2162810" cy="3787775"/>
                <wp:effectExtent l="0" t="0" r="0" b="0"/>
                <wp:docPr id="565880" name="Group 565880"/>
                <wp:cNvGraphicFramePr/>
                <a:graphic xmlns:a="http://schemas.openxmlformats.org/drawingml/2006/main">
                  <a:graphicData uri="http://schemas.microsoft.com/office/word/2010/wordprocessingGroup">
                    <wpg:wgp>
                      <wpg:cNvGrpSpPr/>
                      <wpg:grpSpPr>
                        <a:xfrm>
                          <a:off x="0" y="0"/>
                          <a:ext cx="2162810" cy="3787775"/>
                          <a:chOff x="0" y="0"/>
                          <a:chExt cx="2162810" cy="3787775"/>
                        </a:xfrm>
                      </wpg:grpSpPr>
                      <wps:wsp>
                        <wps:cNvPr id="16336" name="Shape 16336"/>
                        <wps:cNvSpPr/>
                        <wps:spPr>
                          <a:xfrm>
                            <a:off x="1243330" y="282575"/>
                            <a:ext cx="1905" cy="300990"/>
                          </a:xfrm>
                          <a:custGeom>
                            <a:avLst/>
                            <a:gdLst/>
                            <a:ahLst/>
                            <a:cxnLst/>
                            <a:rect l="0" t="0" r="0" b="0"/>
                            <a:pathLst>
                              <a:path w="1905" h="300990">
                                <a:moveTo>
                                  <a:pt x="0" y="0"/>
                                </a:moveTo>
                                <a:lnTo>
                                  <a:pt x="1905" y="30099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37" name="Shape 16337"/>
                        <wps:cNvSpPr/>
                        <wps:spPr>
                          <a:xfrm>
                            <a:off x="545465" y="0"/>
                            <a:ext cx="1447165" cy="288925"/>
                          </a:xfrm>
                          <a:custGeom>
                            <a:avLst/>
                            <a:gdLst/>
                            <a:ahLst/>
                            <a:cxnLst/>
                            <a:rect l="0" t="0" r="0" b="0"/>
                            <a:pathLst>
                              <a:path w="1447165" h="288925">
                                <a:moveTo>
                                  <a:pt x="48133" y="0"/>
                                </a:moveTo>
                                <a:lnTo>
                                  <a:pt x="1399032" y="0"/>
                                </a:lnTo>
                                <a:cubicBezTo>
                                  <a:pt x="1425575" y="0"/>
                                  <a:pt x="1447165" y="21590"/>
                                  <a:pt x="1447165" y="48133"/>
                                </a:cubicBezTo>
                                <a:lnTo>
                                  <a:pt x="1447165" y="240792"/>
                                </a:lnTo>
                                <a:cubicBezTo>
                                  <a:pt x="1447165" y="267335"/>
                                  <a:pt x="1425575" y="288925"/>
                                  <a:pt x="1399032" y="288925"/>
                                </a:cubicBezTo>
                                <a:lnTo>
                                  <a:pt x="48133" y="288925"/>
                                </a:lnTo>
                                <a:cubicBezTo>
                                  <a:pt x="21590" y="288925"/>
                                  <a:pt x="0" y="267335"/>
                                  <a:pt x="0" y="240792"/>
                                </a:cubicBezTo>
                                <a:lnTo>
                                  <a:pt x="0" y="48133"/>
                                </a:lnTo>
                                <a:cubicBezTo>
                                  <a:pt x="0" y="21590"/>
                                  <a:pt x="21590" y="0"/>
                                  <a:pt x="48133" y="0"/>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16338" name="Shape 16338"/>
                        <wps:cNvSpPr/>
                        <wps:spPr>
                          <a:xfrm>
                            <a:off x="545465" y="0"/>
                            <a:ext cx="1447165" cy="288925"/>
                          </a:xfrm>
                          <a:custGeom>
                            <a:avLst/>
                            <a:gdLst/>
                            <a:ahLst/>
                            <a:cxnLst/>
                            <a:rect l="0" t="0" r="0" b="0"/>
                            <a:pathLst>
                              <a:path w="1447165" h="288925">
                                <a:moveTo>
                                  <a:pt x="48133" y="0"/>
                                </a:moveTo>
                                <a:cubicBezTo>
                                  <a:pt x="21590" y="0"/>
                                  <a:pt x="0" y="21590"/>
                                  <a:pt x="0" y="48133"/>
                                </a:cubicBezTo>
                                <a:lnTo>
                                  <a:pt x="0" y="240792"/>
                                </a:lnTo>
                                <a:cubicBezTo>
                                  <a:pt x="0" y="267335"/>
                                  <a:pt x="21590" y="288925"/>
                                  <a:pt x="48133" y="288925"/>
                                </a:cubicBezTo>
                                <a:lnTo>
                                  <a:pt x="1399032" y="288925"/>
                                </a:lnTo>
                                <a:cubicBezTo>
                                  <a:pt x="1425575" y="288925"/>
                                  <a:pt x="1447165" y="267335"/>
                                  <a:pt x="1447165" y="240792"/>
                                </a:cubicBezTo>
                                <a:lnTo>
                                  <a:pt x="1447165" y="48133"/>
                                </a:lnTo>
                                <a:cubicBezTo>
                                  <a:pt x="1447165" y="21590"/>
                                  <a:pt x="1425575" y="0"/>
                                  <a:pt x="1399032"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6339" name="Rectangle 16339"/>
                        <wps:cNvSpPr/>
                        <wps:spPr>
                          <a:xfrm>
                            <a:off x="1016381" y="99099"/>
                            <a:ext cx="670911" cy="181116"/>
                          </a:xfrm>
                          <a:prstGeom prst="rect">
                            <a:avLst/>
                          </a:prstGeom>
                          <a:ln>
                            <a:noFill/>
                          </a:ln>
                        </wps:spPr>
                        <wps:txbx>
                          <w:txbxContent>
                            <w:p w:rsidR="002C0F56" w:rsidRDefault="00E67C6E">
                              <w:pPr>
                                <w:spacing w:after="160" w:line="259" w:lineRule="auto"/>
                                <w:ind w:left="0" w:firstLine="0"/>
                                <w:jc w:val="left"/>
                              </w:pPr>
                              <w:r>
                                <w:rPr>
                                  <w:b/>
                                  <w:i/>
                                  <w:sz w:val="24"/>
                                </w:rPr>
                                <w:t>Начало</w:t>
                              </w:r>
                            </w:p>
                          </w:txbxContent>
                        </wps:txbx>
                        <wps:bodyPr horzOverflow="overflow" vert="horz" lIns="0" tIns="0" rIns="0" bIns="0" rtlCol="0">
                          <a:noAutofit/>
                        </wps:bodyPr>
                      </wps:wsp>
                      <wps:wsp>
                        <wps:cNvPr id="16340" name="Rectangle 16340"/>
                        <wps:cNvSpPr/>
                        <wps:spPr>
                          <a:xfrm>
                            <a:off x="1522349" y="66522"/>
                            <a:ext cx="50673" cy="224380"/>
                          </a:xfrm>
                          <a:prstGeom prst="rect">
                            <a:avLst/>
                          </a:prstGeom>
                          <a:ln>
                            <a:noFill/>
                          </a:ln>
                        </wps:spPr>
                        <wps:txbx>
                          <w:txbxContent>
                            <w:p w:rsidR="002C0F56" w:rsidRDefault="00E67C6E">
                              <w:pPr>
                                <w:spacing w:after="160" w:line="259" w:lineRule="auto"/>
                                <w:ind w:left="0" w:firstLine="0"/>
                                <w:jc w:val="left"/>
                              </w:pPr>
                              <w:r>
                                <w:rPr>
                                  <w:b/>
                                  <w:i/>
                                  <w:sz w:val="24"/>
                                </w:rPr>
                                <w:t xml:space="preserve"> </w:t>
                              </w:r>
                            </w:p>
                          </w:txbxContent>
                        </wps:txbx>
                        <wps:bodyPr horzOverflow="overflow" vert="horz" lIns="0" tIns="0" rIns="0" bIns="0" rtlCol="0">
                          <a:noAutofit/>
                        </wps:bodyPr>
                      </wps:wsp>
                      <wps:wsp>
                        <wps:cNvPr id="704849" name="Shape 704849"/>
                        <wps:cNvSpPr/>
                        <wps:spPr>
                          <a:xfrm>
                            <a:off x="575945" y="579755"/>
                            <a:ext cx="1345565" cy="288290"/>
                          </a:xfrm>
                          <a:custGeom>
                            <a:avLst/>
                            <a:gdLst/>
                            <a:ahLst/>
                            <a:cxnLst/>
                            <a:rect l="0" t="0" r="0" b="0"/>
                            <a:pathLst>
                              <a:path w="1345565" h="288290">
                                <a:moveTo>
                                  <a:pt x="0" y="0"/>
                                </a:moveTo>
                                <a:lnTo>
                                  <a:pt x="1345565" y="0"/>
                                </a:lnTo>
                                <a:lnTo>
                                  <a:pt x="1345565" y="288290"/>
                                </a:lnTo>
                                <a:lnTo>
                                  <a:pt x="0" y="288290"/>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16342" name="Shape 16342"/>
                        <wps:cNvSpPr/>
                        <wps:spPr>
                          <a:xfrm>
                            <a:off x="575945" y="579755"/>
                            <a:ext cx="1345565" cy="288290"/>
                          </a:xfrm>
                          <a:custGeom>
                            <a:avLst/>
                            <a:gdLst/>
                            <a:ahLst/>
                            <a:cxnLst/>
                            <a:rect l="0" t="0" r="0" b="0"/>
                            <a:pathLst>
                              <a:path w="1345565" h="288290">
                                <a:moveTo>
                                  <a:pt x="0" y="288290"/>
                                </a:moveTo>
                                <a:lnTo>
                                  <a:pt x="1345565" y="288290"/>
                                </a:lnTo>
                                <a:lnTo>
                                  <a:pt x="134556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343" name="Rectangle 16343"/>
                        <wps:cNvSpPr/>
                        <wps:spPr>
                          <a:xfrm>
                            <a:off x="705485" y="666470"/>
                            <a:ext cx="1445802" cy="184580"/>
                          </a:xfrm>
                          <a:prstGeom prst="rect">
                            <a:avLst/>
                          </a:prstGeom>
                          <a:ln>
                            <a:noFill/>
                          </a:ln>
                        </wps:spPr>
                        <wps:txbx>
                          <w:txbxContent>
                            <w:p w:rsidR="002C0F56" w:rsidRDefault="00E67C6E">
                              <w:pPr>
                                <w:spacing w:after="160" w:line="259" w:lineRule="auto"/>
                                <w:ind w:left="0" w:firstLine="0"/>
                                <w:jc w:val="left"/>
                              </w:pPr>
                              <w:r>
                                <w:rPr>
                                  <w:i/>
                                  <w:sz w:val="24"/>
                                </w:rPr>
                                <w:t>Восприятие ЭТЗ</w:t>
                              </w:r>
                            </w:p>
                          </w:txbxContent>
                        </wps:txbx>
                        <wps:bodyPr horzOverflow="overflow" vert="horz" lIns="0" tIns="0" rIns="0" bIns="0" rtlCol="0">
                          <a:noAutofit/>
                        </wps:bodyPr>
                      </wps:wsp>
                      <wps:wsp>
                        <wps:cNvPr id="16344" name="Rectangle 16344"/>
                        <wps:cNvSpPr/>
                        <wps:spPr>
                          <a:xfrm>
                            <a:off x="1793621" y="636498"/>
                            <a:ext cx="50673" cy="224381"/>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346" name="Shape 16346"/>
                        <wps:cNvSpPr/>
                        <wps:spPr>
                          <a:xfrm>
                            <a:off x="368935" y="1536065"/>
                            <a:ext cx="1793875" cy="668020"/>
                          </a:xfrm>
                          <a:custGeom>
                            <a:avLst/>
                            <a:gdLst/>
                            <a:ahLst/>
                            <a:cxnLst/>
                            <a:rect l="0" t="0" r="0" b="0"/>
                            <a:pathLst>
                              <a:path w="1793875" h="668020">
                                <a:moveTo>
                                  <a:pt x="897001" y="0"/>
                                </a:moveTo>
                                <a:lnTo>
                                  <a:pt x="0" y="334010"/>
                                </a:lnTo>
                                <a:lnTo>
                                  <a:pt x="897001" y="668020"/>
                                </a:lnTo>
                                <a:lnTo>
                                  <a:pt x="1793875" y="33401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347" name="Rectangle 16347"/>
                        <wps:cNvSpPr/>
                        <wps:spPr>
                          <a:xfrm>
                            <a:off x="880745" y="1818315"/>
                            <a:ext cx="581755" cy="153202"/>
                          </a:xfrm>
                          <a:prstGeom prst="rect">
                            <a:avLst/>
                          </a:prstGeom>
                          <a:ln>
                            <a:noFill/>
                          </a:ln>
                        </wps:spPr>
                        <wps:txbx>
                          <w:txbxContent>
                            <w:p w:rsidR="002C0F56" w:rsidRDefault="00E67C6E">
                              <w:pPr>
                                <w:spacing w:after="160" w:line="259" w:lineRule="auto"/>
                                <w:ind w:left="0" w:firstLine="0"/>
                                <w:jc w:val="left"/>
                              </w:pPr>
                              <w:r>
                                <w:rPr>
                                  <w:i/>
                                  <w:sz w:val="20"/>
                                </w:rPr>
                                <w:t>ЭТЗ пон</w:t>
                              </w:r>
                            </w:p>
                          </w:txbxContent>
                        </wps:txbx>
                        <wps:bodyPr horzOverflow="overflow" vert="horz" lIns="0" tIns="0" rIns="0" bIns="0" rtlCol="0">
                          <a:noAutofit/>
                        </wps:bodyPr>
                      </wps:wsp>
                      <wps:wsp>
                        <wps:cNvPr id="16348" name="Rectangle 16348"/>
                        <wps:cNvSpPr/>
                        <wps:spPr>
                          <a:xfrm>
                            <a:off x="1318133" y="1818315"/>
                            <a:ext cx="78229" cy="153202"/>
                          </a:xfrm>
                          <a:prstGeom prst="rect">
                            <a:avLst/>
                          </a:prstGeom>
                          <a:ln>
                            <a:noFill/>
                          </a:ln>
                        </wps:spPr>
                        <wps:txbx>
                          <w:txbxContent>
                            <w:p w:rsidR="002C0F56" w:rsidRDefault="00E67C6E">
                              <w:pPr>
                                <w:spacing w:after="160" w:line="259" w:lineRule="auto"/>
                                <w:ind w:left="0" w:firstLine="0"/>
                                <w:jc w:val="left"/>
                              </w:pPr>
                              <w:r>
                                <w:rPr>
                                  <w:i/>
                                  <w:sz w:val="20"/>
                                </w:rPr>
                                <w:t>я</w:t>
                              </w:r>
                            </w:p>
                          </w:txbxContent>
                        </wps:txbx>
                        <wps:bodyPr horzOverflow="overflow" vert="horz" lIns="0" tIns="0" rIns="0" bIns="0" rtlCol="0">
                          <a:noAutofit/>
                        </wps:bodyPr>
                      </wps:wsp>
                      <wps:wsp>
                        <wps:cNvPr id="16349" name="Rectangle 16349"/>
                        <wps:cNvSpPr/>
                        <wps:spPr>
                          <a:xfrm>
                            <a:off x="1377569" y="1818315"/>
                            <a:ext cx="363723" cy="153202"/>
                          </a:xfrm>
                          <a:prstGeom prst="rect">
                            <a:avLst/>
                          </a:prstGeom>
                          <a:ln>
                            <a:noFill/>
                          </a:ln>
                        </wps:spPr>
                        <wps:txbx>
                          <w:txbxContent>
                            <w:p w:rsidR="002C0F56" w:rsidRDefault="00E67C6E">
                              <w:pPr>
                                <w:spacing w:after="160" w:line="259" w:lineRule="auto"/>
                                <w:ind w:left="0" w:firstLine="0"/>
                                <w:jc w:val="left"/>
                              </w:pPr>
                              <w:r>
                                <w:rPr>
                                  <w:i/>
                                  <w:sz w:val="20"/>
                                </w:rPr>
                                <w:t>тен?</w:t>
                              </w:r>
                            </w:p>
                          </w:txbxContent>
                        </wps:txbx>
                        <wps:bodyPr horzOverflow="overflow" vert="horz" lIns="0" tIns="0" rIns="0" bIns="0" rtlCol="0">
                          <a:noAutofit/>
                        </wps:bodyPr>
                      </wps:wsp>
                      <wps:wsp>
                        <wps:cNvPr id="16350" name="Rectangle 16350"/>
                        <wps:cNvSpPr/>
                        <wps:spPr>
                          <a:xfrm>
                            <a:off x="1653413" y="1793439"/>
                            <a:ext cx="42058" cy="186236"/>
                          </a:xfrm>
                          <a:prstGeom prst="rect">
                            <a:avLst/>
                          </a:prstGeom>
                          <a:ln>
                            <a:noFill/>
                          </a:ln>
                        </wps:spPr>
                        <wps:txbx>
                          <w:txbxContent>
                            <w:p w:rsidR="002C0F56" w:rsidRDefault="00E67C6E">
                              <w:pPr>
                                <w:spacing w:after="160" w:line="259" w:lineRule="auto"/>
                                <w:ind w:left="0" w:firstLine="0"/>
                                <w:jc w:val="left"/>
                              </w:pPr>
                              <w:r>
                                <w:rPr>
                                  <w:i/>
                                  <w:sz w:val="20"/>
                                </w:rPr>
                                <w:t xml:space="preserve"> </w:t>
                              </w:r>
                            </w:p>
                          </w:txbxContent>
                        </wps:txbx>
                        <wps:bodyPr horzOverflow="overflow" vert="horz" lIns="0" tIns="0" rIns="0" bIns="0" rtlCol="0">
                          <a:noAutofit/>
                        </wps:bodyPr>
                      </wps:wsp>
                      <wps:wsp>
                        <wps:cNvPr id="16351" name="Shape 16351"/>
                        <wps:cNvSpPr/>
                        <wps:spPr>
                          <a:xfrm>
                            <a:off x="1263015" y="2706370"/>
                            <a:ext cx="0" cy="222885"/>
                          </a:xfrm>
                          <a:custGeom>
                            <a:avLst/>
                            <a:gdLst/>
                            <a:ahLst/>
                            <a:cxnLst/>
                            <a:rect l="0" t="0" r="0" b="0"/>
                            <a:pathLst>
                              <a:path h="222885">
                                <a:moveTo>
                                  <a:pt x="0" y="0"/>
                                </a:moveTo>
                                <a:lnTo>
                                  <a:pt x="0" y="22288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52" name="Shape 16352"/>
                        <wps:cNvSpPr/>
                        <wps:spPr>
                          <a:xfrm>
                            <a:off x="1257935" y="861695"/>
                            <a:ext cx="0" cy="191770"/>
                          </a:xfrm>
                          <a:custGeom>
                            <a:avLst/>
                            <a:gdLst/>
                            <a:ahLst/>
                            <a:cxnLst/>
                            <a:rect l="0" t="0" r="0" b="0"/>
                            <a:pathLst>
                              <a:path h="191770">
                                <a:moveTo>
                                  <a:pt x="0" y="0"/>
                                </a:moveTo>
                                <a:lnTo>
                                  <a:pt x="0" y="19177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53" name="Shape 16353"/>
                        <wps:cNvSpPr/>
                        <wps:spPr>
                          <a:xfrm>
                            <a:off x="8255" y="438150"/>
                            <a:ext cx="0" cy="1431290"/>
                          </a:xfrm>
                          <a:custGeom>
                            <a:avLst/>
                            <a:gdLst/>
                            <a:ahLst/>
                            <a:cxnLst/>
                            <a:rect l="0" t="0" r="0" b="0"/>
                            <a:pathLst>
                              <a:path h="1431290">
                                <a:moveTo>
                                  <a:pt x="0" y="143129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54" name="Shape 16354"/>
                        <wps:cNvSpPr/>
                        <wps:spPr>
                          <a:xfrm>
                            <a:off x="3810" y="393065"/>
                            <a:ext cx="1250315" cy="76200"/>
                          </a:xfrm>
                          <a:custGeom>
                            <a:avLst/>
                            <a:gdLst/>
                            <a:ahLst/>
                            <a:cxnLst/>
                            <a:rect l="0" t="0" r="0" b="0"/>
                            <a:pathLst>
                              <a:path w="1250315" h="76200">
                                <a:moveTo>
                                  <a:pt x="1174115" y="0"/>
                                </a:moveTo>
                                <a:lnTo>
                                  <a:pt x="1250315" y="38100"/>
                                </a:lnTo>
                                <a:lnTo>
                                  <a:pt x="1174115" y="76200"/>
                                </a:lnTo>
                                <a:lnTo>
                                  <a:pt x="1174115" y="44450"/>
                                </a:lnTo>
                                <a:lnTo>
                                  <a:pt x="0" y="44450"/>
                                </a:lnTo>
                                <a:lnTo>
                                  <a:pt x="0" y="31750"/>
                                </a:lnTo>
                                <a:lnTo>
                                  <a:pt x="1174115" y="31750"/>
                                </a:lnTo>
                                <a:lnTo>
                                  <a:pt x="1174115"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6355" name="Shape 16355"/>
                        <wps:cNvSpPr/>
                        <wps:spPr>
                          <a:xfrm>
                            <a:off x="0" y="1865630"/>
                            <a:ext cx="394335" cy="0"/>
                          </a:xfrm>
                          <a:custGeom>
                            <a:avLst/>
                            <a:gdLst/>
                            <a:ahLst/>
                            <a:cxnLst/>
                            <a:rect l="0" t="0" r="0" b="0"/>
                            <a:pathLst>
                              <a:path w="394335">
                                <a:moveTo>
                                  <a:pt x="0" y="0"/>
                                </a:moveTo>
                                <a:lnTo>
                                  <a:pt x="39433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56" name="Shape 16356"/>
                        <wps:cNvSpPr/>
                        <wps:spPr>
                          <a:xfrm>
                            <a:off x="1275715" y="3268980"/>
                            <a:ext cx="0" cy="228600"/>
                          </a:xfrm>
                          <a:custGeom>
                            <a:avLst/>
                            <a:gdLst/>
                            <a:ahLst/>
                            <a:cxnLst/>
                            <a:rect l="0" t="0" r="0" b="0"/>
                            <a:pathLst>
                              <a:path h="228600">
                                <a:moveTo>
                                  <a:pt x="0" y="0"/>
                                </a:moveTo>
                                <a:lnTo>
                                  <a:pt x="0" y="22860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57" name="Shape 16357"/>
                        <wps:cNvSpPr/>
                        <wps:spPr>
                          <a:xfrm>
                            <a:off x="554990" y="3497580"/>
                            <a:ext cx="1449070" cy="290195"/>
                          </a:xfrm>
                          <a:custGeom>
                            <a:avLst/>
                            <a:gdLst/>
                            <a:ahLst/>
                            <a:cxnLst/>
                            <a:rect l="0" t="0" r="0" b="0"/>
                            <a:pathLst>
                              <a:path w="1449070" h="290195">
                                <a:moveTo>
                                  <a:pt x="48387" y="0"/>
                                </a:moveTo>
                                <a:lnTo>
                                  <a:pt x="1400683" y="0"/>
                                </a:lnTo>
                                <a:cubicBezTo>
                                  <a:pt x="1427353" y="0"/>
                                  <a:pt x="1449070" y="21717"/>
                                  <a:pt x="1449070" y="48388"/>
                                </a:cubicBezTo>
                                <a:lnTo>
                                  <a:pt x="1449070" y="241809"/>
                                </a:lnTo>
                                <a:cubicBezTo>
                                  <a:pt x="1449070" y="268478"/>
                                  <a:pt x="1427353" y="290195"/>
                                  <a:pt x="1400683" y="290195"/>
                                </a:cubicBezTo>
                                <a:lnTo>
                                  <a:pt x="48387" y="290195"/>
                                </a:lnTo>
                                <a:cubicBezTo>
                                  <a:pt x="21717" y="290195"/>
                                  <a:pt x="0" y="268478"/>
                                  <a:pt x="0" y="241809"/>
                                </a:cubicBezTo>
                                <a:lnTo>
                                  <a:pt x="0" y="48388"/>
                                </a:lnTo>
                                <a:cubicBezTo>
                                  <a:pt x="0" y="21717"/>
                                  <a:pt x="21717" y="0"/>
                                  <a:pt x="48387" y="0"/>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16358" name="Shape 16358"/>
                        <wps:cNvSpPr/>
                        <wps:spPr>
                          <a:xfrm>
                            <a:off x="554990" y="3497580"/>
                            <a:ext cx="1449070" cy="290195"/>
                          </a:xfrm>
                          <a:custGeom>
                            <a:avLst/>
                            <a:gdLst/>
                            <a:ahLst/>
                            <a:cxnLst/>
                            <a:rect l="0" t="0" r="0" b="0"/>
                            <a:pathLst>
                              <a:path w="1449070" h="290195">
                                <a:moveTo>
                                  <a:pt x="48387" y="0"/>
                                </a:moveTo>
                                <a:cubicBezTo>
                                  <a:pt x="21717" y="0"/>
                                  <a:pt x="0" y="21717"/>
                                  <a:pt x="0" y="48388"/>
                                </a:cubicBezTo>
                                <a:lnTo>
                                  <a:pt x="0" y="241809"/>
                                </a:lnTo>
                                <a:cubicBezTo>
                                  <a:pt x="0" y="268478"/>
                                  <a:pt x="21717" y="290195"/>
                                  <a:pt x="48387" y="290195"/>
                                </a:cubicBezTo>
                                <a:lnTo>
                                  <a:pt x="1400683" y="290195"/>
                                </a:lnTo>
                                <a:cubicBezTo>
                                  <a:pt x="1427353" y="290195"/>
                                  <a:pt x="1449070" y="268478"/>
                                  <a:pt x="1449070" y="241809"/>
                                </a:cubicBezTo>
                                <a:lnTo>
                                  <a:pt x="1449070" y="48388"/>
                                </a:lnTo>
                                <a:cubicBezTo>
                                  <a:pt x="1449070" y="21717"/>
                                  <a:pt x="1427353" y="0"/>
                                  <a:pt x="1400683"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6359" name="Rectangle 16359"/>
                        <wps:cNvSpPr/>
                        <wps:spPr>
                          <a:xfrm>
                            <a:off x="1072769" y="3596933"/>
                            <a:ext cx="554363" cy="181116"/>
                          </a:xfrm>
                          <a:prstGeom prst="rect">
                            <a:avLst/>
                          </a:prstGeom>
                          <a:ln>
                            <a:noFill/>
                          </a:ln>
                        </wps:spPr>
                        <wps:txbx>
                          <w:txbxContent>
                            <w:p w:rsidR="002C0F56" w:rsidRDefault="00E67C6E">
                              <w:pPr>
                                <w:spacing w:after="160" w:line="259" w:lineRule="auto"/>
                                <w:ind w:left="0" w:firstLine="0"/>
                                <w:jc w:val="left"/>
                              </w:pPr>
                              <w:r>
                                <w:rPr>
                                  <w:b/>
                                  <w:i/>
                                  <w:sz w:val="24"/>
                                </w:rPr>
                                <w:t>Конец</w:t>
                              </w:r>
                            </w:p>
                          </w:txbxContent>
                        </wps:txbx>
                        <wps:bodyPr horzOverflow="overflow" vert="horz" lIns="0" tIns="0" rIns="0" bIns="0" rtlCol="0">
                          <a:noAutofit/>
                        </wps:bodyPr>
                      </wps:wsp>
                      <wps:wsp>
                        <wps:cNvPr id="16360" name="Rectangle 16360"/>
                        <wps:cNvSpPr/>
                        <wps:spPr>
                          <a:xfrm>
                            <a:off x="1488821" y="3564357"/>
                            <a:ext cx="50673" cy="224380"/>
                          </a:xfrm>
                          <a:prstGeom prst="rect">
                            <a:avLst/>
                          </a:prstGeom>
                          <a:ln>
                            <a:noFill/>
                          </a:ln>
                        </wps:spPr>
                        <wps:txbx>
                          <w:txbxContent>
                            <w:p w:rsidR="002C0F56" w:rsidRDefault="00E67C6E">
                              <w:pPr>
                                <w:spacing w:after="160" w:line="259" w:lineRule="auto"/>
                                <w:ind w:left="0" w:firstLine="0"/>
                                <w:jc w:val="left"/>
                              </w:pPr>
                              <w:r>
                                <w:rPr>
                                  <w:b/>
                                  <w:i/>
                                  <w:sz w:val="24"/>
                                </w:rPr>
                                <w:t xml:space="preserve"> </w:t>
                              </w:r>
                            </w:p>
                          </w:txbxContent>
                        </wps:txbx>
                        <wps:bodyPr horzOverflow="overflow" vert="horz" lIns="0" tIns="0" rIns="0" bIns="0" rtlCol="0">
                          <a:noAutofit/>
                        </wps:bodyPr>
                      </wps:wsp>
                      <wps:wsp>
                        <wps:cNvPr id="16361" name="Shape 16361"/>
                        <wps:cNvSpPr/>
                        <wps:spPr>
                          <a:xfrm>
                            <a:off x="1263015" y="1329690"/>
                            <a:ext cx="0" cy="194945"/>
                          </a:xfrm>
                          <a:custGeom>
                            <a:avLst/>
                            <a:gdLst/>
                            <a:ahLst/>
                            <a:cxnLst/>
                            <a:rect l="0" t="0" r="0" b="0"/>
                            <a:pathLst>
                              <a:path h="194945">
                                <a:moveTo>
                                  <a:pt x="0" y="0"/>
                                </a:moveTo>
                                <a:lnTo>
                                  <a:pt x="0" y="19494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362" name="Shape 16362"/>
                        <wps:cNvSpPr/>
                        <wps:spPr>
                          <a:xfrm>
                            <a:off x="1263015" y="2190115"/>
                            <a:ext cx="0" cy="250825"/>
                          </a:xfrm>
                          <a:custGeom>
                            <a:avLst/>
                            <a:gdLst/>
                            <a:ahLst/>
                            <a:cxnLst/>
                            <a:rect l="0" t="0" r="0" b="0"/>
                            <a:pathLst>
                              <a:path h="250825">
                                <a:moveTo>
                                  <a:pt x="0" y="0"/>
                                </a:moveTo>
                                <a:lnTo>
                                  <a:pt x="0" y="25082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704850" name="Shape 704850"/>
                        <wps:cNvSpPr/>
                        <wps:spPr>
                          <a:xfrm>
                            <a:off x="572770" y="1043305"/>
                            <a:ext cx="1345565" cy="288925"/>
                          </a:xfrm>
                          <a:custGeom>
                            <a:avLst/>
                            <a:gdLst/>
                            <a:ahLst/>
                            <a:cxnLst/>
                            <a:rect l="0" t="0" r="0" b="0"/>
                            <a:pathLst>
                              <a:path w="1345565" h="288925">
                                <a:moveTo>
                                  <a:pt x="0" y="0"/>
                                </a:moveTo>
                                <a:lnTo>
                                  <a:pt x="1345565" y="0"/>
                                </a:lnTo>
                                <a:lnTo>
                                  <a:pt x="1345565" y="288925"/>
                                </a:lnTo>
                                <a:lnTo>
                                  <a:pt x="0" y="288925"/>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371" name="Shape 16371"/>
                        <wps:cNvSpPr/>
                        <wps:spPr>
                          <a:xfrm>
                            <a:off x="572770" y="1043305"/>
                            <a:ext cx="1345565" cy="288925"/>
                          </a:xfrm>
                          <a:custGeom>
                            <a:avLst/>
                            <a:gdLst/>
                            <a:ahLst/>
                            <a:cxnLst/>
                            <a:rect l="0" t="0" r="0" b="0"/>
                            <a:pathLst>
                              <a:path w="1345565" h="288925">
                                <a:moveTo>
                                  <a:pt x="0" y="288925"/>
                                </a:moveTo>
                                <a:lnTo>
                                  <a:pt x="1345565" y="288925"/>
                                </a:lnTo>
                                <a:lnTo>
                                  <a:pt x="134556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372" name="Rectangle 16372"/>
                        <wps:cNvSpPr/>
                        <wps:spPr>
                          <a:xfrm>
                            <a:off x="732917" y="1131290"/>
                            <a:ext cx="1155953" cy="184580"/>
                          </a:xfrm>
                          <a:prstGeom prst="rect">
                            <a:avLst/>
                          </a:prstGeom>
                          <a:ln>
                            <a:noFill/>
                          </a:ln>
                        </wps:spPr>
                        <wps:txbx>
                          <w:txbxContent>
                            <w:p w:rsidR="002C0F56" w:rsidRDefault="00E67C6E">
                              <w:pPr>
                                <w:spacing w:after="160" w:line="259" w:lineRule="auto"/>
                                <w:ind w:left="0" w:firstLine="0"/>
                                <w:jc w:val="left"/>
                              </w:pPr>
                              <w:r>
                                <w:rPr>
                                  <w:i/>
                                  <w:sz w:val="24"/>
                                </w:rPr>
                                <w:t>Понимание Э</w:t>
                              </w:r>
                            </w:p>
                          </w:txbxContent>
                        </wps:txbx>
                        <wps:bodyPr horzOverflow="overflow" vert="horz" lIns="0" tIns="0" rIns="0" bIns="0" rtlCol="0">
                          <a:noAutofit/>
                        </wps:bodyPr>
                      </wps:wsp>
                      <wps:wsp>
                        <wps:cNvPr id="16373" name="Rectangle 16373"/>
                        <wps:cNvSpPr/>
                        <wps:spPr>
                          <a:xfrm>
                            <a:off x="1601597" y="1131290"/>
                            <a:ext cx="112697" cy="184580"/>
                          </a:xfrm>
                          <a:prstGeom prst="rect">
                            <a:avLst/>
                          </a:prstGeom>
                          <a:ln>
                            <a:noFill/>
                          </a:ln>
                        </wps:spPr>
                        <wps:txbx>
                          <w:txbxContent>
                            <w:p w:rsidR="002C0F56" w:rsidRDefault="00E67C6E">
                              <w:pPr>
                                <w:spacing w:after="160" w:line="259" w:lineRule="auto"/>
                                <w:ind w:left="0" w:firstLine="0"/>
                                <w:jc w:val="left"/>
                              </w:pPr>
                              <w:r>
                                <w:rPr>
                                  <w:i/>
                                  <w:sz w:val="24"/>
                                </w:rPr>
                                <w:t>Т</w:t>
                              </w:r>
                            </w:p>
                          </w:txbxContent>
                        </wps:txbx>
                        <wps:bodyPr horzOverflow="overflow" vert="horz" lIns="0" tIns="0" rIns="0" bIns="0" rtlCol="0">
                          <a:noAutofit/>
                        </wps:bodyPr>
                      </wps:wsp>
                      <wps:wsp>
                        <wps:cNvPr id="16374" name="Rectangle 16374"/>
                        <wps:cNvSpPr/>
                        <wps:spPr>
                          <a:xfrm>
                            <a:off x="1686941" y="1131290"/>
                            <a:ext cx="100333" cy="184580"/>
                          </a:xfrm>
                          <a:prstGeom prst="rect">
                            <a:avLst/>
                          </a:prstGeom>
                          <a:ln>
                            <a:noFill/>
                          </a:ln>
                        </wps:spPr>
                        <wps:txbx>
                          <w:txbxContent>
                            <w:p w:rsidR="002C0F56" w:rsidRDefault="00E67C6E">
                              <w:pPr>
                                <w:spacing w:after="160" w:line="259" w:lineRule="auto"/>
                                <w:ind w:left="0" w:firstLine="0"/>
                                <w:jc w:val="left"/>
                              </w:pPr>
                              <w:r>
                                <w:rPr>
                                  <w:i/>
                                  <w:sz w:val="24"/>
                                </w:rPr>
                                <w:t>З</w:t>
                              </w:r>
                            </w:p>
                          </w:txbxContent>
                        </wps:txbx>
                        <wps:bodyPr horzOverflow="overflow" vert="horz" lIns="0" tIns="0" rIns="0" bIns="0" rtlCol="0">
                          <a:noAutofit/>
                        </wps:bodyPr>
                      </wps:wsp>
                      <wps:wsp>
                        <wps:cNvPr id="16375" name="Rectangle 16375"/>
                        <wps:cNvSpPr/>
                        <wps:spPr>
                          <a:xfrm>
                            <a:off x="1761617" y="1101319"/>
                            <a:ext cx="50673" cy="224380"/>
                          </a:xfrm>
                          <a:prstGeom prst="rect">
                            <a:avLst/>
                          </a:prstGeom>
                          <a:ln>
                            <a:noFill/>
                          </a:ln>
                        </wps:spPr>
                        <wps:txbx>
                          <w:txbxContent>
                            <w:p w:rsidR="002C0F56" w:rsidRDefault="00E67C6E">
                              <w:pPr>
                                <w:spacing w:after="160" w:line="259" w:lineRule="auto"/>
                                <w:ind w:left="0" w:firstLine="0"/>
                                <w:jc w:val="left"/>
                              </w:pPr>
                              <w:r>
                                <w:rPr>
                                  <w:i/>
                                  <w:sz w:val="24"/>
                                </w:rPr>
                                <w:t xml:space="preserve"> </w:t>
                              </w:r>
                            </w:p>
                          </w:txbxContent>
                        </wps:txbx>
                        <wps:bodyPr horzOverflow="overflow" vert="horz" lIns="0" tIns="0" rIns="0" bIns="0" rtlCol="0">
                          <a:noAutofit/>
                        </wps:bodyPr>
                      </wps:wsp>
                      <wps:wsp>
                        <wps:cNvPr id="704851" name="Shape 704851"/>
                        <wps:cNvSpPr/>
                        <wps:spPr>
                          <a:xfrm>
                            <a:off x="592455" y="2430780"/>
                            <a:ext cx="1345565" cy="288925"/>
                          </a:xfrm>
                          <a:custGeom>
                            <a:avLst/>
                            <a:gdLst/>
                            <a:ahLst/>
                            <a:cxnLst/>
                            <a:rect l="0" t="0" r="0" b="0"/>
                            <a:pathLst>
                              <a:path w="1345565" h="288925">
                                <a:moveTo>
                                  <a:pt x="0" y="0"/>
                                </a:moveTo>
                                <a:lnTo>
                                  <a:pt x="1345565" y="0"/>
                                </a:lnTo>
                                <a:lnTo>
                                  <a:pt x="1345565" y="288925"/>
                                </a:lnTo>
                                <a:lnTo>
                                  <a:pt x="0" y="288925"/>
                                </a:lnTo>
                                <a:lnTo>
                                  <a:pt x="0" y="0"/>
                                </a:lnTo>
                              </a:path>
                            </a:pathLst>
                          </a:custGeom>
                          <a:ln w="0" cap="rnd">
                            <a:miter lim="101600"/>
                          </a:ln>
                        </wps:spPr>
                        <wps:style>
                          <a:lnRef idx="0">
                            <a:srgbClr val="000000">
                              <a:alpha val="0"/>
                            </a:srgbClr>
                          </a:lnRef>
                          <a:fillRef idx="1">
                            <a:srgbClr val="FFFFFF"/>
                          </a:fillRef>
                          <a:effectRef idx="0">
                            <a:scrgbClr r="0" g="0" b="0"/>
                          </a:effectRef>
                          <a:fontRef idx="none"/>
                        </wps:style>
                        <wps:bodyPr/>
                      </wps:wsp>
                      <wps:wsp>
                        <wps:cNvPr id="16377" name="Shape 16377"/>
                        <wps:cNvSpPr/>
                        <wps:spPr>
                          <a:xfrm>
                            <a:off x="592455" y="2430780"/>
                            <a:ext cx="1345565" cy="288925"/>
                          </a:xfrm>
                          <a:custGeom>
                            <a:avLst/>
                            <a:gdLst/>
                            <a:ahLst/>
                            <a:cxnLst/>
                            <a:rect l="0" t="0" r="0" b="0"/>
                            <a:pathLst>
                              <a:path w="1345565" h="288925">
                                <a:moveTo>
                                  <a:pt x="0" y="288925"/>
                                </a:moveTo>
                                <a:lnTo>
                                  <a:pt x="1345565" y="288925"/>
                                </a:lnTo>
                                <a:lnTo>
                                  <a:pt x="134556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378" name="Rectangle 16378"/>
                        <wps:cNvSpPr/>
                        <wps:spPr>
                          <a:xfrm>
                            <a:off x="693293" y="2518384"/>
                            <a:ext cx="405181" cy="184580"/>
                          </a:xfrm>
                          <a:prstGeom prst="rect">
                            <a:avLst/>
                          </a:prstGeom>
                          <a:ln>
                            <a:noFill/>
                          </a:ln>
                        </wps:spPr>
                        <wps:txbx>
                          <w:txbxContent>
                            <w:p w:rsidR="002C0F56" w:rsidRDefault="00E67C6E">
                              <w:pPr>
                                <w:spacing w:after="160" w:line="259" w:lineRule="auto"/>
                                <w:ind w:left="0" w:firstLine="0"/>
                                <w:jc w:val="left"/>
                              </w:pPr>
                              <w:r>
                                <w:rPr>
                                  <w:i/>
                                  <w:sz w:val="24"/>
                                </w:rPr>
                                <w:t>Запо</w:t>
                              </w:r>
                            </w:p>
                          </w:txbxContent>
                        </wps:txbx>
                        <wps:bodyPr horzOverflow="overflow" vert="horz" lIns="0" tIns="0" rIns="0" bIns="0" rtlCol="0">
                          <a:noAutofit/>
                        </wps:bodyPr>
                      </wps:wsp>
                      <wps:wsp>
                        <wps:cNvPr id="16379" name="Rectangle 16379"/>
                        <wps:cNvSpPr/>
                        <wps:spPr>
                          <a:xfrm>
                            <a:off x="998093" y="2518384"/>
                            <a:ext cx="908668" cy="184580"/>
                          </a:xfrm>
                          <a:prstGeom prst="rect">
                            <a:avLst/>
                          </a:prstGeom>
                          <a:ln>
                            <a:noFill/>
                          </a:ln>
                        </wps:spPr>
                        <wps:txbx>
                          <w:txbxContent>
                            <w:p w:rsidR="002C0F56" w:rsidRDefault="00E67C6E">
                              <w:pPr>
                                <w:spacing w:after="160" w:line="259" w:lineRule="auto"/>
                                <w:ind w:left="0" w:firstLine="0"/>
                                <w:jc w:val="left"/>
                              </w:pPr>
                              <w:r>
                                <w:rPr>
                                  <w:i/>
                                  <w:sz w:val="24"/>
                                </w:rPr>
                                <w:t>минание Э</w:t>
                              </w:r>
                            </w:p>
                          </w:txbxContent>
                        </wps:txbx>
                        <wps:bodyPr horzOverflow="overflow" vert="horz" lIns="0" tIns="0" rIns="0" bIns="0" rtlCol="0">
                          <a:noAutofit/>
                        </wps:bodyPr>
                      </wps:wsp>
                      <wps:wsp>
                        <wps:cNvPr id="16380" name="Rectangle 16380"/>
                        <wps:cNvSpPr/>
                        <wps:spPr>
                          <a:xfrm>
                            <a:off x="1680845" y="2518384"/>
                            <a:ext cx="112697" cy="184580"/>
                          </a:xfrm>
                          <a:prstGeom prst="rect">
                            <a:avLst/>
                          </a:prstGeom>
                          <a:ln>
                            <a:noFill/>
                          </a:ln>
                        </wps:spPr>
                        <wps:txbx>
                          <w:txbxContent>
                            <w:p w:rsidR="002C0F56" w:rsidRDefault="00E67C6E">
                              <w:pPr>
                                <w:spacing w:after="160" w:line="259" w:lineRule="auto"/>
                                <w:ind w:left="0" w:firstLine="0"/>
                                <w:jc w:val="left"/>
                              </w:pPr>
                              <w:r>
                                <w:rPr>
                                  <w:i/>
                                  <w:sz w:val="24"/>
                                </w:rPr>
                                <w:t>Т</w:t>
                              </w:r>
                            </w:p>
                          </w:txbxContent>
                        </wps:txbx>
                        <wps:bodyPr horzOverflow="overflow" vert="horz" lIns="0" tIns="0" rIns="0" bIns="0" rtlCol="0">
                          <a:noAutofit/>
                        </wps:bodyPr>
                      </wps:wsp>
                      <wps:wsp>
                        <wps:cNvPr id="16381" name="Rectangle 16381"/>
                        <wps:cNvSpPr/>
                        <wps:spPr>
                          <a:xfrm>
                            <a:off x="1766189" y="2518384"/>
                            <a:ext cx="100333" cy="184580"/>
                          </a:xfrm>
                          <a:prstGeom prst="rect">
                            <a:avLst/>
                          </a:prstGeom>
                          <a:ln>
                            <a:noFill/>
                          </a:ln>
                        </wps:spPr>
                        <wps:txbx>
                          <w:txbxContent>
                            <w:p w:rsidR="002C0F56" w:rsidRDefault="00E67C6E">
                              <w:pPr>
                                <w:spacing w:after="160" w:line="259" w:lineRule="auto"/>
                                <w:ind w:left="0" w:firstLine="0"/>
                                <w:jc w:val="left"/>
                              </w:pPr>
                              <w:r>
                                <w:rPr>
                                  <w:i/>
                                  <w:sz w:val="24"/>
                                </w:rPr>
                                <w:t>З</w:t>
                              </w:r>
                            </w:p>
                          </w:txbxContent>
                        </wps:txbx>
                        <wps:bodyPr horzOverflow="overflow" vert="horz" lIns="0" tIns="0" rIns="0" bIns="0" rtlCol="0">
                          <a:noAutofit/>
                        </wps:bodyPr>
                      </wps:wsp>
                      <wps:wsp>
                        <wps:cNvPr id="16382" name="Rectangle 16382"/>
                        <wps:cNvSpPr/>
                        <wps:spPr>
                          <a:xfrm>
                            <a:off x="1840865" y="2488413"/>
                            <a:ext cx="50673" cy="224380"/>
                          </a:xfrm>
                          <a:prstGeom prst="rect">
                            <a:avLst/>
                          </a:prstGeom>
                          <a:ln>
                            <a:noFill/>
                          </a:ln>
                        </wps:spPr>
                        <wps:txbx>
                          <w:txbxContent>
                            <w:p w:rsidR="002C0F56" w:rsidRDefault="00E67C6E">
                              <w:pPr>
                                <w:spacing w:after="160" w:line="259" w:lineRule="auto"/>
                                <w:ind w:left="0" w:firstLine="0"/>
                                <w:jc w:val="left"/>
                              </w:pPr>
                              <w:r>
                                <w:rPr>
                                  <w:i/>
                                  <w:sz w:val="24"/>
                                </w:rPr>
                                <w:t xml:space="preserve"> </w:t>
                              </w:r>
                            </w:p>
                          </w:txbxContent>
                        </wps:txbx>
                        <wps:bodyPr horzOverflow="overflow" vert="horz" lIns="0" tIns="0" rIns="0" bIns="0" rtlCol="0">
                          <a:noAutofit/>
                        </wps:bodyPr>
                      </wps:wsp>
                      <wps:wsp>
                        <wps:cNvPr id="16384" name="Shape 16384"/>
                        <wps:cNvSpPr/>
                        <wps:spPr>
                          <a:xfrm>
                            <a:off x="592455" y="2947035"/>
                            <a:ext cx="1345565" cy="309880"/>
                          </a:xfrm>
                          <a:custGeom>
                            <a:avLst/>
                            <a:gdLst/>
                            <a:ahLst/>
                            <a:cxnLst/>
                            <a:rect l="0" t="0" r="0" b="0"/>
                            <a:pathLst>
                              <a:path w="1345565" h="309880">
                                <a:moveTo>
                                  <a:pt x="0" y="309880"/>
                                </a:moveTo>
                                <a:lnTo>
                                  <a:pt x="1345565" y="309880"/>
                                </a:lnTo>
                                <a:lnTo>
                                  <a:pt x="134556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385" name="Rectangle 16385"/>
                        <wps:cNvSpPr/>
                        <wps:spPr>
                          <a:xfrm>
                            <a:off x="775589" y="3035020"/>
                            <a:ext cx="1304120" cy="184580"/>
                          </a:xfrm>
                          <a:prstGeom prst="rect">
                            <a:avLst/>
                          </a:prstGeom>
                          <a:ln>
                            <a:noFill/>
                          </a:ln>
                        </wps:spPr>
                        <wps:txbx>
                          <w:txbxContent>
                            <w:p w:rsidR="002C0F56" w:rsidRDefault="00E67C6E">
                              <w:pPr>
                                <w:spacing w:after="160" w:line="259" w:lineRule="auto"/>
                                <w:ind w:left="0" w:firstLine="0"/>
                                <w:jc w:val="left"/>
                              </w:pPr>
                              <w:r>
                                <w:rPr>
                                  <w:i/>
                                  <w:sz w:val="24"/>
                                </w:rPr>
                                <w:t>Обновление ОЗ</w:t>
                              </w:r>
                            </w:p>
                          </w:txbxContent>
                        </wps:txbx>
                        <wps:bodyPr horzOverflow="overflow" vert="horz" lIns="0" tIns="0" rIns="0" bIns="0" rtlCol="0">
                          <a:noAutofit/>
                        </wps:bodyPr>
                      </wps:wsp>
                      <wps:wsp>
                        <wps:cNvPr id="16386" name="Rectangle 16386"/>
                        <wps:cNvSpPr/>
                        <wps:spPr>
                          <a:xfrm>
                            <a:off x="1757045" y="3005049"/>
                            <a:ext cx="50673" cy="224381"/>
                          </a:xfrm>
                          <a:prstGeom prst="rect">
                            <a:avLst/>
                          </a:prstGeom>
                          <a:ln>
                            <a:noFill/>
                          </a:ln>
                        </wps:spPr>
                        <wps:txbx>
                          <w:txbxContent>
                            <w:p w:rsidR="002C0F56" w:rsidRDefault="00E67C6E">
                              <w:pPr>
                                <w:spacing w:after="160" w:line="259" w:lineRule="auto"/>
                                <w:ind w:left="0" w:firstLine="0"/>
                                <w:jc w:val="left"/>
                              </w:pPr>
                              <w:r>
                                <w:rPr>
                                  <w:i/>
                                  <w:sz w:val="24"/>
                                </w:rPr>
                                <w:t xml:space="preserve"> </w:t>
                              </w:r>
                            </w:p>
                          </w:txbxContent>
                        </wps:txbx>
                        <wps:bodyPr horzOverflow="overflow" vert="horz" lIns="0" tIns="0" rIns="0" bIns="0" rtlCol="0">
                          <a:noAutofit/>
                        </wps:bodyPr>
                      </wps:wsp>
                      <wps:wsp>
                        <wps:cNvPr id="16387" name="Rectangle 16387"/>
                        <wps:cNvSpPr/>
                        <wps:spPr>
                          <a:xfrm>
                            <a:off x="991997" y="2272766"/>
                            <a:ext cx="204719" cy="184580"/>
                          </a:xfrm>
                          <a:prstGeom prst="rect">
                            <a:avLst/>
                          </a:prstGeom>
                          <a:ln>
                            <a:noFill/>
                          </a:ln>
                        </wps:spPr>
                        <wps:txbx>
                          <w:txbxContent>
                            <w:p w:rsidR="002C0F56" w:rsidRDefault="00E67C6E">
                              <w:pPr>
                                <w:spacing w:after="160" w:line="259" w:lineRule="auto"/>
                                <w:ind w:left="0" w:firstLine="0"/>
                                <w:jc w:val="left"/>
                              </w:pPr>
                              <w:r>
                                <w:rPr>
                                  <w:i/>
                                  <w:sz w:val="24"/>
                                </w:rPr>
                                <w:t>да</w:t>
                              </w:r>
                            </w:p>
                          </w:txbxContent>
                        </wps:txbx>
                        <wps:bodyPr horzOverflow="overflow" vert="horz" lIns="0" tIns="0" rIns="0" bIns="0" rtlCol="0">
                          <a:noAutofit/>
                        </wps:bodyPr>
                      </wps:wsp>
                      <wps:wsp>
                        <wps:cNvPr id="16388" name="Rectangle 16388"/>
                        <wps:cNvSpPr/>
                        <wps:spPr>
                          <a:xfrm>
                            <a:off x="1145921" y="2242795"/>
                            <a:ext cx="50673" cy="224380"/>
                          </a:xfrm>
                          <a:prstGeom prst="rect">
                            <a:avLst/>
                          </a:prstGeom>
                          <a:ln>
                            <a:noFill/>
                          </a:ln>
                        </wps:spPr>
                        <wps:txbx>
                          <w:txbxContent>
                            <w:p w:rsidR="002C0F56" w:rsidRDefault="00E67C6E">
                              <w:pPr>
                                <w:spacing w:after="160" w:line="259" w:lineRule="auto"/>
                                <w:ind w:left="0" w:firstLine="0"/>
                                <w:jc w:val="left"/>
                              </w:pPr>
                              <w:r>
                                <w:rPr>
                                  <w:i/>
                                  <w:sz w:val="24"/>
                                </w:rPr>
                                <w:t xml:space="preserve"> </w:t>
                              </w:r>
                            </w:p>
                          </w:txbxContent>
                        </wps:txbx>
                        <wps:bodyPr horzOverflow="overflow" vert="horz" lIns="0" tIns="0" rIns="0" bIns="0" rtlCol="0">
                          <a:noAutofit/>
                        </wps:bodyPr>
                      </wps:wsp>
                      <wps:wsp>
                        <wps:cNvPr id="16389" name="Rectangle 16389"/>
                        <wps:cNvSpPr/>
                        <wps:spPr>
                          <a:xfrm>
                            <a:off x="58928" y="1652498"/>
                            <a:ext cx="336672" cy="184580"/>
                          </a:xfrm>
                          <a:prstGeom prst="rect">
                            <a:avLst/>
                          </a:prstGeom>
                          <a:ln>
                            <a:noFill/>
                          </a:ln>
                        </wps:spPr>
                        <wps:txbx>
                          <w:txbxContent>
                            <w:p w:rsidR="002C0F56" w:rsidRDefault="00E67C6E">
                              <w:pPr>
                                <w:spacing w:after="160" w:line="259" w:lineRule="auto"/>
                                <w:ind w:left="0" w:firstLine="0"/>
                                <w:jc w:val="left"/>
                              </w:pPr>
                              <w:r>
                                <w:rPr>
                                  <w:i/>
                                  <w:sz w:val="24"/>
                                </w:rPr>
                                <w:t>нет</w:t>
                              </w:r>
                            </w:p>
                          </w:txbxContent>
                        </wps:txbx>
                        <wps:bodyPr horzOverflow="overflow" vert="horz" lIns="0" tIns="0" rIns="0" bIns="0" rtlCol="0">
                          <a:noAutofit/>
                        </wps:bodyPr>
                      </wps:wsp>
                      <wps:wsp>
                        <wps:cNvPr id="16390" name="Rectangle 16390"/>
                        <wps:cNvSpPr/>
                        <wps:spPr>
                          <a:xfrm>
                            <a:off x="311912" y="1622527"/>
                            <a:ext cx="50673" cy="224380"/>
                          </a:xfrm>
                          <a:prstGeom prst="rect">
                            <a:avLst/>
                          </a:prstGeom>
                          <a:ln>
                            <a:noFill/>
                          </a:ln>
                        </wps:spPr>
                        <wps:txbx>
                          <w:txbxContent>
                            <w:p w:rsidR="002C0F56" w:rsidRDefault="00E67C6E">
                              <w:pPr>
                                <w:spacing w:after="160" w:line="259" w:lineRule="auto"/>
                                <w:ind w:left="0" w:firstLine="0"/>
                                <w:jc w:val="left"/>
                              </w:pPr>
                              <w:r>
                                <w:rPr>
                                  <w:i/>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65880" style="width:170.3pt;height:298.25pt;mso-position-horizontal-relative:char;mso-position-vertical-relative:line" coordsize="21628,37877">
                <v:shape id="Shape 16336" style="position:absolute;width:19;height:3009;left:12433;top:2825;" coordsize="1905,300990" path="m0,0l1905,300990">
                  <v:stroke weight="0.75pt" endcap="flat" joinstyle="round" on="true" color="#000000"/>
                  <v:fill on="false" color="#000000" opacity="0"/>
                </v:shape>
                <v:shape id="Shape 16337" style="position:absolute;width:14471;height:2889;left:5454;top:0;" coordsize="1447165,288925" path="m48133,0l1399032,0c1425575,0,1447165,21590,1447165,48133l1447165,240792c1447165,267335,1425575,288925,1399032,288925l48133,288925c21590,288925,0,267335,0,240792l0,48133c0,21590,21590,0,48133,0x">
                  <v:stroke weight="0pt" endcap="flat" joinstyle="round" on="false" color="#000000" opacity="0"/>
                  <v:fill on="true" color="#ffffff"/>
                </v:shape>
                <v:shape id="Shape 16338" style="position:absolute;width:14471;height:2889;left:5454;top:0;" coordsize="1447165,288925" path="m48133,0c21590,0,0,21590,0,48133l0,240792c0,267335,21590,288925,48133,288925l1399032,288925c1425575,288925,1447165,267335,1447165,240792l1447165,48133c1447165,21590,1425575,0,1399032,0x">
                  <v:stroke weight="0.75pt" endcap="round" joinstyle="round" on="true" color="#000000"/>
                  <v:fill on="false" color="#000000" opacity="0"/>
                </v:shape>
                <v:rect id="Rectangle 16339" style="position:absolute;width:6709;height:1811;left:10163;top:990;" filled="f" stroked="f">
                  <v:textbox inset="0,0,0,0">
                    <w:txbxContent>
                      <w:p>
                        <w:pPr>
                          <w:spacing w:before="0" w:after="160" w:line="259" w:lineRule="auto"/>
                          <w:ind w:left="0" w:firstLine="0"/>
                          <w:jc w:val="left"/>
                        </w:pPr>
                        <w:r>
                          <w:rPr>
                            <w:rFonts w:cs="Times New Roman" w:hAnsi="Times New Roman" w:eastAsia="Times New Roman" w:ascii="Times New Roman"/>
                            <w:b w:val="1"/>
                            <w:i w:val="1"/>
                            <w:sz w:val="24"/>
                          </w:rPr>
                          <w:t xml:space="preserve">Начало</w:t>
                        </w:r>
                      </w:p>
                    </w:txbxContent>
                  </v:textbox>
                </v:rect>
                <v:rect id="Rectangle 16340" style="position:absolute;width:506;height:2243;left:15223;top:665;" filled="f" stroked="f">
                  <v:textbox inset="0,0,0,0">
                    <w:txbxContent>
                      <w:p>
                        <w:pPr>
                          <w:spacing w:before="0" w:after="160" w:line="259" w:lineRule="auto"/>
                          <w:ind w:left="0" w:firstLine="0"/>
                          <w:jc w:val="left"/>
                        </w:pPr>
                        <w:r>
                          <w:rPr>
                            <w:rFonts w:cs="Times New Roman" w:hAnsi="Times New Roman" w:eastAsia="Times New Roman" w:ascii="Times New Roman"/>
                            <w:b w:val="1"/>
                            <w:i w:val="1"/>
                            <w:sz w:val="24"/>
                          </w:rPr>
                          <w:t xml:space="preserve"> </w:t>
                        </w:r>
                      </w:p>
                    </w:txbxContent>
                  </v:textbox>
                </v:rect>
                <v:shape id="Shape 704852" style="position:absolute;width:13455;height:2882;left:5759;top:5797;" coordsize="1345565,288290" path="m0,0l1345565,0l1345565,288290l0,288290l0,0">
                  <v:stroke weight="0pt" endcap="round" joinstyle="round" on="false" color="#000000" opacity="0"/>
                  <v:fill on="true" color="#ffffff"/>
                </v:shape>
                <v:shape id="Shape 16342" style="position:absolute;width:13455;height:2882;left:5759;top:5797;" coordsize="1345565,288290" path="m0,288290l1345565,288290l1345565,0l0,0x">
                  <v:stroke weight="0.75pt" endcap="round" joinstyle="miter" miterlimit="8" on="true" color="#000000"/>
                  <v:fill on="false" color="#000000" opacity="0"/>
                </v:shape>
                <v:rect id="Rectangle 16343" style="position:absolute;width:14458;height:1845;left:7054;top:6664;"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Восприятие ЭТЗ</w:t>
                        </w:r>
                      </w:p>
                    </w:txbxContent>
                  </v:textbox>
                </v:rect>
                <v:rect id="Rectangle 16344" style="position:absolute;width:506;height:2243;left:17936;top:6364;" filled="f" stroked="f">
                  <v:textbox inset="0,0,0,0">
                    <w:txbxContent>
                      <w:p>
                        <w:pPr>
                          <w:spacing w:before="0" w:after="160" w:line="259" w:lineRule="auto"/>
                          <w:ind w:left="0" w:firstLine="0"/>
                          <w:jc w:val="left"/>
                        </w:pPr>
                        <w:r>
                          <w:rPr>
                            <w:sz w:val="24"/>
                          </w:rPr>
                          <w:t xml:space="preserve"> </w:t>
                        </w:r>
                      </w:p>
                    </w:txbxContent>
                  </v:textbox>
                </v:rect>
                <v:shape id="Shape 16346" style="position:absolute;width:17938;height:6680;left:3689;top:15360;" coordsize="1793875,668020" path="m897001,0l0,334010l897001,668020l1793875,334010x">
                  <v:stroke weight="0.75pt" endcap="round" joinstyle="miter" miterlimit="8" on="true" color="#000000"/>
                  <v:fill on="false" color="#000000" opacity="0"/>
                </v:shape>
                <v:rect id="Rectangle 16347" style="position:absolute;width:5817;height:1532;left:8807;top:18183;"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ЭТЗ пон</w:t>
                        </w:r>
                      </w:p>
                    </w:txbxContent>
                  </v:textbox>
                </v:rect>
                <v:rect id="Rectangle 16348" style="position:absolute;width:782;height:1532;left:13181;top:18183;"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я</w:t>
                        </w:r>
                      </w:p>
                    </w:txbxContent>
                  </v:textbox>
                </v:rect>
                <v:rect id="Rectangle 16349" style="position:absolute;width:3637;height:1532;left:13775;top:18183;"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тен?</w:t>
                        </w:r>
                      </w:p>
                    </w:txbxContent>
                  </v:textbox>
                </v:rect>
                <v:rect id="Rectangle 16350" style="position:absolute;width:420;height:1862;left:16534;top:17934;"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 </w:t>
                        </w:r>
                      </w:p>
                    </w:txbxContent>
                  </v:textbox>
                </v:rect>
                <v:shape id="Shape 16351" style="position:absolute;width:0;height:2228;left:12630;top:27063;" coordsize="0,222885" path="m0,0l0,222885">
                  <v:stroke weight="0.75pt" endcap="flat" joinstyle="round" on="true" color="#000000"/>
                  <v:fill on="false" color="#000000" opacity="0"/>
                </v:shape>
                <v:shape id="Shape 16352" style="position:absolute;width:0;height:1917;left:12579;top:8616;" coordsize="0,191770" path="m0,0l0,191770">
                  <v:stroke weight="0.75pt" endcap="flat" joinstyle="round" on="true" color="#000000"/>
                  <v:fill on="false" color="#000000" opacity="0"/>
                </v:shape>
                <v:shape id="Shape 16353" style="position:absolute;width:0;height:14312;left:82;top:4381;" coordsize="0,1431290" path="m0,1431290l0,0">
                  <v:stroke weight="0.75pt" endcap="flat" joinstyle="round" on="true" color="#000000"/>
                  <v:fill on="false" color="#000000" opacity="0"/>
                </v:shape>
                <v:shape id="Shape 16354" style="position:absolute;width:12503;height:762;left:38;top:3930;" coordsize="1250315,76200" path="m1174115,0l1250315,38100l1174115,76200l1174115,44450l0,44450l0,31750l1174115,31750l1174115,0x">
                  <v:stroke weight="0pt" endcap="flat" joinstyle="round" on="false" color="#000000" opacity="0"/>
                  <v:fill on="true" color="#000000"/>
                </v:shape>
                <v:shape id="Shape 16355" style="position:absolute;width:3943;height:0;left:0;top:18656;" coordsize="394335,0" path="m0,0l394335,0">
                  <v:stroke weight="0.75pt" endcap="flat" joinstyle="round" on="true" color="#000000"/>
                  <v:fill on="false" color="#000000" opacity="0"/>
                </v:shape>
                <v:shape id="Shape 16356" style="position:absolute;width:0;height:2286;left:12757;top:32689;" coordsize="0,228600" path="m0,0l0,228600">
                  <v:stroke weight="0.75pt" endcap="flat" joinstyle="round" on="true" color="#000000"/>
                  <v:fill on="false" color="#000000" opacity="0"/>
                </v:shape>
                <v:shape id="Shape 16357" style="position:absolute;width:14490;height:2901;left:5549;top:34975;" coordsize="1449070,290195" path="m48387,0l1400683,0c1427353,0,1449070,21717,1449070,48388l1449070,241809c1449070,268478,1427353,290195,1400683,290195l48387,290195c21717,290195,0,268478,0,241809l0,48388c0,21717,21717,0,48387,0x">
                  <v:stroke weight="0pt" endcap="flat" joinstyle="round" on="false" color="#000000" opacity="0"/>
                  <v:fill on="true" color="#ffffff"/>
                </v:shape>
                <v:shape id="Shape 16358" style="position:absolute;width:14490;height:2901;left:5549;top:34975;" coordsize="1449070,290195" path="m48387,0c21717,0,0,21717,0,48388l0,241809c0,268478,21717,290195,48387,290195l1400683,290195c1427353,290195,1449070,268478,1449070,241809l1449070,48388c1449070,21717,1427353,0,1400683,0x">
                  <v:stroke weight="0.75pt" endcap="round" joinstyle="round" on="true" color="#000000"/>
                  <v:fill on="false" color="#000000" opacity="0"/>
                </v:shape>
                <v:rect id="Rectangle 16359" style="position:absolute;width:5543;height:1811;left:10727;top:35969;" filled="f" stroked="f">
                  <v:textbox inset="0,0,0,0">
                    <w:txbxContent>
                      <w:p>
                        <w:pPr>
                          <w:spacing w:before="0" w:after="160" w:line="259" w:lineRule="auto"/>
                          <w:ind w:left="0" w:firstLine="0"/>
                          <w:jc w:val="left"/>
                        </w:pPr>
                        <w:r>
                          <w:rPr>
                            <w:rFonts w:cs="Times New Roman" w:hAnsi="Times New Roman" w:eastAsia="Times New Roman" w:ascii="Times New Roman"/>
                            <w:b w:val="1"/>
                            <w:i w:val="1"/>
                            <w:sz w:val="24"/>
                          </w:rPr>
                          <w:t xml:space="preserve">Конец</w:t>
                        </w:r>
                      </w:p>
                    </w:txbxContent>
                  </v:textbox>
                </v:rect>
                <v:rect id="Rectangle 16360" style="position:absolute;width:506;height:2243;left:14888;top:35643;" filled="f" stroked="f">
                  <v:textbox inset="0,0,0,0">
                    <w:txbxContent>
                      <w:p>
                        <w:pPr>
                          <w:spacing w:before="0" w:after="160" w:line="259" w:lineRule="auto"/>
                          <w:ind w:left="0" w:firstLine="0"/>
                          <w:jc w:val="left"/>
                        </w:pPr>
                        <w:r>
                          <w:rPr>
                            <w:rFonts w:cs="Times New Roman" w:hAnsi="Times New Roman" w:eastAsia="Times New Roman" w:ascii="Times New Roman"/>
                            <w:b w:val="1"/>
                            <w:i w:val="1"/>
                            <w:sz w:val="24"/>
                          </w:rPr>
                          <w:t xml:space="preserve"> </w:t>
                        </w:r>
                      </w:p>
                    </w:txbxContent>
                  </v:textbox>
                </v:rect>
                <v:shape id="Shape 16361" style="position:absolute;width:0;height:1949;left:12630;top:13296;" coordsize="0,194945" path="m0,0l0,194945">
                  <v:stroke weight="0.75pt" endcap="flat" joinstyle="round" on="true" color="#000000"/>
                  <v:fill on="false" color="#000000" opacity="0"/>
                </v:shape>
                <v:shape id="Shape 16362" style="position:absolute;width:0;height:2508;left:12630;top:21901;" coordsize="0,250825" path="m0,0l0,250825">
                  <v:stroke weight="0.75pt" endcap="flat" joinstyle="round" on="true" color="#000000"/>
                  <v:fill on="false" color="#000000" opacity="0"/>
                </v:shape>
                <v:shape id="Shape 704853" style="position:absolute;width:13455;height:2889;left:5727;top:10433;" coordsize="1345565,288925" path="m0,0l1345565,0l1345565,288925l0,288925l0,0">
                  <v:stroke weight="0pt" endcap="flat" joinstyle="round" on="false" color="#000000" opacity="0"/>
                  <v:fill on="true" color="#ffffff"/>
                </v:shape>
                <v:shape id="Shape 16371" style="position:absolute;width:13455;height:2889;left:5727;top:10433;" coordsize="1345565,288925" path="m0,288925l1345565,288925l1345565,0l0,0x">
                  <v:stroke weight="0.75pt" endcap="round" joinstyle="miter" miterlimit="8" on="true" color="#000000"/>
                  <v:fill on="false" color="#000000" opacity="0"/>
                </v:shape>
                <v:rect id="Rectangle 16372" style="position:absolute;width:11559;height:1845;left:7329;top:11312;"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Понимание Э</w:t>
                        </w:r>
                      </w:p>
                    </w:txbxContent>
                  </v:textbox>
                </v:rect>
                <v:rect id="Rectangle 16373" style="position:absolute;width:1126;height:1845;left:16015;top:11312;"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Т</w:t>
                        </w:r>
                      </w:p>
                    </w:txbxContent>
                  </v:textbox>
                </v:rect>
                <v:rect id="Rectangle 16374" style="position:absolute;width:1003;height:1845;left:16869;top:11312;"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З</w:t>
                        </w:r>
                      </w:p>
                    </w:txbxContent>
                  </v:textbox>
                </v:rect>
                <v:rect id="Rectangle 16375" style="position:absolute;width:506;height:2243;left:17616;top:11013;"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 </w:t>
                        </w:r>
                      </w:p>
                    </w:txbxContent>
                  </v:textbox>
                </v:rect>
                <v:shape id="Shape 704854" style="position:absolute;width:13455;height:2889;left:5924;top:24307;" coordsize="1345565,288925" path="m0,0l1345565,0l1345565,288925l0,288925l0,0">
                  <v:stroke weight="0pt" endcap="round" joinstyle="miter" miterlimit="8" on="false" color="#000000" opacity="0"/>
                  <v:fill on="true" color="#ffffff"/>
                </v:shape>
                <v:shape id="Shape 16377" style="position:absolute;width:13455;height:2889;left:5924;top:24307;" coordsize="1345565,288925" path="m0,288925l1345565,288925l1345565,0l0,0x">
                  <v:stroke weight="0.75pt" endcap="round" joinstyle="miter" miterlimit="8" on="true" color="#000000"/>
                  <v:fill on="false" color="#000000" opacity="0"/>
                </v:shape>
                <v:rect id="Rectangle 16378" style="position:absolute;width:4051;height:1845;left:6932;top:25183;"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Запо</w:t>
                        </w:r>
                      </w:p>
                    </w:txbxContent>
                  </v:textbox>
                </v:rect>
                <v:rect id="Rectangle 16379" style="position:absolute;width:9086;height:1845;left:9980;top:25183;"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минание Э</w:t>
                        </w:r>
                      </w:p>
                    </w:txbxContent>
                  </v:textbox>
                </v:rect>
                <v:rect id="Rectangle 16380" style="position:absolute;width:1126;height:1845;left:16808;top:25183;"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Т</w:t>
                        </w:r>
                      </w:p>
                    </w:txbxContent>
                  </v:textbox>
                </v:rect>
                <v:rect id="Rectangle 16381" style="position:absolute;width:1003;height:1845;left:17661;top:25183;"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З</w:t>
                        </w:r>
                      </w:p>
                    </w:txbxContent>
                  </v:textbox>
                </v:rect>
                <v:rect id="Rectangle 16382" style="position:absolute;width:506;height:2243;left:18408;top:24884;"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 </w:t>
                        </w:r>
                      </w:p>
                    </w:txbxContent>
                  </v:textbox>
                </v:rect>
                <v:shape id="Shape 16384" style="position:absolute;width:13455;height:3098;left:5924;top:29470;" coordsize="1345565,309880" path="m0,309880l1345565,309880l1345565,0l0,0x">
                  <v:stroke weight="0.75pt" endcap="round" joinstyle="miter" miterlimit="8" on="true" color="#000000"/>
                  <v:fill on="false" color="#000000" opacity="0"/>
                </v:shape>
                <v:rect id="Rectangle 16385" style="position:absolute;width:13041;height:1845;left:7755;top:30350;"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Обновление ОЗ</w:t>
                        </w:r>
                      </w:p>
                    </w:txbxContent>
                  </v:textbox>
                </v:rect>
                <v:rect id="Rectangle 16386" style="position:absolute;width:506;height:2243;left:17570;top:30050;"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 </w:t>
                        </w:r>
                      </w:p>
                    </w:txbxContent>
                  </v:textbox>
                </v:rect>
                <v:rect id="Rectangle 16387" style="position:absolute;width:2047;height:1845;left:9919;top:22727;"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да</w:t>
                        </w:r>
                      </w:p>
                    </w:txbxContent>
                  </v:textbox>
                </v:rect>
                <v:rect id="Rectangle 16388" style="position:absolute;width:506;height:2243;left:11459;top:22427;"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 </w:t>
                        </w:r>
                      </w:p>
                    </w:txbxContent>
                  </v:textbox>
                </v:rect>
                <v:rect id="Rectangle 16389" style="position:absolute;width:3366;height:1845;left:589;top:16524;"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нет</w:t>
                        </w:r>
                      </w:p>
                    </w:txbxContent>
                  </v:textbox>
                </v:rect>
                <v:rect id="Rectangle 16390" style="position:absolute;width:506;height:2243;left:3119;top:16225;"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 </w:t>
                        </w:r>
                      </w:p>
                    </w:txbxContent>
                  </v:textbox>
                </v:rect>
              </v:group>
            </w:pict>
          </mc:Fallback>
        </mc:AlternateContent>
      </w:r>
    </w:p>
    <w:p w:rsidR="002C0F56" w:rsidRDefault="00E67C6E">
      <w:pPr>
        <w:spacing w:after="48" w:line="271" w:lineRule="auto"/>
        <w:ind w:left="1165" w:right="396" w:hanging="10"/>
        <w:jc w:val="left"/>
      </w:pPr>
      <w:r>
        <w:rPr>
          <w:b/>
          <w:sz w:val="24"/>
        </w:rPr>
        <w:t xml:space="preserve">Рис. 1. Обобщенная блок-схема процесса приобретения знаний </w:t>
      </w:r>
    </w:p>
    <w:p w:rsidR="002C0F56" w:rsidRDefault="00E67C6E">
      <w:pPr>
        <w:spacing w:after="0" w:line="259" w:lineRule="auto"/>
        <w:ind w:left="0" w:right="2201" w:firstLine="0"/>
        <w:jc w:val="right"/>
      </w:pPr>
      <w:r>
        <w:t xml:space="preserve"> </w:t>
      </w:r>
    </w:p>
    <w:p w:rsidR="002C0F56" w:rsidRDefault="00E67C6E">
      <w:pPr>
        <w:ind w:left="165" w:right="302"/>
      </w:pPr>
      <w:r>
        <w:t xml:space="preserve">Процесс запоминания может быть представлен в виде следующей последовательности действий:  </w:t>
      </w:r>
    </w:p>
    <w:p w:rsidR="002C0F56" w:rsidRDefault="00E67C6E">
      <w:pPr>
        <w:spacing w:after="52" w:line="259" w:lineRule="auto"/>
        <w:ind w:left="744" w:firstLine="0"/>
        <w:jc w:val="left"/>
      </w:pPr>
      <w:r>
        <w:t xml:space="preserve"> </w:t>
      </w:r>
    </w:p>
    <w:p w:rsidR="002C0F56" w:rsidRDefault="00E67C6E">
      <w:pPr>
        <w:spacing w:after="5" w:line="269" w:lineRule="auto"/>
        <w:ind w:left="862" w:hanging="10"/>
        <w:jc w:val="left"/>
      </w:pPr>
      <w:r>
        <w:rPr>
          <w:i/>
        </w:rPr>
        <w:t>В</w:t>
      </w:r>
      <w:r>
        <w:rPr>
          <w:vertAlign w:val="subscript"/>
        </w:rPr>
        <w:t>1</w:t>
      </w:r>
      <w:r>
        <w:rPr>
          <w:i/>
        </w:rPr>
        <w:t xml:space="preserve"> </w:t>
      </w:r>
      <w:r>
        <w:rPr>
          <w:rFonts w:ascii="Segoe UI Symbol" w:eastAsia="Segoe UI Symbol" w:hAnsi="Segoe UI Symbol" w:cs="Segoe UI Symbol"/>
          <w:sz w:val="30"/>
        </w:rPr>
        <w:t></w:t>
      </w:r>
      <w:r>
        <w:rPr>
          <w:i/>
        </w:rPr>
        <w:t xml:space="preserve"> Ф</w:t>
      </w:r>
      <w:r>
        <w:rPr>
          <w:vertAlign w:val="subscript"/>
        </w:rPr>
        <w:t>1</w:t>
      </w:r>
      <w:r>
        <w:rPr>
          <w:i/>
        </w:rPr>
        <w:t xml:space="preserve"> </w:t>
      </w:r>
      <w:r>
        <w:rPr>
          <w:rFonts w:ascii="Segoe UI Symbol" w:eastAsia="Segoe UI Symbol" w:hAnsi="Segoe UI Symbol" w:cs="Segoe UI Symbol"/>
          <w:sz w:val="30"/>
        </w:rPr>
        <w:t></w:t>
      </w:r>
      <w:r>
        <w:rPr>
          <w:i/>
        </w:rPr>
        <w:t>О</w:t>
      </w:r>
      <w:r>
        <w:rPr>
          <w:vertAlign w:val="subscript"/>
        </w:rPr>
        <w:t>1</w:t>
      </w:r>
      <w:r>
        <w:rPr>
          <w:i/>
        </w:rPr>
        <w:t xml:space="preserve"> </w:t>
      </w:r>
      <w:r>
        <w:rPr>
          <w:rFonts w:ascii="Segoe UI Symbol" w:eastAsia="Segoe UI Symbol" w:hAnsi="Segoe UI Symbol" w:cs="Segoe UI Symbol"/>
          <w:sz w:val="30"/>
        </w:rPr>
        <w:t></w:t>
      </w:r>
      <w:r>
        <w:rPr>
          <w:i/>
        </w:rPr>
        <w:t>К</w:t>
      </w:r>
      <w:r>
        <w:rPr>
          <w:vertAlign w:val="subscript"/>
        </w:rPr>
        <w:t>1</w:t>
      </w:r>
      <w:r>
        <w:rPr>
          <w:rFonts w:ascii="Segoe UI Symbol" w:eastAsia="Segoe UI Symbol" w:hAnsi="Segoe UI Symbol" w:cs="Segoe UI Symbol"/>
          <w:sz w:val="30"/>
        </w:rPr>
        <w:t></w:t>
      </w:r>
      <w:r>
        <w:rPr>
          <w:i/>
        </w:rPr>
        <w:t xml:space="preserve"> В</w:t>
      </w:r>
      <w:r>
        <w:rPr>
          <w:vertAlign w:val="subscript"/>
        </w:rPr>
        <w:t>2</w:t>
      </w:r>
      <w:r>
        <w:rPr>
          <w:i/>
        </w:rPr>
        <w:t xml:space="preserve"> </w:t>
      </w:r>
      <w:r>
        <w:rPr>
          <w:rFonts w:ascii="Segoe UI Symbol" w:eastAsia="Segoe UI Symbol" w:hAnsi="Segoe UI Symbol" w:cs="Segoe UI Symbol"/>
          <w:sz w:val="30"/>
        </w:rPr>
        <w:t></w:t>
      </w:r>
      <w:r>
        <w:rPr>
          <w:i/>
        </w:rPr>
        <w:t xml:space="preserve"> Ф</w:t>
      </w:r>
      <w:r>
        <w:rPr>
          <w:vertAlign w:val="subscript"/>
        </w:rPr>
        <w:t>2</w:t>
      </w:r>
      <w:r>
        <w:rPr>
          <w:i/>
        </w:rPr>
        <w:t xml:space="preserve"> </w:t>
      </w:r>
      <w:r>
        <w:rPr>
          <w:rFonts w:ascii="Segoe UI Symbol" w:eastAsia="Segoe UI Symbol" w:hAnsi="Segoe UI Symbol" w:cs="Segoe UI Symbol"/>
          <w:sz w:val="30"/>
        </w:rPr>
        <w:t></w:t>
      </w:r>
      <w:r>
        <w:rPr>
          <w:i/>
        </w:rPr>
        <w:t>О</w:t>
      </w:r>
      <w:r>
        <w:rPr>
          <w:vertAlign w:val="subscript"/>
        </w:rPr>
        <w:t>2</w:t>
      </w:r>
      <w:r>
        <w:rPr>
          <w:i/>
        </w:rPr>
        <w:t xml:space="preserve"> </w:t>
      </w:r>
      <w:r>
        <w:rPr>
          <w:rFonts w:ascii="Segoe UI Symbol" w:eastAsia="Segoe UI Symbol" w:hAnsi="Segoe UI Symbol" w:cs="Segoe UI Symbol"/>
          <w:sz w:val="30"/>
        </w:rPr>
        <w:t></w:t>
      </w:r>
      <w:r>
        <w:rPr>
          <w:i/>
        </w:rPr>
        <w:t>К</w:t>
      </w:r>
      <w:r>
        <w:rPr>
          <w:vertAlign w:val="subscript"/>
        </w:rPr>
        <w:t>2</w:t>
      </w:r>
      <w:r>
        <w:rPr>
          <w:rFonts w:ascii="Segoe UI Symbol" w:eastAsia="Segoe UI Symbol" w:hAnsi="Segoe UI Symbol" w:cs="Segoe UI Symbol"/>
          <w:sz w:val="30"/>
        </w:rPr>
        <w:t></w:t>
      </w:r>
      <w:r>
        <w:rPr>
          <w:i/>
        </w:rPr>
        <w:t xml:space="preserve"> ... В</w:t>
      </w:r>
      <w:r>
        <w:rPr>
          <w:i/>
          <w:vertAlign w:val="subscript"/>
        </w:rPr>
        <w:t>i</w:t>
      </w:r>
      <w:r>
        <w:rPr>
          <w:i/>
        </w:rPr>
        <w:t xml:space="preserve"> </w:t>
      </w:r>
      <w:r>
        <w:rPr>
          <w:rFonts w:ascii="Segoe UI Symbol" w:eastAsia="Segoe UI Symbol" w:hAnsi="Segoe UI Symbol" w:cs="Segoe UI Symbol"/>
          <w:sz w:val="30"/>
        </w:rPr>
        <w:t></w:t>
      </w:r>
      <w:r>
        <w:rPr>
          <w:i/>
        </w:rPr>
        <w:t xml:space="preserve"> Ф</w:t>
      </w:r>
      <w:r>
        <w:rPr>
          <w:i/>
          <w:vertAlign w:val="subscript"/>
        </w:rPr>
        <w:t>i</w:t>
      </w:r>
      <w:r>
        <w:rPr>
          <w:i/>
        </w:rPr>
        <w:t xml:space="preserve"> </w:t>
      </w:r>
      <w:r>
        <w:rPr>
          <w:rFonts w:ascii="Segoe UI Symbol" w:eastAsia="Segoe UI Symbol" w:hAnsi="Segoe UI Symbol" w:cs="Segoe UI Symbol"/>
          <w:sz w:val="30"/>
        </w:rPr>
        <w:t></w:t>
      </w:r>
      <w:r>
        <w:rPr>
          <w:i/>
        </w:rPr>
        <w:t>О</w:t>
      </w:r>
      <w:r>
        <w:rPr>
          <w:i/>
          <w:vertAlign w:val="subscript"/>
        </w:rPr>
        <w:t>i</w:t>
      </w:r>
      <w:r>
        <w:rPr>
          <w:i/>
        </w:rPr>
        <w:t xml:space="preserve"> </w:t>
      </w:r>
      <w:r>
        <w:rPr>
          <w:rFonts w:ascii="Segoe UI Symbol" w:eastAsia="Segoe UI Symbol" w:hAnsi="Segoe UI Symbol" w:cs="Segoe UI Symbol"/>
          <w:sz w:val="30"/>
        </w:rPr>
        <w:t></w:t>
      </w:r>
      <w:r>
        <w:rPr>
          <w:i/>
        </w:rPr>
        <w:t>К</w:t>
      </w:r>
      <w:r>
        <w:rPr>
          <w:i/>
          <w:vertAlign w:val="subscript"/>
        </w:rPr>
        <w:t>i</w:t>
      </w:r>
      <w:r>
        <w:rPr>
          <w:rFonts w:ascii="Segoe UI Symbol" w:eastAsia="Segoe UI Symbol" w:hAnsi="Segoe UI Symbol" w:cs="Segoe UI Symbol"/>
          <w:sz w:val="30"/>
        </w:rPr>
        <w:t></w:t>
      </w:r>
      <w:r>
        <w:rPr>
          <w:i/>
        </w:rPr>
        <w:t xml:space="preserve"> </w:t>
      </w:r>
    </w:p>
    <w:p w:rsidR="002C0F56" w:rsidRDefault="00E67C6E">
      <w:pPr>
        <w:spacing w:after="5" w:line="269" w:lineRule="auto"/>
        <w:ind w:left="298" w:hanging="10"/>
        <w:jc w:val="left"/>
      </w:pPr>
      <w:r>
        <w:rPr>
          <w:i/>
        </w:rPr>
        <w:t>... В</w:t>
      </w:r>
      <w:r>
        <w:rPr>
          <w:i/>
          <w:vertAlign w:val="subscript"/>
        </w:rPr>
        <w:t>n</w:t>
      </w:r>
      <w:r>
        <w:rPr>
          <w:i/>
        </w:rPr>
        <w:t xml:space="preserve"> </w:t>
      </w:r>
      <w:r>
        <w:rPr>
          <w:rFonts w:ascii="Segoe UI Symbol" w:eastAsia="Segoe UI Symbol" w:hAnsi="Segoe UI Symbol" w:cs="Segoe UI Symbol"/>
          <w:sz w:val="30"/>
        </w:rPr>
        <w:t></w:t>
      </w:r>
      <w:r>
        <w:rPr>
          <w:i/>
        </w:rPr>
        <w:t xml:space="preserve"> Ф</w:t>
      </w:r>
      <w:r>
        <w:rPr>
          <w:i/>
          <w:vertAlign w:val="subscript"/>
        </w:rPr>
        <w:t>n</w:t>
      </w:r>
      <w:r>
        <w:rPr>
          <w:i/>
        </w:rPr>
        <w:t xml:space="preserve"> </w:t>
      </w:r>
      <w:r>
        <w:rPr>
          <w:rFonts w:ascii="Segoe UI Symbol" w:eastAsia="Segoe UI Symbol" w:hAnsi="Segoe UI Symbol" w:cs="Segoe UI Symbol"/>
          <w:sz w:val="30"/>
        </w:rPr>
        <w:t></w:t>
      </w:r>
      <w:r>
        <w:rPr>
          <w:i/>
        </w:rPr>
        <w:t>О</w:t>
      </w:r>
      <w:r>
        <w:rPr>
          <w:i/>
          <w:vertAlign w:val="subscript"/>
        </w:rPr>
        <w:t>n</w:t>
      </w:r>
      <w:r>
        <w:rPr>
          <w:i/>
        </w:rPr>
        <w:t xml:space="preserve"> </w:t>
      </w:r>
      <w:r>
        <w:rPr>
          <w:rFonts w:ascii="Segoe UI Symbol" w:eastAsia="Segoe UI Symbol" w:hAnsi="Segoe UI Symbol" w:cs="Segoe UI Symbol"/>
          <w:sz w:val="30"/>
        </w:rPr>
        <w:t></w:t>
      </w:r>
      <w:r>
        <w:rPr>
          <w:i/>
        </w:rPr>
        <w:t>К</w:t>
      </w:r>
      <w:r>
        <w:rPr>
          <w:i/>
          <w:vertAlign w:val="subscript"/>
        </w:rPr>
        <w:t xml:space="preserve">n </w:t>
      </w:r>
      <w:r>
        <w:t>,</w:t>
      </w:r>
      <w:r>
        <w:rPr>
          <w:i/>
        </w:rPr>
        <w:t xml:space="preserve">  </w:t>
      </w:r>
    </w:p>
    <w:p w:rsidR="002C0F56" w:rsidRDefault="00E67C6E">
      <w:pPr>
        <w:spacing w:after="26" w:line="259" w:lineRule="auto"/>
        <w:ind w:left="744" w:firstLine="0"/>
        <w:jc w:val="left"/>
      </w:pPr>
      <w:r>
        <w:t xml:space="preserve"> </w:t>
      </w:r>
    </w:p>
    <w:p w:rsidR="002C0F56" w:rsidRDefault="00E67C6E">
      <w:pPr>
        <w:ind w:left="165" w:right="302"/>
      </w:pPr>
      <w:r>
        <w:t xml:space="preserve">где </w:t>
      </w:r>
      <w:r>
        <w:rPr>
          <w:i/>
        </w:rPr>
        <w:t>В</w:t>
      </w:r>
      <w:r>
        <w:rPr>
          <w:i/>
          <w:vertAlign w:val="subscript"/>
        </w:rPr>
        <w:t>i</w:t>
      </w:r>
      <w:r>
        <w:rPr>
          <w:i/>
        </w:rPr>
        <w:t xml:space="preserve"> - </w:t>
      </w:r>
      <w:r>
        <w:t xml:space="preserve">восприятие эталона знаний (ЭТЗ) на шаге </w:t>
      </w:r>
      <w:r>
        <w:rPr>
          <w:i/>
        </w:rPr>
        <w:t>i</w:t>
      </w:r>
      <w:r>
        <w:t xml:space="preserve">; </w:t>
      </w:r>
      <w:r>
        <w:rPr>
          <w:i/>
        </w:rPr>
        <w:t>Ф</w:t>
      </w:r>
      <w:r>
        <w:rPr>
          <w:i/>
          <w:vertAlign w:val="subscript"/>
        </w:rPr>
        <w:t>i</w:t>
      </w:r>
      <w:r>
        <w:rPr>
          <w:i/>
        </w:rPr>
        <w:t xml:space="preserve"> -</w:t>
      </w:r>
      <w:r>
        <w:t xml:space="preserve"> формирование субъективного образа ЭТЗ на шаге </w:t>
      </w:r>
      <w:r>
        <w:rPr>
          <w:i/>
        </w:rPr>
        <w:t>i</w:t>
      </w:r>
      <w:r>
        <w:t xml:space="preserve">; </w:t>
      </w:r>
      <w:r>
        <w:rPr>
          <w:i/>
        </w:rPr>
        <w:t>О</w:t>
      </w:r>
      <w:r>
        <w:rPr>
          <w:i/>
          <w:vertAlign w:val="subscript"/>
        </w:rPr>
        <w:t>i</w:t>
      </w:r>
      <w:r>
        <w:rPr>
          <w:i/>
        </w:rPr>
        <w:t xml:space="preserve"> -</w:t>
      </w:r>
      <w:r>
        <w:t xml:space="preserve"> воспроизведение субъективного образа ЭТЗ на шаге </w:t>
      </w:r>
      <w:r>
        <w:rPr>
          <w:i/>
        </w:rPr>
        <w:t>i</w:t>
      </w:r>
      <w:r>
        <w:t xml:space="preserve">; </w:t>
      </w:r>
      <w:r>
        <w:rPr>
          <w:i/>
        </w:rPr>
        <w:t>К</w:t>
      </w:r>
      <w:r>
        <w:rPr>
          <w:i/>
          <w:vertAlign w:val="subscript"/>
        </w:rPr>
        <w:t>i</w:t>
      </w:r>
      <w:r>
        <w:rPr>
          <w:i/>
        </w:rPr>
        <w:t xml:space="preserve"> </w:t>
      </w:r>
      <w:r>
        <w:t xml:space="preserve">– </w:t>
      </w:r>
      <w:r>
        <w:t xml:space="preserve">сравнение (компарация) эталона знаний с воспроизведенным субъективным образом ЭТЗ на шаге </w:t>
      </w:r>
      <w:r>
        <w:rPr>
          <w:i/>
        </w:rPr>
        <w:t xml:space="preserve">i. </w:t>
      </w:r>
    </w:p>
    <w:p w:rsidR="002C0F56" w:rsidRDefault="00E67C6E">
      <w:pPr>
        <w:spacing w:after="14"/>
        <w:ind w:left="165" w:right="865"/>
      </w:pPr>
      <w:r>
        <w:t>Известно, что любая последовательность действий, направленных на достижение какой-либо цели является алгоритмом. Последовательность действий, направленную на прио</w:t>
      </w:r>
      <w:r>
        <w:t xml:space="preserve">бретение знаний (запоминание), будем называть </w:t>
      </w:r>
      <w:r>
        <w:lastRenderedPageBreak/>
        <w:t xml:space="preserve">алгоритмом запоминания (АЗ). Блок-схема этого алгоритма представлена на рис. 2. Данный алгоритм является алгоритмом циклического типа, который включает в себя действия, представленные на блок-схеме. </w:t>
      </w:r>
    </w:p>
    <w:p w:rsidR="002C0F56" w:rsidRDefault="00E67C6E">
      <w:pPr>
        <w:spacing w:after="0" w:line="259" w:lineRule="auto"/>
        <w:ind w:left="744" w:firstLine="0"/>
        <w:jc w:val="left"/>
      </w:pPr>
      <w:r>
        <w:t xml:space="preserve"> </w:t>
      </w:r>
    </w:p>
    <w:p w:rsidR="002C0F56" w:rsidRDefault="00E67C6E">
      <w:pPr>
        <w:spacing w:after="0" w:line="259" w:lineRule="auto"/>
        <w:ind w:left="1145" w:firstLine="0"/>
        <w:jc w:val="left"/>
      </w:pPr>
      <w:r>
        <w:rPr>
          <w:rFonts w:ascii="Calibri" w:eastAsia="Calibri" w:hAnsi="Calibri" w:cs="Calibri"/>
          <w:noProof/>
          <w:sz w:val="22"/>
        </w:rPr>
        <mc:AlternateContent>
          <mc:Choice Requires="wpg">
            <w:drawing>
              <wp:inline distT="0" distB="0" distL="0" distR="0">
                <wp:extent cx="3034919" cy="3675960"/>
                <wp:effectExtent l="0" t="0" r="0" b="0"/>
                <wp:docPr id="567027" name="Group 567027"/>
                <wp:cNvGraphicFramePr/>
                <a:graphic xmlns:a="http://schemas.openxmlformats.org/drawingml/2006/main">
                  <a:graphicData uri="http://schemas.microsoft.com/office/word/2010/wordprocessingGroup">
                    <wpg:wgp>
                      <wpg:cNvGrpSpPr/>
                      <wpg:grpSpPr>
                        <a:xfrm>
                          <a:off x="0" y="0"/>
                          <a:ext cx="3034919" cy="3675960"/>
                          <a:chOff x="0" y="0"/>
                          <a:chExt cx="3034919" cy="3675960"/>
                        </a:xfrm>
                      </wpg:grpSpPr>
                      <wps:wsp>
                        <wps:cNvPr id="16480" name="Shape 16480"/>
                        <wps:cNvSpPr/>
                        <wps:spPr>
                          <a:xfrm>
                            <a:off x="1453515" y="220345"/>
                            <a:ext cx="635" cy="150495"/>
                          </a:xfrm>
                          <a:custGeom>
                            <a:avLst/>
                            <a:gdLst/>
                            <a:ahLst/>
                            <a:cxnLst/>
                            <a:rect l="0" t="0" r="0" b="0"/>
                            <a:pathLst>
                              <a:path w="635" h="150495">
                                <a:moveTo>
                                  <a:pt x="0" y="0"/>
                                </a:moveTo>
                                <a:lnTo>
                                  <a:pt x="635" y="15049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481" name="Shape 16481"/>
                        <wps:cNvSpPr/>
                        <wps:spPr>
                          <a:xfrm>
                            <a:off x="994410" y="0"/>
                            <a:ext cx="913765" cy="225425"/>
                          </a:xfrm>
                          <a:custGeom>
                            <a:avLst/>
                            <a:gdLst/>
                            <a:ahLst/>
                            <a:cxnLst/>
                            <a:rect l="0" t="0" r="0" b="0"/>
                            <a:pathLst>
                              <a:path w="913765" h="225425">
                                <a:moveTo>
                                  <a:pt x="37592" y="0"/>
                                </a:moveTo>
                                <a:lnTo>
                                  <a:pt x="876173" y="0"/>
                                </a:lnTo>
                                <a:cubicBezTo>
                                  <a:pt x="897001" y="0"/>
                                  <a:pt x="913765" y="16764"/>
                                  <a:pt x="913765" y="37592"/>
                                </a:cubicBezTo>
                                <a:lnTo>
                                  <a:pt x="913765" y="187833"/>
                                </a:lnTo>
                                <a:cubicBezTo>
                                  <a:pt x="913765" y="208661"/>
                                  <a:pt x="897001" y="225425"/>
                                  <a:pt x="876173" y="225425"/>
                                </a:cubicBezTo>
                                <a:lnTo>
                                  <a:pt x="37592" y="225425"/>
                                </a:lnTo>
                                <a:cubicBezTo>
                                  <a:pt x="16764" y="225425"/>
                                  <a:pt x="0" y="208661"/>
                                  <a:pt x="0" y="187833"/>
                                </a:cubicBezTo>
                                <a:lnTo>
                                  <a:pt x="0" y="37592"/>
                                </a:lnTo>
                                <a:cubicBezTo>
                                  <a:pt x="0" y="16764"/>
                                  <a:pt x="16764" y="0"/>
                                  <a:pt x="37592" y="0"/>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16482" name="Shape 16482"/>
                        <wps:cNvSpPr/>
                        <wps:spPr>
                          <a:xfrm>
                            <a:off x="994410" y="0"/>
                            <a:ext cx="913765" cy="225425"/>
                          </a:xfrm>
                          <a:custGeom>
                            <a:avLst/>
                            <a:gdLst/>
                            <a:ahLst/>
                            <a:cxnLst/>
                            <a:rect l="0" t="0" r="0" b="0"/>
                            <a:pathLst>
                              <a:path w="913765" h="225425">
                                <a:moveTo>
                                  <a:pt x="37592" y="0"/>
                                </a:moveTo>
                                <a:cubicBezTo>
                                  <a:pt x="16764" y="0"/>
                                  <a:pt x="0" y="16764"/>
                                  <a:pt x="0" y="37592"/>
                                </a:cubicBezTo>
                                <a:lnTo>
                                  <a:pt x="0" y="187833"/>
                                </a:lnTo>
                                <a:cubicBezTo>
                                  <a:pt x="0" y="208661"/>
                                  <a:pt x="16764" y="225425"/>
                                  <a:pt x="37592" y="225425"/>
                                </a:cubicBezTo>
                                <a:lnTo>
                                  <a:pt x="876173" y="225425"/>
                                </a:lnTo>
                                <a:cubicBezTo>
                                  <a:pt x="897001" y="225425"/>
                                  <a:pt x="913765" y="208661"/>
                                  <a:pt x="913765" y="187833"/>
                                </a:cubicBezTo>
                                <a:lnTo>
                                  <a:pt x="913765" y="37592"/>
                                </a:lnTo>
                                <a:cubicBezTo>
                                  <a:pt x="913765" y="16764"/>
                                  <a:pt x="897001" y="0"/>
                                  <a:pt x="876173"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6483" name="Rectangle 16483"/>
                        <wps:cNvSpPr/>
                        <wps:spPr>
                          <a:xfrm>
                            <a:off x="1219581" y="83170"/>
                            <a:ext cx="613046" cy="158130"/>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Начал</w:t>
                              </w:r>
                              <w:r>
                                <w:rPr>
                                  <w:rFonts w:ascii="Arial" w:eastAsia="Arial" w:hAnsi="Arial" w:cs="Arial"/>
                                  <w:b/>
                                  <w:i/>
                                  <w:sz w:val="20"/>
                                </w:rPr>
                                <w:t>о</w:t>
                              </w:r>
                            </w:p>
                          </w:txbxContent>
                        </wps:txbx>
                        <wps:bodyPr horzOverflow="overflow" vert="horz" lIns="0" tIns="0" rIns="0" bIns="0" rtlCol="0">
                          <a:noAutofit/>
                        </wps:bodyPr>
                      </wps:wsp>
                      <wps:wsp>
                        <wps:cNvPr id="16484" name="Rectangle 16484"/>
                        <wps:cNvSpPr/>
                        <wps:spPr>
                          <a:xfrm>
                            <a:off x="1682877" y="60785"/>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704855" name="Shape 704855"/>
                        <wps:cNvSpPr/>
                        <wps:spPr>
                          <a:xfrm>
                            <a:off x="1014730" y="367664"/>
                            <a:ext cx="848995" cy="224790"/>
                          </a:xfrm>
                          <a:custGeom>
                            <a:avLst/>
                            <a:gdLst/>
                            <a:ahLst/>
                            <a:cxnLst/>
                            <a:rect l="0" t="0" r="0" b="0"/>
                            <a:pathLst>
                              <a:path w="848995" h="224790">
                                <a:moveTo>
                                  <a:pt x="0" y="0"/>
                                </a:moveTo>
                                <a:lnTo>
                                  <a:pt x="848995" y="0"/>
                                </a:lnTo>
                                <a:lnTo>
                                  <a:pt x="848995" y="224790"/>
                                </a:lnTo>
                                <a:lnTo>
                                  <a:pt x="0" y="224790"/>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16486" name="Shape 16486"/>
                        <wps:cNvSpPr/>
                        <wps:spPr>
                          <a:xfrm>
                            <a:off x="1014730" y="367664"/>
                            <a:ext cx="848995" cy="224790"/>
                          </a:xfrm>
                          <a:custGeom>
                            <a:avLst/>
                            <a:gdLst/>
                            <a:ahLst/>
                            <a:cxnLst/>
                            <a:rect l="0" t="0" r="0" b="0"/>
                            <a:pathLst>
                              <a:path w="848995" h="224790">
                                <a:moveTo>
                                  <a:pt x="0" y="224790"/>
                                </a:moveTo>
                                <a:lnTo>
                                  <a:pt x="848995" y="224790"/>
                                </a:lnTo>
                                <a:lnTo>
                                  <a:pt x="84899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487" name="Rectangle 16487"/>
                        <wps:cNvSpPr/>
                        <wps:spPr>
                          <a:xfrm>
                            <a:off x="1311021" y="423497"/>
                            <a:ext cx="247807"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i :=</w:t>
                              </w:r>
                            </w:p>
                          </w:txbxContent>
                        </wps:txbx>
                        <wps:bodyPr horzOverflow="overflow" vert="horz" lIns="0" tIns="0" rIns="0" bIns="0" rtlCol="0">
                          <a:noAutofit/>
                        </wps:bodyPr>
                      </wps:wsp>
                      <wps:wsp>
                        <wps:cNvPr id="16488" name="Rectangle 16488"/>
                        <wps:cNvSpPr/>
                        <wps:spPr>
                          <a:xfrm>
                            <a:off x="1496949" y="423497"/>
                            <a:ext cx="85267" cy="18758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1</w:t>
                              </w:r>
                            </w:p>
                          </w:txbxContent>
                        </wps:txbx>
                        <wps:bodyPr horzOverflow="overflow" vert="horz" lIns="0" tIns="0" rIns="0" bIns="0" rtlCol="0">
                          <a:noAutofit/>
                        </wps:bodyPr>
                      </wps:wsp>
                      <wps:wsp>
                        <wps:cNvPr id="16489" name="Rectangle 16489"/>
                        <wps:cNvSpPr/>
                        <wps:spPr>
                          <a:xfrm>
                            <a:off x="1568577" y="423497"/>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16491" name="Shape 16491"/>
                        <wps:cNvSpPr/>
                        <wps:spPr>
                          <a:xfrm>
                            <a:off x="760095" y="1884045"/>
                            <a:ext cx="1414145" cy="520700"/>
                          </a:xfrm>
                          <a:custGeom>
                            <a:avLst/>
                            <a:gdLst/>
                            <a:ahLst/>
                            <a:cxnLst/>
                            <a:rect l="0" t="0" r="0" b="0"/>
                            <a:pathLst>
                              <a:path w="1414145" h="520700">
                                <a:moveTo>
                                  <a:pt x="707009" y="0"/>
                                </a:moveTo>
                                <a:lnTo>
                                  <a:pt x="0" y="260350"/>
                                </a:lnTo>
                                <a:lnTo>
                                  <a:pt x="707009" y="520700"/>
                                </a:lnTo>
                                <a:lnTo>
                                  <a:pt x="1414145" y="26035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492" name="Rectangle 16492"/>
                        <wps:cNvSpPr/>
                        <wps:spPr>
                          <a:xfrm>
                            <a:off x="1127760" y="2127957"/>
                            <a:ext cx="748610" cy="186236"/>
                          </a:xfrm>
                          <a:prstGeom prst="rect">
                            <a:avLst/>
                          </a:prstGeom>
                          <a:ln>
                            <a:noFill/>
                          </a:ln>
                        </wps:spPr>
                        <wps:txbx>
                          <w:txbxContent>
                            <w:p w:rsidR="002C0F56" w:rsidRDefault="00E67C6E">
                              <w:pPr>
                                <w:spacing w:after="160" w:line="259" w:lineRule="auto"/>
                                <w:ind w:left="0" w:firstLine="0"/>
                                <w:jc w:val="left"/>
                              </w:pPr>
                              <w:r>
                                <w:rPr>
                                  <w:i/>
                                  <w:sz w:val="20"/>
                                </w:rPr>
                                <w:t>E(Xi , X) =</w:t>
                              </w:r>
                            </w:p>
                          </w:txbxContent>
                        </wps:txbx>
                        <wps:bodyPr horzOverflow="overflow" vert="horz" lIns="0" tIns="0" rIns="0" bIns="0" rtlCol="0">
                          <a:noAutofit/>
                        </wps:bodyPr>
                      </wps:wsp>
                      <wps:wsp>
                        <wps:cNvPr id="16493" name="Rectangle 16493"/>
                        <wps:cNvSpPr/>
                        <wps:spPr>
                          <a:xfrm>
                            <a:off x="1692021" y="2104873"/>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494" name="Rectangle 16494"/>
                        <wps:cNvSpPr/>
                        <wps:spPr>
                          <a:xfrm>
                            <a:off x="1730121" y="2104873"/>
                            <a:ext cx="101346" cy="224380"/>
                          </a:xfrm>
                          <a:prstGeom prst="rect">
                            <a:avLst/>
                          </a:prstGeom>
                          <a:ln>
                            <a:noFill/>
                          </a:ln>
                        </wps:spPr>
                        <wps:txbx>
                          <w:txbxContent>
                            <w:p w:rsidR="002C0F56" w:rsidRDefault="00E67C6E">
                              <w:pPr>
                                <w:spacing w:after="160" w:line="259" w:lineRule="auto"/>
                                <w:ind w:left="0" w:firstLine="0"/>
                                <w:jc w:val="left"/>
                              </w:pPr>
                              <w:r>
                                <w:rPr>
                                  <w:sz w:val="24"/>
                                </w:rPr>
                                <w:t>1</w:t>
                              </w:r>
                            </w:p>
                          </w:txbxContent>
                        </wps:txbx>
                        <wps:bodyPr horzOverflow="overflow" vert="horz" lIns="0" tIns="0" rIns="0" bIns="0" rtlCol="0">
                          <a:noAutofit/>
                        </wps:bodyPr>
                      </wps:wsp>
                      <wps:wsp>
                        <wps:cNvPr id="16495" name="Rectangle 16495"/>
                        <wps:cNvSpPr/>
                        <wps:spPr>
                          <a:xfrm>
                            <a:off x="1807845" y="2104873"/>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497" name="Shape 16497"/>
                        <wps:cNvSpPr/>
                        <wps:spPr>
                          <a:xfrm>
                            <a:off x="963930" y="2546350"/>
                            <a:ext cx="1043940" cy="168910"/>
                          </a:xfrm>
                          <a:custGeom>
                            <a:avLst/>
                            <a:gdLst/>
                            <a:ahLst/>
                            <a:cxnLst/>
                            <a:rect l="0" t="0" r="0" b="0"/>
                            <a:pathLst>
                              <a:path w="1043940" h="168910">
                                <a:moveTo>
                                  <a:pt x="0" y="168910"/>
                                </a:moveTo>
                                <a:lnTo>
                                  <a:pt x="1043940" y="168910"/>
                                </a:lnTo>
                                <a:lnTo>
                                  <a:pt x="104394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498" name="Rectangle 16498"/>
                        <wps:cNvSpPr/>
                        <wps:spPr>
                          <a:xfrm>
                            <a:off x="1222629" y="2557501"/>
                            <a:ext cx="107427" cy="224380"/>
                          </a:xfrm>
                          <a:prstGeom prst="rect">
                            <a:avLst/>
                          </a:prstGeom>
                          <a:ln>
                            <a:noFill/>
                          </a:ln>
                        </wps:spPr>
                        <wps:txbx>
                          <w:txbxContent>
                            <w:p w:rsidR="002C0F56" w:rsidRDefault="00E67C6E">
                              <w:pPr>
                                <w:spacing w:after="160" w:line="259" w:lineRule="auto"/>
                                <w:ind w:left="0" w:firstLine="0"/>
                                <w:jc w:val="left"/>
                              </w:pPr>
                              <w:r>
                                <w:rPr>
                                  <w:i/>
                                  <w:sz w:val="24"/>
                                </w:rPr>
                                <w:t xml:space="preserve">i </w:t>
                              </w:r>
                            </w:p>
                          </w:txbxContent>
                        </wps:txbx>
                        <wps:bodyPr horzOverflow="overflow" vert="horz" lIns="0" tIns="0" rIns="0" bIns="0" rtlCol="0">
                          <a:noAutofit/>
                        </wps:bodyPr>
                      </wps:wsp>
                      <wps:wsp>
                        <wps:cNvPr id="566946" name="Rectangle 566946"/>
                        <wps:cNvSpPr/>
                        <wps:spPr>
                          <a:xfrm>
                            <a:off x="1303401" y="2557501"/>
                            <a:ext cx="170660"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566947" name="Rectangle 566947"/>
                        <wps:cNvSpPr/>
                        <wps:spPr>
                          <a:xfrm>
                            <a:off x="1431722" y="2557501"/>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500" name="Rectangle 16500"/>
                        <wps:cNvSpPr/>
                        <wps:spPr>
                          <a:xfrm>
                            <a:off x="1469517" y="2557501"/>
                            <a:ext cx="107427" cy="224380"/>
                          </a:xfrm>
                          <a:prstGeom prst="rect">
                            <a:avLst/>
                          </a:prstGeom>
                          <a:ln>
                            <a:noFill/>
                          </a:ln>
                        </wps:spPr>
                        <wps:txbx>
                          <w:txbxContent>
                            <w:p w:rsidR="002C0F56" w:rsidRDefault="00E67C6E">
                              <w:pPr>
                                <w:spacing w:after="160" w:line="259" w:lineRule="auto"/>
                                <w:ind w:left="0" w:firstLine="0"/>
                                <w:jc w:val="left"/>
                              </w:pPr>
                              <w:r>
                                <w:rPr>
                                  <w:i/>
                                  <w:sz w:val="24"/>
                                </w:rPr>
                                <w:t xml:space="preserve">i </w:t>
                              </w:r>
                            </w:p>
                          </w:txbxContent>
                        </wps:txbx>
                        <wps:bodyPr horzOverflow="overflow" vert="horz" lIns="0" tIns="0" rIns="0" bIns="0" rtlCol="0">
                          <a:noAutofit/>
                        </wps:bodyPr>
                      </wps:wsp>
                      <wps:wsp>
                        <wps:cNvPr id="16501" name="Rectangle 16501"/>
                        <wps:cNvSpPr/>
                        <wps:spPr>
                          <a:xfrm>
                            <a:off x="1550289" y="2557501"/>
                            <a:ext cx="114311"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16502" name="Rectangle 16502"/>
                        <wps:cNvSpPr/>
                        <wps:spPr>
                          <a:xfrm>
                            <a:off x="1635633" y="2557501"/>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503" name="Rectangle 16503"/>
                        <wps:cNvSpPr/>
                        <wps:spPr>
                          <a:xfrm>
                            <a:off x="1673733" y="2557501"/>
                            <a:ext cx="101346" cy="224380"/>
                          </a:xfrm>
                          <a:prstGeom prst="rect">
                            <a:avLst/>
                          </a:prstGeom>
                          <a:ln>
                            <a:noFill/>
                          </a:ln>
                        </wps:spPr>
                        <wps:txbx>
                          <w:txbxContent>
                            <w:p w:rsidR="002C0F56" w:rsidRDefault="00E67C6E">
                              <w:pPr>
                                <w:spacing w:after="160" w:line="259" w:lineRule="auto"/>
                                <w:ind w:left="0" w:firstLine="0"/>
                                <w:jc w:val="left"/>
                              </w:pPr>
                              <w:r>
                                <w:rPr>
                                  <w:sz w:val="24"/>
                                </w:rPr>
                                <w:t>1</w:t>
                              </w:r>
                            </w:p>
                          </w:txbxContent>
                        </wps:txbx>
                        <wps:bodyPr horzOverflow="overflow" vert="horz" lIns="0" tIns="0" rIns="0" bIns="0" rtlCol="0">
                          <a:noAutofit/>
                        </wps:bodyPr>
                      </wps:wsp>
                      <wps:wsp>
                        <wps:cNvPr id="16504" name="Rectangle 16504"/>
                        <wps:cNvSpPr/>
                        <wps:spPr>
                          <a:xfrm>
                            <a:off x="1749933" y="2557501"/>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16505" name="Shape 16505"/>
                        <wps:cNvSpPr/>
                        <wps:spPr>
                          <a:xfrm>
                            <a:off x="1466215" y="2399030"/>
                            <a:ext cx="0" cy="147320"/>
                          </a:xfrm>
                          <a:custGeom>
                            <a:avLst/>
                            <a:gdLst/>
                            <a:ahLst/>
                            <a:cxnLst/>
                            <a:rect l="0" t="0" r="0" b="0"/>
                            <a:pathLst>
                              <a:path h="147320">
                                <a:moveTo>
                                  <a:pt x="0" y="0"/>
                                </a:moveTo>
                                <a:lnTo>
                                  <a:pt x="0" y="14732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06" name="Shape 16506"/>
                        <wps:cNvSpPr/>
                        <wps:spPr>
                          <a:xfrm>
                            <a:off x="1445260" y="587375"/>
                            <a:ext cx="0" cy="149860"/>
                          </a:xfrm>
                          <a:custGeom>
                            <a:avLst/>
                            <a:gdLst/>
                            <a:ahLst/>
                            <a:cxnLst/>
                            <a:rect l="0" t="0" r="0" b="0"/>
                            <a:pathLst>
                              <a:path h="149860">
                                <a:moveTo>
                                  <a:pt x="0" y="0"/>
                                </a:moveTo>
                                <a:lnTo>
                                  <a:pt x="0" y="14986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07" name="Shape 16507"/>
                        <wps:cNvSpPr/>
                        <wps:spPr>
                          <a:xfrm>
                            <a:off x="391795" y="2896235"/>
                            <a:ext cx="1075690" cy="0"/>
                          </a:xfrm>
                          <a:custGeom>
                            <a:avLst/>
                            <a:gdLst/>
                            <a:ahLst/>
                            <a:cxnLst/>
                            <a:rect l="0" t="0" r="0" b="0"/>
                            <a:pathLst>
                              <a:path w="1075690">
                                <a:moveTo>
                                  <a:pt x="1075690" y="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08" name="Shape 16508"/>
                        <wps:cNvSpPr/>
                        <wps:spPr>
                          <a:xfrm>
                            <a:off x="391160" y="661035"/>
                            <a:ext cx="0" cy="2227580"/>
                          </a:xfrm>
                          <a:custGeom>
                            <a:avLst/>
                            <a:gdLst/>
                            <a:ahLst/>
                            <a:cxnLst/>
                            <a:rect l="0" t="0" r="0" b="0"/>
                            <a:pathLst>
                              <a:path h="2227580">
                                <a:moveTo>
                                  <a:pt x="0" y="222758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09" name="Shape 16509"/>
                        <wps:cNvSpPr/>
                        <wps:spPr>
                          <a:xfrm>
                            <a:off x="391160" y="622935"/>
                            <a:ext cx="1054100" cy="76200"/>
                          </a:xfrm>
                          <a:custGeom>
                            <a:avLst/>
                            <a:gdLst/>
                            <a:ahLst/>
                            <a:cxnLst/>
                            <a:rect l="0" t="0" r="0" b="0"/>
                            <a:pathLst>
                              <a:path w="1054100" h="76200">
                                <a:moveTo>
                                  <a:pt x="977900" y="0"/>
                                </a:moveTo>
                                <a:lnTo>
                                  <a:pt x="1054100" y="38100"/>
                                </a:lnTo>
                                <a:lnTo>
                                  <a:pt x="977900" y="76200"/>
                                </a:lnTo>
                                <a:lnTo>
                                  <a:pt x="977900" y="44450"/>
                                </a:lnTo>
                                <a:lnTo>
                                  <a:pt x="0" y="44450"/>
                                </a:lnTo>
                                <a:lnTo>
                                  <a:pt x="0" y="31750"/>
                                </a:lnTo>
                                <a:lnTo>
                                  <a:pt x="977900" y="31750"/>
                                </a:lnTo>
                                <a:lnTo>
                                  <a:pt x="97790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6510" name="Shape 16510"/>
                        <wps:cNvSpPr/>
                        <wps:spPr>
                          <a:xfrm>
                            <a:off x="2152650" y="2153920"/>
                            <a:ext cx="600075" cy="0"/>
                          </a:xfrm>
                          <a:custGeom>
                            <a:avLst/>
                            <a:gdLst/>
                            <a:ahLst/>
                            <a:cxnLst/>
                            <a:rect l="0" t="0" r="0" b="0"/>
                            <a:pathLst>
                              <a:path w="600075">
                                <a:moveTo>
                                  <a:pt x="0" y="0"/>
                                </a:moveTo>
                                <a:lnTo>
                                  <a:pt x="60007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11" name="Shape 16511"/>
                        <wps:cNvSpPr/>
                        <wps:spPr>
                          <a:xfrm>
                            <a:off x="2747645" y="2153920"/>
                            <a:ext cx="0" cy="881380"/>
                          </a:xfrm>
                          <a:custGeom>
                            <a:avLst/>
                            <a:gdLst/>
                            <a:ahLst/>
                            <a:cxnLst/>
                            <a:rect l="0" t="0" r="0" b="0"/>
                            <a:pathLst>
                              <a:path h="881380">
                                <a:moveTo>
                                  <a:pt x="0" y="0"/>
                                </a:moveTo>
                                <a:lnTo>
                                  <a:pt x="0" y="88138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12" name="Shape 16512"/>
                        <wps:cNvSpPr/>
                        <wps:spPr>
                          <a:xfrm>
                            <a:off x="1467485" y="3035300"/>
                            <a:ext cx="1281430" cy="0"/>
                          </a:xfrm>
                          <a:custGeom>
                            <a:avLst/>
                            <a:gdLst/>
                            <a:ahLst/>
                            <a:cxnLst/>
                            <a:rect l="0" t="0" r="0" b="0"/>
                            <a:pathLst>
                              <a:path w="1281430">
                                <a:moveTo>
                                  <a:pt x="1281430" y="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13" name="Shape 16513"/>
                        <wps:cNvSpPr/>
                        <wps:spPr>
                          <a:xfrm>
                            <a:off x="1467485" y="2717800"/>
                            <a:ext cx="0" cy="178435"/>
                          </a:xfrm>
                          <a:custGeom>
                            <a:avLst/>
                            <a:gdLst/>
                            <a:ahLst/>
                            <a:cxnLst/>
                            <a:rect l="0" t="0" r="0" b="0"/>
                            <a:pathLst>
                              <a:path h="178435">
                                <a:moveTo>
                                  <a:pt x="0" y="0"/>
                                </a:moveTo>
                                <a:lnTo>
                                  <a:pt x="0" y="17843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14" name="Shape 16514"/>
                        <wps:cNvSpPr/>
                        <wps:spPr>
                          <a:xfrm>
                            <a:off x="1467485" y="3035300"/>
                            <a:ext cx="0" cy="179070"/>
                          </a:xfrm>
                          <a:custGeom>
                            <a:avLst/>
                            <a:gdLst/>
                            <a:ahLst/>
                            <a:cxnLst/>
                            <a:rect l="0" t="0" r="0" b="0"/>
                            <a:pathLst>
                              <a:path h="179070">
                                <a:moveTo>
                                  <a:pt x="0" y="0"/>
                                </a:moveTo>
                                <a:lnTo>
                                  <a:pt x="0" y="17907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15" name="Shape 16515"/>
                        <wps:cNvSpPr/>
                        <wps:spPr>
                          <a:xfrm>
                            <a:off x="1012825" y="3214370"/>
                            <a:ext cx="913765" cy="226060"/>
                          </a:xfrm>
                          <a:custGeom>
                            <a:avLst/>
                            <a:gdLst/>
                            <a:ahLst/>
                            <a:cxnLst/>
                            <a:rect l="0" t="0" r="0" b="0"/>
                            <a:pathLst>
                              <a:path w="913765" h="226060">
                                <a:moveTo>
                                  <a:pt x="37719" y="0"/>
                                </a:moveTo>
                                <a:lnTo>
                                  <a:pt x="876046" y="0"/>
                                </a:lnTo>
                                <a:cubicBezTo>
                                  <a:pt x="896874" y="0"/>
                                  <a:pt x="913765" y="16891"/>
                                  <a:pt x="913765" y="37719"/>
                                </a:cubicBezTo>
                                <a:lnTo>
                                  <a:pt x="913765" y="188341"/>
                                </a:lnTo>
                                <a:cubicBezTo>
                                  <a:pt x="913765" y="209169"/>
                                  <a:pt x="896874" y="226060"/>
                                  <a:pt x="876046" y="226060"/>
                                </a:cubicBezTo>
                                <a:lnTo>
                                  <a:pt x="37719" y="226060"/>
                                </a:lnTo>
                                <a:cubicBezTo>
                                  <a:pt x="16891" y="226060"/>
                                  <a:pt x="0" y="209169"/>
                                  <a:pt x="0" y="188341"/>
                                </a:cubicBezTo>
                                <a:lnTo>
                                  <a:pt x="0" y="37719"/>
                                </a:lnTo>
                                <a:cubicBezTo>
                                  <a:pt x="0" y="16891"/>
                                  <a:pt x="16891" y="0"/>
                                  <a:pt x="37719" y="0"/>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16516" name="Shape 16516"/>
                        <wps:cNvSpPr/>
                        <wps:spPr>
                          <a:xfrm>
                            <a:off x="1012825" y="3214370"/>
                            <a:ext cx="913765" cy="226060"/>
                          </a:xfrm>
                          <a:custGeom>
                            <a:avLst/>
                            <a:gdLst/>
                            <a:ahLst/>
                            <a:cxnLst/>
                            <a:rect l="0" t="0" r="0" b="0"/>
                            <a:pathLst>
                              <a:path w="913765" h="226060">
                                <a:moveTo>
                                  <a:pt x="37719" y="0"/>
                                </a:moveTo>
                                <a:cubicBezTo>
                                  <a:pt x="16891" y="0"/>
                                  <a:pt x="0" y="16891"/>
                                  <a:pt x="0" y="37719"/>
                                </a:cubicBezTo>
                                <a:lnTo>
                                  <a:pt x="0" y="188341"/>
                                </a:lnTo>
                                <a:cubicBezTo>
                                  <a:pt x="0" y="209169"/>
                                  <a:pt x="16891" y="226060"/>
                                  <a:pt x="37719" y="226060"/>
                                </a:cubicBezTo>
                                <a:lnTo>
                                  <a:pt x="876046" y="226060"/>
                                </a:lnTo>
                                <a:cubicBezTo>
                                  <a:pt x="896874" y="226060"/>
                                  <a:pt x="913765" y="209169"/>
                                  <a:pt x="913765" y="188341"/>
                                </a:cubicBezTo>
                                <a:lnTo>
                                  <a:pt x="913765" y="37719"/>
                                </a:lnTo>
                                <a:cubicBezTo>
                                  <a:pt x="913765" y="16891"/>
                                  <a:pt x="896874" y="0"/>
                                  <a:pt x="876046"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6517" name="Rectangle 16517"/>
                        <wps:cNvSpPr/>
                        <wps:spPr>
                          <a:xfrm>
                            <a:off x="1297305" y="3296130"/>
                            <a:ext cx="460922" cy="142889"/>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8"/>
                                </w:rPr>
                                <w:t>Конец</w:t>
                              </w:r>
                            </w:p>
                          </w:txbxContent>
                        </wps:txbx>
                        <wps:bodyPr horzOverflow="overflow" vert="horz" lIns="0" tIns="0" rIns="0" bIns="0" rtlCol="0">
                          <a:noAutofit/>
                        </wps:bodyPr>
                      </wps:wsp>
                      <wps:wsp>
                        <wps:cNvPr id="16518" name="Rectangle 16518"/>
                        <wps:cNvSpPr/>
                        <wps:spPr>
                          <a:xfrm>
                            <a:off x="1643253" y="3275902"/>
                            <a:ext cx="42236" cy="16950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8"/>
                                </w:rPr>
                                <w:t xml:space="preserve"> </w:t>
                              </w:r>
                            </w:p>
                          </w:txbxContent>
                        </wps:txbx>
                        <wps:bodyPr horzOverflow="overflow" vert="horz" lIns="0" tIns="0" rIns="0" bIns="0" rtlCol="0">
                          <a:noAutofit/>
                        </wps:bodyPr>
                      </wps:wsp>
                      <wps:wsp>
                        <wps:cNvPr id="16519" name="Shape 16519"/>
                        <wps:cNvSpPr/>
                        <wps:spPr>
                          <a:xfrm>
                            <a:off x="1445260" y="949960"/>
                            <a:ext cx="0" cy="151765"/>
                          </a:xfrm>
                          <a:custGeom>
                            <a:avLst/>
                            <a:gdLst/>
                            <a:ahLst/>
                            <a:cxnLst/>
                            <a:rect l="0" t="0" r="0" b="0"/>
                            <a:pathLst>
                              <a:path h="151765">
                                <a:moveTo>
                                  <a:pt x="0" y="0"/>
                                </a:moveTo>
                                <a:lnTo>
                                  <a:pt x="0" y="15176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20" name="Shape 16520"/>
                        <wps:cNvSpPr/>
                        <wps:spPr>
                          <a:xfrm>
                            <a:off x="1438910" y="1322070"/>
                            <a:ext cx="0" cy="146685"/>
                          </a:xfrm>
                          <a:custGeom>
                            <a:avLst/>
                            <a:gdLst/>
                            <a:ahLst/>
                            <a:cxnLst/>
                            <a:rect l="0" t="0" r="0" b="0"/>
                            <a:pathLst>
                              <a:path h="146685">
                                <a:moveTo>
                                  <a:pt x="0" y="0"/>
                                </a:moveTo>
                                <a:lnTo>
                                  <a:pt x="0" y="14668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21" name="Shape 16521"/>
                        <wps:cNvSpPr/>
                        <wps:spPr>
                          <a:xfrm>
                            <a:off x="1466215" y="1689100"/>
                            <a:ext cx="0" cy="196215"/>
                          </a:xfrm>
                          <a:custGeom>
                            <a:avLst/>
                            <a:gdLst/>
                            <a:ahLst/>
                            <a:cxnLst/>
                            <a:rect l="0" t="0" r="0" b="0"/>
                            <a:pathLst>
                              <a:path h="196215">
                                <a:moveTo>
                                  <a:pt x="0" y="0"/>
                                </a:moveTo>
                                <a:lnTo>
                                  <a:pt x="0" y="19621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6523" name="Rectangle 16523"/>
                        <wps:cNvSpPr/>
                        <wps:spPr>
                          <a:xfrm>
                            <a:off x="0" y="3539783"/>
                            <a:ext cx="1099604" cy="181116"/>
                          </a:xfrm>
                          <a:prstGeom prst="rect">
                            <a:avLst/>
                          </a:prstGeom>
                          <a:ln>
                            <a:noFill/>
                          </a:ln>
                        </wps:spPr>
                        <wps:txbx>
                          <w:txbxContent>
                            <w:p w:rsidR="002C0F56" w:rsidRDefault="00E67C6E">
                              <w:pPr>
                                <w:spacing w:after="160" w:line="259" w:lineRule="auto"/>
                                <w:ind w:left="0" w:firstLine="0"/>
                                <w:jc w:val="left"/>
                              </w:pPr>
                              <w:r>
                                <w:rPr>
                                  <w:b/>
                                  <w:sz w:val="24"/>
                                </w:rPr>
                                <w:t>Рис. 2. Блок</w:t>
                              </w:r>
                            </w:p>
                          </w:txbxContent>
                        </wps:txbx>
                        <wps:bodyPr horzOverflow="overflow" vert="horz" lIns="0" tIns="0" rIns="0" bIns="0" rtlCol="0">
                          <a:noAutofit/>
                        </wps:bodyPr>
                      </wps:wsp>
                      <wps:wsp>
                        <wps:cNvPr id="16524" name="Rectangle 16524"/>
                        <wps:cNvSpPr/>
                        <wps:spPr>
                          <a:xfrm>
                            <a:off x="827532" y="3507207"/>
                            <a:ext cx="67498" cy="224380"/>
                          </a:xfrm>
                          <a:prstGeom prst="rect">
                            <a:avLst/>
                          </a:prstGeom>
                          <a:ln>
                            <a:noFill/>
                          </a:ln>
                        </wps:spPr>
                        <wps:txbx>
                          <w:txbxContent>
                            <w:p w:rsidR="002C0F56" w:rsidRDefault="00E67C6E">
                              <w:pPr>
                                <w:spacing w:after="160" w:line="259" w:lineRule="auto"/>
                                <w:ind w:left="0" w:firstLine="0"/>
                                <w:jc w:val="left"/>
                              </w:pPr>
                              <w:r>
                                <w:rPr>
                                  <w:b/>
                                  <w:sz w:val="24"/>
                                </w:rPr>
                                <w:t>-</w:t>
                              </w:r>
                            </w:p>
                          </w:txbxContent>
                        </wps:txbx>
                        <wps:bodyPr horzOverflow="overflow" vert="horz" lIns="0" tIns="0" rIns="0" bIns="0" rtlCol="0">
                          <a:noAutofit/>
                        </wps:bodyPr>
                      </wps:wsp>
                      <wps:wsp>
                        <wps:cNvPr id="16525" name="Rectangle 16525"/>
                        <wps:cNvSpPr/>
                        <wps:spPr>
                          <a:xfrm>
                            <a:off x="877824" y="3539783"/>
                            <a:ext cx="2817824" cy="181116"/>
                          </a:xfrm>
                          <a:prstGeom prst="rect">
                            <a:avLst/>
                          </a:prstGeom>
                          <a:ln>
                            <a:noFill/>
                          </a:ln>
                        </wps:spPr>
                        <wps:txbx>
                          <w:txbxContent>
                            <w:p w:rsidR="002C0F56" w:rsidRDefault="00E67C6E">
                              <w:pPr>
                                <w:spacing w:after="160" w:line="259" w:lineRule="auto"/>
                                <w:ind w:left="0" w:firstLine="0"/>
                                <w:jc w:val="left"/>
                              </w:pPr>
                              <w:r>
                                <w:rPr>
                                  <w:b/>
                                  <w:sz w:val="24"/>
                                </w:rPr>
                                <w:t>схема алгоритма запоминания</w:t>
                              </w:r>
                            </w:p>
                          </w:txbxContent>
                        </wps:txbx>
                        <wps:bodyPr horzOverflow="overflow" vert="horz" lIns="0" tIns="0" rIns="0" bIns="0" rtlCol="0">
                          <a:noAutofit/>
                        </wps:bodyPr>
                      </wps:wsp>
                      <wps:wsp>
                        <wps:cNvPr id="16526" name="Rectangle 16526"/>
                        <wps:cNvSpPr/>
                        <wps:spPr>
                          <a:xfrm>
                            <a:off x="2996819" y="3507207"/>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704856" name="Shape 704856"/>
                        <wps:cNvSpPr/>
                        <wps:spPr>
                          <a:xfrm>
                            <a:off x="1042670" y="728980"/>
                            <a:ext cx="848995" cy="226060"/>
                          </a:xfrm>
                          <a:custGeom>
                            <a:avLst/>
                            <a:gdLst/>
                            <a:ahLst/>
                            <a:cxnLst/>
                            <a:rect l="0" t="0" r="0" b="0"/>
                            <a:pathLst>
                              <a:path w="848995" h="226060">
                                <a:moveTo>
                                  <a:pt x="0" y="0"/>
                                </a:moveTo>
                                <a:lnTo>
                                  <a:pt x="848995" y="0"/>
                                </a:lnTo>
                                <a:lnTo>
                                  <a:pt x="848995" y="226060"/>
                                </a:lnTo>
                                <a:lnTo>
                                  <a:pt x="0" y="226060"/>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528" name="Shape 16528"/>
                        <wps:cNvSpPr/>
                        <wps:spPr>
                          <a:xfrm>
                            <a:off x="1042670" y="728980"/>
                            <a:ext cx="848995" cy="226060"/>
                          </a:xfrm>
                          <a:custGeom>
                            <a:avLst/>
                            <a:gdLst/>
                            <a:ahLst/>
                            <a:cxnLst/>
                            <a:rect l="0" t="0" r="0" b="0"/>
                            <a:pathLst>
                              <a:path w="848995" h="226060">
                                <a:moveTo>
                                  <a:pt x="0" y="226060"/>
                                </a:moveTo>
                                <a:lnTo>
                                  <a:pt x="848995" y="226060"/>
                                </a:lnTo>
                                <a:lnTo>
                                  <a:pt x="84899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529" name="Rectangle 16529"/>
                        <wps:cNvSpPr/>
                        <wps:spPr>
                          <a:xfrm>
                            <a:off x="1405509" y="807451"/>
                            <a:ext cx="168384" cy="158130"/>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Вi</w:t>
                              </w:r>
                            </w:p>
                          </w:txbxContent>
                        </wps:txbx>
                        <wps:bodyPr horzOverflow="overflow" vert="horz" lIns="0" tIns="0" rIns="0" bIns="0" rtlCol="0">
                          <a:noAutofit/>
                        </wps:bodyPr>
                      </wps:wsp>
                      <wps:wsp>
                        <wps:cNvPr id="16530" name="Rectangle 16530"/>
                        <wps:cNvSpPr/>
                        <wps:spPr>
                          <a:xfrm>
                            <a:off x="1532001" y="785065"/>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704857" name="Shape 704857"/>
                        <wps:cNvSpPr/>
                        <wps:spPr>
                          <a:xfrm>
                            <a:off x="1042670" y="1101725"/>
                            <a:ext cx="848995" cy="225425"/>
                          </a:xfrm>
                          <a:custGeom>
                            <a:avLst/>
                            <a:gdLst/>
                            <a:ahLst/>
                            <a:cxnLst/>
                            <a:rect l="0" t="0" r="0" b="0"/>
                            <a:pathLst>
                              <a:path w="848995" h="225425">
                                <a:moveTo>
                                  <a:pt x="0" y="0"/>
                                </a:moveTo>
                                <a:lnTo>
                                  <a:pt x="848995" y="0"/>
                                </a:lnTo>
                                <a:lnTo>
                                  <a:pt x="848995" y="225425"/>
                                </a:lnTo>
                                <a:lnTo>
                                  <a:pt x="0" y="225425"/>
                                </a:lnTo>
                                <a:lnTo>
                                  <a:pt x="0" y="0"/>
                                </a:lnTo>
                              </a:path>
                            </a:pathLst>
                          </a:custGeom>
                          <a:ln w="0" cap="rnd">
                            <a:miter lim="101600"/>
                          </a:ln>
                        </wps:spPr>
                        <wps:style>
                          <a:lnRef idx="0">
                            <a:srgbClr val="000000">
                              <a:alpha val="0"/>
                            </a:srgbClr>
                          </a:lnRef>
                          <a:fillRef idx="1">
                            <a:srgbClr val="FFFFFF"/>
                          </a:fillRef>
                          <a:effectRef idx="0">
                            <a:scrgbClr r="0" g="0" b="0"/>
                          </a:effectRef>
                          <a:fontRef idx="none"/>
                        </wps:style>
                        <wps:bodyPr/>
                      </wps:wsp>
                      <wps:wsp>
                        <wps:cNvPr id="16532" name="Shape 16532"/>
                        <wps:cNvSpPr/>
                        <wps:spPr>
                          <a:xfrm>
                            <a:off x="1042670" y="1101725"/>
                            <a:ext cx="848995" cy="225425"/>
                          </a:xfrm>
                          <a:custGeom>
                            <a:avLst/>
                            <a:gdLst/>
                            <a:ahLst/>
                            <a:cxnLst/>
                            <a:rect l="0" t="0" r="0" b="0"/>
                            <a:pathLst>
                              <a:path w="848995" h="225425">
                                <a:moveTo>
                                  <a:pt x="0" y="225425"/>
                                </a:moveTo>
                                <a:lnTo>
                                  <a:pt x="848995" y="225425"/>
                                </a:lnTo>
                                <a:lnTo>
                                  <a:pt x="84899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533" name="Rectangle 16533"/>
                        <wps:cNvSpPr/>
                        <wps:spPr>
                          <a:xfrm>
                            <a:off x="1400937" y="1179307"/>
                            <a:ext cx="178518" cy="158130"/>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Фi</w:t>
                              </w:r>
                            </w:p>
                          </w:txbxContent>
                        </wps:txbx>
                        <wps:bodyPr horzOverflow="overflow" vert="horz" lIns="0" tIns="0" rIns="0" bIns="0" rtlCol="0">
                          <a:noAutofit/>
                        </wps:bodyPr>
                      </wps:wsp>
                      <wps:wsp>
                        <wps:cNvPr id="16534" name="Rectangle 16534"/>
                        <wps:cNvSpPr/>
                        <wps:spPr>
                          <a:xfrm>
                            <a:off x="1535049" y="1156922"/>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704858" name="Shape 704858"/>
                        <wps:cNvSpPr/>
                        <wps:spPr>
                          <a:xfrm>
                            <a:off x="1042670" y="1468755"/>
                            <a:ext cx="848995" cy="225425"/>
                          </a:xfrm>
                          <a:custGeom>
                            <a:avLst/>
                            <a:gdLst/>
                            <a:ahLst/>
                            <a:cxnLst/>
                            <a:rect l="0" t="0" r="0" b="0"/>
                            <a:pathLst>
                              <a:path w="848995" h="225425">
                                <a:moveTo>
                                  <a:pt x="0" y="0"/>
                                </a:moveTo>
                                <a:lnTo>
                                  <a:pt x="848995" y="0"/>
                                </a:lnTo>
                                <a:lnTo>
                                  <a:pt x="848995" y="225425"/>
                                </a:lnTo>
                                <a:lnTo>
                                  <a:pt x="0" y="225425"/>
                                </a:lnTo>
                                <a:lnTo>
                                  <a:pt x="0" y="0"/>
                                </a:lnTo>
                              </a:path>
                            </a:pathLst>
                          </a:custGeom>
                          <a:ln w="0" cap="rnd">
                            <a:miter lim="101600"/>
                          </a:ln>
                        </wps:spPr>
                        <wps:style>
                          <a:lnRef idx="0">
                            <a:srgbClr val="000000">
                              <a:alpha val="0"/>
                            </a:srgbClr>
                          </a:lnRef>
                          <a:fillRef idx="1">
                            <a:srgbClr val="FFFFFF"/>
                          </a:fillRef>
                          <a:effectRef idx="0">
                            <a:scrgbClr r="0" g="0" b="0"/>
                          </a:effectRef>
                          <a:fontRef idx="none"/>
                        </wps:style>
                        <wps:bodyPr/>
                      </wps:wsp>
                      <wps:wsp>
                        <wps:cNvPr id="16536" name="Shape 16536"/>
                        <wps:cNvSpPr/>
                        <wps:spPr>
                          <a:xfrm>
                            <a:off x="1042670" y="1468755"/>
                            <a:ext cx="848995" cy="225425"/>
                          </a:xfrm>
                          <a:custGeom>
                            <a:avLst/>
                            <a:gdLst/>
                            <a:ahLst/>
                            <a:cxnLst/>
                            <a:rect l="0" t="0" r="0" b="0"/>
                            <a:pathLst>
                              <a:path w="848995" h="225425">
                                <a:moveTo>
                                  <a:pt x="0" y="225425"/>
                                </a:moveTo>
                                <a:lnTo>
                                  <a:pt x="848995" y="225425"/>
                                </a:lnTo>
                                <a:lnTo>
                                  <a:pt x="84899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537" name="Rectangle 16537"/>
                        <wps:cNvSpPr/>
                        <wps:spPr>
                          <a:xfrm>
                            <a:off x="1400937" y="1546591"/>
                            <a:ext cx="178519" cy="158130"/>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Оi</w:t>
                              </w:r>
                            </w:p>
                          </w:txbxContent>
                        </wps:txbx>
                        <wps:bodyPr horzOverflow="overflow" vert="horz" lIns="0" tIns="0" rIns="0" bIns="0" rtlCol="0">
                          <a:noAutofit/>
                        </wps:bodyPr>
                      </wps:wsp>
                      <wps:wsp>
                        <wps:cNvPr id="16538" name="Rectangle 16538"/>
                        <wps:cNvSpPr/>
                        <wps:spPr>
                          <a:xfrm>
                            <a:off x="1535049" y="1524205"/>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16539" name="Rectangle 16539"/>
                        <wps:cNvSpPr/>
                        <wps:spPr>
                          <a:xfrm>
                            <a:off x="1107948" y="2431725"/>
                            <a:ext cx="279605" cy="153202"/>
                          </a:xfrm>
                          <a:prstGeom prst="rect">
                            <a:avLst/>
                          </a:prstGeom>
                          <a:ln>
                            <a:noFill/>
                          </a:ln>
                        </wps:spPr>
                        <wps:txbx>
                          <w:txbxContent>
                            <w:p w:rsidR="002C0F56" w:rsidRDefault="00E67C6E">
                              <w:pPr>
                                <w:spacing w:after="160" w:line="259" w:lineRule="auto"/>
                                <w:ind w:left="0" w:firstLine="0"/>
                                <w:jc w:val="left"/>
                              </w:pPr>
                              <w:r>
                                <w:rPr>
                                  <w:i/>
                                  <w:sz w:val="20"/>
                                </w:rPr>
                                <w:t>нет</w:t>
                              </w:r>
                            </w:p>
                          </w:txbxContent>
                        </wps:txbx>
                        <wps:bodyPr horzOverflow="overflow" vert="horz" lIns="0" tIns="0" rIns="0" bIns="0" rtlCol="0">
                          <a:noAutofit/>
                        </wps:bodyPr>
                      </wps:wsp>
                      <wps:wsp>
                        <wps:cNvPr id="16540" name="Rectangle 16540"/>
                        <wps:cNvSpPr/>
                        <wps:spPr>
                          <a:xfrm>
                            <a:off x="1320165" y="2406849"/>
                            <a:ext cx="42059" cy="186236"/>
                          </a:xfrm>
                          <a:prstGeom prst="rect">
                            <a:avLst/>
                          </a:prstGeom>
                          <a:ln>
                            <a:noFill/>
                          </a:ln>
                        </wps:spPr>
                        <wps:txbx>
                          <w:txbxContent>
                            <w:p w:rsidR="002C0F56" w:rsidRDefault="00E67C6E">
                              <w:pPr>
                                <w:spacing w:after="160" w:line="259" w:lineRule="auto"/>
                                <w:ind w:left="0" w:firstLine="0"/>
                                <w:jc w:val="left"/>
                              </w:pPr>
                              <w:r>
                                <w:rPr>
                                  <w:i/>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67027" style="width:238.97pt;height:289.446pt;mso-position-horizontal-relative:char;mso-position-vertical-relative:line" coordsize="30349,36759">
                <v:shape id="Shape 16480" style="position:absolute;width:6;height:1504;left:14535;top:2203;" coordsize="635,150495" path="m0,0l635,150495">
                  <v:stroke weight="0.75pt" endcap="flat" joinstyle="round" on="true" color="#000000"/>
                  <v:fill on="false" color="#000000" opacity="0"/>
                </v:shape>
                <v:shape id="Shape 16481" style="position:absolute;width:9137;height:2254;left:9944;top:0;" coordsize="913765,225425" path="m37592,0l876173,0c897001,0,913765,16764,913765,37592l913765,187833c913765,208661,897001,225425,876173,225425l37592,225425c16764,225425,0,208661,0,187833l0,37592c0,16764,16764,0,37592,0x">
                  <v:stroke weight="0pt" endcap="flat" joinstyle="round" on="false" color="#000000" opacity="0"/>
                  <v:fill on="true" color="#ffffff"/>
                </v:shape>
                <v:shape id="Shape 16482" style="position:absolute;width:9137;height:2254;left:9944;top:0;" coordsize="913765,225425" path="m37592,0c16764,0,0,16764,0,37592l0,187833c0,208661,16764,225425,37592,225425l876173,225425c897001,225425,913765,208661,913765,187833l913765,37592c913765,16764,897001,0,876173,0x">
                  <v:stroke weight="0.75pt" endcap="round" joinstyle="round" on="true" color="#000000"/>
                  <v:fill on="false" color="#000000" opacity="0"/>
                </v:shape>
                <v:rect id="Rectangle 16483" style="position:absolute;width:6130;height:1581;left:12195;top:831;" filled="f" stroked="f">
                  <v:textbox inset="0,0,0,0">
                    <w:txbxContent>
                      <w:p>
                        <w:pPr>
                          <w:spacing w:before="0" w:after="160" w:line="259" w:lineRule="auto"/>
                          <w:ind w:left="0" w:firstLine="0"/>
                          <w:jc w:val="left"/>
                        </w:pPr>
                        <w:r>
                          <w:rPr>
                            <w:rFonts w:cs="Arial" w:hAnsi="Arial" w:eastAsia="Arial" w:ascii="Arial"/>
                            <w:b w:val="1"/>
                            <w:i w:val="1"/>
                            <w:sz w:val="20"/>
                          </w:rPr>
                          <w:t xml:space="preserve">Начало</w:t>
                        </w:r>
                      </w:p>
                    </w:txbxContent>
                  </v:textbox>
                </v:rect>
                <v:rect id="Rectangle 16484" style="position:absolute;width:467;height:1875;left:16828;top:607;"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shape id="Shape 704859" style="position:absolute;width:8489;height:2247;left:10147;top:3676;" coordsize="848995,224790" path="m0,0l848995,0l848995,224790l0,224790l0,0">
                  <v:stroke weight="0pt" endcap="round" joinstyle="round" on="false" color="#000000" opacity="0"/>
                  <v:fill on="true" color="#ffffff"/>
                </v:shape>
                <v:shape id="Shape 16486" style="position:absolute;width:8489;height:2247;left:10147;top:3676;" coordsize="848995,224790" path="m0,224790l848995,224790l848995,0l0,0x">
                  <v:stroke weight="0.75pt" endcap="round" joinstyle="miter" miterlimit="8" on="true" color="#000000"/>
                  <v:fill on="false" color="#000000" opacity="0"/>
                </v:shape>
                <v:rect id="Rectangle 16487" style="position:absolute;width:2478;height:1875;left:13110;top:4234;" filled="f" stroked="f">
                  <v:textbox inset="0,0,0,0">
                    <w:txbxContent>
                      <w:p>
                        <w:pPr>
                          <w:spacing w:before="0" w:after="160" w:line="259" w:lineRule="auto"/>
                          <w:ind w:left="0" w:firstLine="0"/>
                          <w:jc w:val="left"/>
                        </w:pPr>
                        <w:r>
                          <w:rPr>
                            <w:rFonts w:cs="Arial" w:hAnsi="Arial" w:eastAsia="Arial" w:ascii="Arial"/>
                            <w:b w:val="1"/>
                            <w:i w:val="1"/>
                            <w:sz w:val="20"/>
                          </w:rPr>
                          <w:t xml:space="preserve">i :=</w:t>
                        </w:r>
                      </w:p>
                    </w:txbxContent>
                  </v:textbox>
                </v:rect>
                <v:rect id="Rectangle 16488" style="position:absolute;width:852;height:1875;left:14969;top:4234;" filled="f" stroked="f">
                  <v:textbox inset="0,0,0,0">
                    <w:txbxContent>
                      <w:p>
                        <w:pPr>
                          <w:spacing w:before="0" w:after="160" w:line="259" w:lineRule="auto"/>
                          <w:ind w:left="0" w:firstLine="0"/>
                          <w:jc w:val="left"/>
                        </w:pPr>
                        <w:r>
                          <w:rPr>
                            <w:rFonts w:cs="Calibri" w:hAnsi="Calibri" w:eastAsia="Calibri" w:ascii="Calibri"/>
                            <w:b w:val="1"/>
                            <w:sz w:val="20"/>
                          </w:rPr>
                          <w:t xml:space="preserve">1</w:t>
                        </w:r>
                      </w:p>
                    </w:txbxContent>
                  </v:textbox>
                </v:rect>
                <v:rect id="Rectangle 16489" style="position:absolute;width:467;height:1875;left:15685;top:4234;"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shape id="Shape 16491" style="position:absolute;width:14141;height:5207;left:7600;top:18840;" coordsize="1414145,520700" path="m707009,0l0,260350l707009,520700l1414145,260350x">
                  <v:stroke weight="0.75pt" endcap="round" joinstyle="miter" miterlimit="8" on="true" color="#000000"/>
                  <v:fill on="false" color="#000000" opacity="0"/>
                </v:shape>
                <v:rect id="Rectangle 16492" style="position:absolute;width:7486;height:1862;left:11277;top:21279;"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E(Xi , X) =</w:t>
                        </w:r>
                      </w:p>
                    </w:txbxContent>
                  </v:textbox>
                </v:rect>
                <v:rect id="Rectangle 16493" style="position:absolute;width:506;height:2243;left:16920;top:21048;" filled="f" stroked="f">
                  <v:textbox inset="0,0,0,0">
                    <w:txbxContent>
                      <w:p>
                        <w:pPr>
                          <w:spacing w:before="0" w:after="160" w:line="259" w:lineRule="auto"/>
                          <w:ind w:left="0" w:firstLine="0"/>
                          <w:jc w:val="left"/>
                        </w:pPr>
                        <w:r>
                          <w:rPr>
                            <w:sz w:val="24"/>
                          </w:rPr>
                          <w:t xml:space="preserve"> </w:t>
                        </w:r>
                      </w:p>
                    </w:txbxContent>
                  </v:textbox>
                </v:rect>
                <v:rect id="Rectangle 16494" style="position:absolute;width:1013;height:2243;left:17301;top:21048;" filled="f" stroked="f">
                  <v:textbox inset="0,0,0,0">
                    <w:txbxContent>
                      <w:p>
                        <w:pPr>
                          <w:spacing w:before="0" w:after="160" w:line="259" w:lineRule="auto"/>
                          <w:ind w:left="0" w:firstLine="0"/>
                          <w:jc w:val="left"/>
                        </w:pPr>
                        <w:r>
                          <w:rPr>
                            <w:sz w:val="24"/>
                          </w:rPr>
                          <w:t xml:space="preserve">1</w:t>
                        </w:r>
                      </w:p>
                    </w:txbxContent>
                  </v:textbox>
                </v:rect>
                <v:rect id="Rectangle 16495" style="position:absolute;width:506;height:2243;left:18078;top:21048;" filled="f" stroked="f">
                  <v:textbox inset="0,0,0,0">
                    <w:txbxContent>
                      <w:p>
                        <w:pPr>
                          <w:spacing w:before="0" w:after="160" w:line="259" w:lineRule="auto"/>
                          <w:ind w:left="0" w:firstLine="0"/>
                          <w:jc w:val="left"/>
                        </w:pPr>
                        <w:r>
                          <w:rPr>
                            <w:sz w:val="24"/>
                          </w:rPr>
                          <w:t xml:space="preserve"> </w:t>
                        </w:r>
                      </w:p>
                    </w:txbxContent>
                  </v:textbox>
                </v:rect>
                <v:shape id="Shape 16497" style="position:absolute;width:10439;height:1689;left:9639;top:25463;" coordsize="1043940,168910" path="m0,168910l1043940,168910l1043940,0l0,0x">
                  <v:stroke weight="0.75pt" endcap="round" joinstyle="miter" miterlimit="8" on="true" color="#000000"/>
                  <v:fill on="false" color="#000000" opacity="0"/>
                </v:shape>
                <v:rect id="Rectangle 16498" style="position:absolute;width:1074;height:2243;left:12226;top:25575;"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i </w:t>
                        </w:r>
                      </w:p>
                    </w:txbxContent>
                  </v:textbox>
                </v:rect>
                <v:rect id="Rectangle 566946" style="position:absolute;width:1706;height:2243;left:13034;top:25575;" filled="f" stroked="f">
                  <v:textbox inset="0,0,0,0">
                    <w:txbxContent>
                      <w:p>
                        <w:pPr>
                          <w:spacing w:before="0" w:after="160" w:line="259" w:lineRule="auto"/>
                          <w:ind w:left="0" w:firstLine="0"/>
                          <w:jc w:val="left"/>
                        </w:pPr>
                        <w:r>
                          <w:rPr>
                            <w:sz w:val="24"/>
                          </w:rPr>
                          <w:t xml:space="preserve">:=</w:t>
                        </w:r>
                      </w:p>
                    </w:txbxContent>
                  </v:textbox>
                </v:rect>
                <v:rect id="Rectangle 566947" style="position:absolute;width:506;height:2243;left:14317;top:25575;" filled="f" stroked="f">
                  <v:textbox inset="0,0,0,0">
                    <w:txbxContent>
                      <w:p>
                        <w:pPr>
                          <w:spacing w:before="0" w:after="160" w:line="259" w:lineRule="auto"/>
                          <w:ind w:left="0" w:firstLine="0"/>
                          <w:jc w:val="left"/>
                        </w:pPr>
                        <w:r>
                          <w:rPr>
                            <w:sz w:val="24"/>
                          </w:rPr>
                          <w:t xml:space="preserve"> </w:t>
                        </w:r>
                      </w:p>
                    </w:txbxContent>
                  </v:textbox>
                </v:rect>
                <v:rect id="Rectangle 16500" style="position:absolute;width:1074;height:2243;left:14695;top:25575;" filled="f" stroked="f">
                  <v:textbox inset="0,0,0,0">
                    <w:txbxContent>
                      <w:p>
                        <w:pPr>
                          <w:spacing w:before="0" w:after="160" w:line="259" w:lineRule="auto"/>
                          <w:ind w:left="0" w:firstLine="0"/>
                          <w:jc w:val="left"/>
                        </w:pPr>
                        <w:r>
                          <w:rPr>
                            <w:rFonts w:cs="Times New Roman" w:hAnsi="Times New Roman" w:eastAsia="Times New Roman" w:ascii="Times New Roman"/>
                            <w:i w:val="1"/>
                            <w:sz w:val="24"/>
                          </w:rPr>
                          <w:t xml:space="preserve">i </w:t>
                        </w:r>
                      </w:p>
                    </w:txbxContent>
                  </v:textbox>
                </v:rect>
                <v:rect id="Rectangle 16501" style="position:absolute;width:1143;height:2243;left:15502;top:25575;" filled="f" stroked="f">
                  <v:textbox inset="0,0,0,0">
                    <w:txbxContent>
                      <w:p>
                        <w:pPr>
                          <w:spacing w:before="0" w:after="160" w:line="259" w:lineRule="auto"/>
                          <w:ind w:left="0" w:firstLine="0"/>
                          <w:jc w:val="left"/>
                        </w:pPr>
                        <w:r>
                          <w:rPr>
                            <w:sz w:val="24"/>
                          </w:rPr>
                          <w:t xml:space="preserve">+</w:t>
                        </w:r>
                      </w:p>
                    </w:txbxContent>
                  </v:textbox>
                </v:rect>
                <v:rect id="Rectangle 16502" style="position:absolute;width:506;height:2243;left:16356;top:25575;" filled="f" stroked="f">
                  <v:textbox inset="0,0,0,0">
                    <w:txbxContent>
                      <w:p>
                        <w:pPr>
                          <w:spacing w:before="0" w:after="160" w:line="259" w:lineRule="auto"/>
                          <w:ind w:left="0" w:firstLine="0"/>
                          <w:jc w:val="left"/>
                        </w:pPr>
                        <w:r>
                          <w:rPr>
                            <w:sz w:val="24"/>
                          </w:rPr>
                          <w:t xml:space="preserve"> </w:t>
                        </w:r>
                      </w:p>
                    </w:txbxContent>
                  </v:textbox>
                </v:rect>
                <v:rect id="Rectangle 16503" style="position:absolute;width:1013;height:2243;left:16737;top:25575;" filled="f" stroked="f">
                  <v:textbox inset="0,0,0,0">
                    <w:txbxContent>
                      <w:p>
                        <w:pPr>
                          <w:spacing w:before="0" w:after="160" w:line="259" w:lineRule="auto"/>
                          <w:ind w:left="0" w:firstLine="0"/>
                          <w:jc w:val="left"/>
                        </w:pPr>
                        <w:r>
                          <w:rPr>
                            <w:sz w:val="24"/>
                          </w:rPr>
                          <w:t xml:space="preserve">1</w:t>
                        </w:r>
                      </w:p>
                    </w:txbxContent>
                  </v:textbox>
                </v:rect>
                <v:rect id="Rectangle 16504" style="position:absolute;width:506;height:2243;left:17499;top:25575;" filled="f" stroked="f">
                  <v:textbox inset="0,0,0,0">
                    <w:txbxContent>
                      <w:p>
                        <w:pPr>
                          <w:spacing w:before="0" w:after="160" w:line="259" w:lineRule="auto"/>
                          <w:ind w:left="0" w:firstLine="0"/>
                          <w:jc w:val="left"/>
                        </w:pPr>
                        <w:r>
                          <w:rPr>
                            <w:sz w:val="24"/>
                          </w:rPr>
                          <w:t xml:space="preserve"> </w:t>
                        </w:r>
                      </w:p>
                    </w:txbxContent>
                  </v:textbox>
                </v:rect>
                <v:shape id="Shape 16505" style="position:absolute;width:0;height:1473;left:14662;top:23990;" coordsize="0,147320" path="m0,0l0,147320">
                  <v:stroke weight="0.75pt" endcap="flat" joinstyle="round" on="true" color="#000000"/>
                  <v:fill on="false" color="#000000" opacity="0"/>
                </v:shape>
                <v:shape id="Shape 16506" style="position:absolute;width:0;height:1498;left:14452;top:5873;" coordsize="0,149860" path="m0,0l0,149860">
                  <v:stroke weight="0.75pt" endcap="flat" joinstyle="round" on="true" color="#000000"/>
                  <v:fill on="false" color="#000000" opacity="0"/>
                </v:shape>
                <v:shape id="Shape 16507" style="position:absolute;width:10756;height:0;left:3917;top:28962;" coordsize="1075690,0" path="m1075690,0l0,0">
                  <v:stroke weight="0.75pt" endcap="flat" joinstyle="round" on="true" color="#000000"/>
                  <v:fill on="false" color="#000000" opacity="0"/>
                </v:shape>
                <v:shape id="Shape 16508" style="position:absolute;width:0;height:22275;left:3911;top:6610;" coordsize="0,2227580" path="m0,2227580l0,0">
                  <v:stroke weight="0.75pt" endcap="flat" joinstyle="round" on="true" color="#000000"/>
                  <v:fill on="false" color="#000000" opacity="0"/>
                </v:shape>
                <v:shape id="Shape 16509" style="position:absolute;width:10541;height:762;left:3911;top:6229;" coordsize="1054100,76200" path="m977900,0l1054100,38100l977900,76200l977900,44450l0,44450l0,31750l977900,31750l977900,0x">
                  <v:stroke weight="0pt" endcap="flat" joinstyle="round" on="false" color="#000000" opacity="0"/>
                  <v:fill on="true" color="#000000"/>
                </v:shape>
                <v:shape id="Shape 16510" style="position:absolute;width:6000;height:0;left:21526;top:21539;" coordsize="600075,0" path="m0,0l600075,0">
                  <v:stroke weight="0.75pt" endcap="flat" joinstyle="round" on="true" color="#000000"/>
                  <v:fill on="false" color="#000000" opacity="0"/>
                </v:shape>
                <v:shape id="Shape 16511" style="position:absolute;width:0;height:8813;left:27476;top:21539;" coordsize="0,881380" path="m0,0l0,881380">
                  <v:stroke weight="0.75pt" endcap="flat" joinstyle="round" on="true" color="#000000"/>
                  <v:fill on="false" color="#000000" opacity="0"/>
                </v:shape>
                <v:shape id="Shape 16512" style="position:absolute;width:12814;height:0;left:14674;top:30353;" coordsize="1281430,0" path="m1281430,0l0,0">
                  <v:stroke weight="0.75pt" endcap="flat" joinstyle="round" on="true" color="#000000"/>
                  <v:fill on="false" color="#000000" opacity="0"/>
                </v:shape>
                <v:shape id="Shape 16513" style="position:absolute;width:0;height:1784;left:14674;top:27178;" coordsize="0,178435" path="m0,0l0,178435">
                  <v:stroke weight="0.75pt" endcap="flat" joinstyle="round" on="true" color="#000000"/>
                  <v:fill on="false" color="#000000" opacity="0"/>
                </v:shape>
                <v:shape id="Shape 16514" style="position:absolute;width:0;height:1790;left:14674;top:30353;" coordsize="0,179070" path="m0,0l0,179070">
                  <v:stroke weight="0.75pt" endcap="flat" joinstyle="round" on="true" color="#000000"/>
                  <v:fill on="false" color="#000000" opacity="0"/>
                </v:shape>
                <v:shape id="Shape 16515" style="position:absolute;width:9137;height:2260;left:10128;top:32143;" coordsize="913765,226060" path="m37719,0l876046,0c896874,0,913765,16891,913765,37719l913765,188341c913765,209169,896874,226060,876046,226060l37719,226060c16891,226060,0,209169,0,188341l0,37719c0,16891,16891,0,37719,0x">
                  <v:stroke weight="0pt" endcap="flat" joinstyle="round" on="false" color="#000000" opacity="0"/>
                  <v:fill on="true" color="#ffffff"/>
                </v:shape>
                <v:shape id="Shape 16516" style="position:absolute;width:9137;height:2260;left:10128;top:32143;" coordsize="913765,226060" path="m37719,0c16891,0,0,16891,0,37719l0,188341c0,209169,16891,226060,37719,226060l876046,226060c896874,226060,913765,209169,913765,188341l913765,37719c913765,16891,896874,0,876046,0x">
                  <v:stroke weight="0.75pt" endcap="round" joinstyle="round" on="true" color="#000000"/>
                  <v:fill on="false" color="#000000" opacity="0"/>
                </v:shape>
                <v:rect id="Rectangle 16517" style="position:absolute;width:4609;height:1428;left:12973;top:32961;" filled="f" stroked="f">
                  <v:textbox inset="0,0,0,0">
                    <w:txbxContent>
                      <w:p>
                        <w:pPr>
                          <w:spacing w:before="0" w:after="160" w:line="259" w:lineRule="auto"/>
                          <w:ind w:left="0" w:firstLine="0"/>
                          <w:jc w:val="left"/>
                        </w:pPr>
                        <w:r>
                          <w:rPr>
                            <w:rFonts w:cs="Arial" w:hAnsi="Arial" w:eastAsia="Arial" w:ascii="Arial"/>
                            <w:b w:val="1"/>
                            <w:i w:val="1"/>
                            <w:sz w:val="18"/>
                          </w:rPr>
                          <w:t xml:space="preserve">Конец</w:t>
                        </w:r>
                      </w:p>
                    </w:txbxContent>
                  </v:textbox>
                </v:rect>
                <v:rect id="Rectangle 16518" style="position:absolute;width:422;height:1695;left:16432;top:32759;" filled="f" stroked="f">
                  <v:textbox inset="0,0,0,0">
                    <w:txbxContent>
                      <w:p>
                        <w:pPr>
                          <w:spacing w:before="0" w:after="160" w:line="259" w:lineRule="auto"/>
                          <w:ind w:left="0" w:firstLine="0"/>
                          <w:jc w:val="left"/>
                        </w:pPr>
                        <w:r>
                          <w:rPr>
                            <w:rFonts w:cs="Arial" w:hAnsi="Arial" w:eastAsia="Arial" w:ascii="Arial"/>
                            <w:b w:val="1"/>
                            <w:i w:val="1"/>
                            <w:sz w:val="18"/>
                          </w:rPr>
                          <w:t xml:space="preserve"> </w:t>
                        </w:r>
                      </w:p>
                    </w:txbxContent>
                  </v:textbox>
                </v:rect>
                <v:shape id="Shape 16519" style="position:absolute;width:0;height:1517;left:14452;top:9499;" coordsize="0,151765" path="m0,0l0,151765">
                  <v:stroke weight="0.75pt" endcap="flat" joinstyle="round" on="true" color="#000000"/>
                  <v:fill on="false" color="#000000" opacity="0"/>
                </v:shape>
                <v:shape id="Shape 16520" style="position:absolute;width:0;height:1466;left:14389;top:13220;" coordsize="0,146685" path="m0,0l0,146685">
                  <v:stroke weight="0.75pt" endcap="flat" joinstyle="round" on="true" color="#000000"/>
                  <v:fill on="false" color="#000000" opacity="0"/>
                </v:shape>
                <v:shape id="Shape 16521" style="position:absolute;width:0;height:1962;left:14662;top:16891;" coordsize="0,196215" path="m0,0l0,196215">
                  <v:stroke weight="0.75pt" endcap="flat" joinstyle="round" on="true" color="#000000"/>
                  <v:fill on="false" color="#000000" opacity="0"/>
                </v:shape>
                <v:rect id="Rectangle 16523" style="position:absolute;width:10996;height:1811;left:0;top:35397;"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Рис. 2. Блок</w:t>
                        </w:r>
                      </w:p>
                    </w:txbxContent>
                  </v:textbox>
                </v:rect>
                <v:rect id="Rectangle 16524" style="position:absolute;width:674;height:2243;left:8275;top:35072;"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w:t>
                        </w:r>
                      </w:p>
                    </w:txbxContent>
                  </v:textbox>
                </v:rect>
                <v:rect id="Rectangle 16525" style="position:absolute;width:28178;height:1811;left:8778;top:35397;"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схема алгоритма запоминания</w:t>
                        </w:r>
                      </w:p>
                    </w:txbxContent>
                  </v:textbox>
                </v:rect>
                <v:rect id="Rectangle 16526" style="position:absolute;width:506;height:2243;left:29968;top:35072;"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shape id="Shape 704860" style="position:absolute;width:8489;height:2260;left:10426;top:7289;" coordsize="848995,226060" path="m0,0l848995,0l848995,226060l0,226060l0,0">
                  <v:stroke weight="0pt" endcap="flat" joinstyle="round" on="false" color="#000000" opacity="0"/>
                  <v:fill on="true" color="#ffffff"/>
                </v:shape>
                <v:shape id="Shape 16528" style="position:absolute;width:8489;height:2260;left:10426;top:7289;" coordsize="848995,226060" path="m0,226060l848995,226060l848995,0l0,0x">
                  <v:stroke weight="0.75pt" endcap="round" joinstyle="miter" miterlimit="8" on="true" color="#000000"/>
                  <v:fill on="false" color="#000000" opacity="0"/>
                </v:shape>
                <v:rect id="Rectangle 16529" style="position:absolute;width:1683;height:1581;left:14055;top:8074;" filled="f" stroked="f">
                  <v:textbox inset="0,0,0,0">
                    <w:txbxContent>
                      <w:p>
                        <w:pPr>
                          <w:spacing w:before="0" w:after="160" w:line="259" w:lineRule="auto"/>
                          <w:ind w:left="0" w:firstLine="0"/>
                          <w:jc w:val="left"/>
                        </w:pPr>
                        <w:r>
                          <w:rPr>
                            <w:rFonts w:cs="Arial" w:hAnsi="Arial" w:eastAsia="Arial" w:ascii="Arial"/>
                            <w:b w:val="1"/>
                            <w:i w:val="1"/>
                            <w:sz w:val="20"/>
                          </w:rPr>
                          <w:t xml:space="preserve">Вi</w:t>
                        </w:r>
                      </w:p>
                    </w:txbxContent>
                  </v:textbox>
                </v:rect>
                <v:rect id="Rectangle 16530" style="position:absolute;width:467;height:1875;left:15320;top:7850;"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shape id="Shape 704861" style="position:absolute;width:8489;height:2254;left:10426;top:11017;" coordsize="848995,225425" path="m0,0l848995,0l848995,225425l0,225425l0,0">
                  <v:stroke weight="0pt" endcap="round" joinstyle="miter" miterlimit="8" on="false" color="#000000" opacity="0"/>
                  <v:fill on="true" color="#ffffff"/>
                </v:shape>
                <v:shape id="Shape 16532" style="position:absolute;width:8489;height:2254;left:10426;top:11017;" coordsize="848995,225425" path="m0,225425l848995,225425l848995,0l0,0x">
                  <v:stroke weight="0.75pt" endcap="round" joinstyle="miter" miterlimit="8" on="true" color="#000000"/>
                  <v:fill on="false" color="#000000" opacity="0"/>
                </v:shape>
                <v:rect id="Rectangle 16533" style="position:absolute;width:1785;height:1581;left:14009;top:11793;" filled="f" stroked="f">
                  <v:textbox inset="0,0,0,0">
                    <w:txbxContent>
                      <w:p>
                        <w:pPr>
                          <w:spacing w:before="0" w:after="160" w:line="259" w:lineRule="auto"/>
                          <w:ind w:left="0" w:firstLine="0"/>
                          <w:jc w:val="left"/>
                        </w:pPr>
                        <w:r>
                          <w:rPr>
                            <w:rFonts w:cs="Arial" w:hAnsi="Arial" w:eastAsia="Arial" w:ascii="Arial"/>
                            <w:b w:val="1"/>
                            <w:i w:val="1"/>
                            <w:sz w:val="20"/>
                          </w:rPr>
                          <w:t xml:space="preserve">Фi</w:t>
                        </w:r>
                      </w:p>
                    </w:txbxContent>
                  </v:textbox>
                </v:rect>
                <v:rect id="Rectangle 16534" style="position:absolute;width:467;height:1875;left:15350;top:11569;"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shape id="Shape 704862" style="position:absolute;width:8489;height:2254;left:10426;top:14687;" coordsize="848995,225425" path="m0,0l848995,0l848995,225425l0,225425l0,0">
                  <v:stroke weight="0pt" endcap="round" joinstyle="miter" miterlimit="8" on="false" color="#000000" opacity="0"/>
                  <v:fill on="true" color="#ffffff"/>
                </v:shape>
                <v:shape id="Shape 16536" style="position:absolute;width:8489;height:2254;left:10426;top:14687;" coordsize="848995,225425" path="m0,225425l848995,225425l848995,0l0,0x">
                  <v:stroke weight="0.75pt" endcap="round" joinstyle="miter" miterlimit="8" on="true" color="#000000"/>
                  <v:fill on="false" color="#000000" opacity="0"/>
                </v:shape>
                <v:rect id="Rectangle 16537" style="position:absolute;width:1785;height:1581;left:14009;top:15465;" filled="f" stroked="f">
                  <v:textbox inset="0,0,0,0">
                    <w:txbxContent>
                      <w:p>
                        <w:pPr>
                          <w:spacing w:before="0" w:after="160" w:line="259" w:lineRule="auto"/>
                          <w:ind w:left="0" w:firstLine="0"/>
                          <w:jc w:val="left"/>
                        </w:pPr>
                        <w:r>
                          <w:rPr>
                            <w:rFonts w:cs="Arial" w:hAnsi="Arial" w:eastAsia="Arial" w:ascii="Arial"/>
                            <w:b w:val="1"/>
                            <w:i w:val="1"/>
                            <w:sz w:val="20"/>
                          </w:rPr>
                          <w:t xml:space="preserve">Оi</w:t>
                        </w:r>
                      </w:p>
                    </w:txbxContent>
                  </v:textbox>
                </v:rect>
                <v:rect id="Rectangle 16538" style="position:absolute;width:467;height:1875;left:15350;top:15242;"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rect id="Rectangle 16539" style="position:absolute;width:2796;height:1532;left:11079;top:24317;"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нет</w:t>
                        </w:r>
                      </w:p>
                    </w:txbxContent>
                  </v:textbox>
                </v:rect>
                <v:rect id="Rectangle 16540" style="position:absolute;width:420;height:1862;left:13201;top:24068;"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 </w:t>
                        </w:r>
                      </w:p>
                    </w:txbxContent>
                  </v:textbox>
                </v:rect>
              </v:group>
            </w:pict>
          </mc:Fallback>
        </mc:AlternateContent>
      </w:r>
    </w:p>
    <w:p w:rsidR="002C0F56" w:rsidRDefault="00E67C6E">
      <w:pPr>
        <w:spacing w:after="0" w:line="259" w:lineRule="auto"/>
        <w:ind w:left="1145" w:firstLine="0"/>
        <w:jc w:val="center"/>
      </w:pPr>
      <w:r>
        <w:t xml:space="preserve"> </w:t>
      </w:r>
    </w:p>
    <w:p w:rsidR="002C0F56" w:rsidRDefault="00E67C6E">
      <w:pPr>
        <w:spacing w:after="10"/>
        <w:ind w:left="165" w:right="865"/>
      </w:pPr>
      <w:r>
        <w:t>Для обучения как биологических, так и искусственных интеллектуальных информационных систем обычно используется два метода. Первый метод это обучение людей с помощью педагогов, а интеллектуальных систем – с помощью инженера по знаниям. Второй метод это испо</w:t>
      </w:r>
      <w:r>
        <w:t xml:space="preserve">льзование для обучения компьютерных обучающих программ (КОП) [3].  </w:t>
      </w:r>
    </w:p>
    <w:p w:rsidR="002C0F56" w:rsidRDefault="00E67C6E">
      <w:pPr>
        <w:spacing w:after="15"/>
        <w:ind w:left="165" w:right="865"/>
      </w:pPr>
      <w:r>
        <w:t>Компьютерные обучающие программы это программы, которые служат для помощи в реализации алгоритма обучения. Все компьютерные обучающие программы можно разделить на несколько типов: информир</w:t>
      </w:r>
      <w:r>
        <w:t xml:space="preserve">ующие программы, контролирующие программы, тестирующие программы, и их комбинации – информирующе-контролирующие программы и информирующе-тестирующие программы (рис. 3). </w:t>
      </w:r>
    </w:p>
    <w:p w:rsidR="002C0F56" w:rsidRDefault="00E67C6E">
      <w:pPr>
        <w:spacing w:after="347" w:line="259" w:lineRule="auto"/>
        <w:ind w:left="754" w:firstLine="0"/>
        <w:jc w:val="left"/>
      </w:pPr>
      <w:r>
        <w:rPr>
          <w:noProof/>
        </w:rPr>
        <w:lastRenderedPageBreak/>
        <w:drawing>
          <wp:inline distT="0" distB="0" distL="0" distR="0">
            <wp:extent cx="5529073" cy="2115312"/>
            <wp:effectExtent l="0" t="0" r="0" b="0"/>
            <wp:docPr id="689288" name="Picture 689288"/>
            <wp:cNvGraphicFramePr/>
            <a:graphic xmlns:a="http://schemas.openxmlformats.org/drawingml/2006/main">
              <a:graphicData uri="http://schemas.openxmlformats.org/drawingml/2006/picture">
                <pic:pic xmlns:pic="http://schemas.openxmlformats.org/drawingml/2006/picture">
                  <pic:nvPicPr>
                    <pic:cNvPr id="689288" name="Picture 689288"/>
                    <pic:cNvPicPr/>
                  </pic:nvPicPr>
                  <pic:blipFill>
                    <a:blip r:embed="rId342"/>
                    <a:stretch>
                      <a:fillRect/>
                    </a:stretch>
                  </pic:blipFill>
                  <pic:spPr>
                    <a:xfrm>
                      <a:off x="0" y="0"/>
                      <a:ext cx="5529073" cy="2115312"/>
                    </a:xfrm>
                    <a:prstGeom prst="rect">
                      <a:avLst/>
                    </a:prstGeom>
                  </pic:spPr>
                </pic:pic>
              </a:graphicData>
            </a:graphic>
          </wp:inline>
        </w:drawing>
      </w:r>
    </w:p>
    <w:p w:rsidR="002C0F56" w:rsidRDefault="00E67C6E">
      <w:pPr>
        <w:spacing w:after="5" w:line="271" w:lineRule="auto"/>
        <w:ind w:left="2468" w:right="396" w:hanging="10"/>
        <w:jc w:val="left"/>
      </w:pPr>
      <w:r>
        <w:rPr>
          <w:b/>
          <w:sz w:val="24"/>
        </w:rPr>
        <w:t xml:space="preserve">Рис. 3. Типы компьютерных обучающих программ </w:t>
      </w:r>
    </w:p>
    <w:p w:rsidR="002C0F56" w:rsidRDefault="00E67C6E">
      <w:pPr>
        <w:spacing w:after="0" w:line="259" w:lineRule="auto"/>
        <w:ind w:left="0" w:right="1159" w:firstLine="0"/>
        <w:jc w:val="right"/>
      </w:pPr>
      <w:r>
        <w:t xml:space="preserve"> </w:t>
      </w:r>
    </w:p>
    <w:p w:rsidR="002C0F56" w:rsidRDefault="00E67C6E">
      <w:pPr>
        <w:spacing w:after="10"/>
        <w:ind w:left="165" w:right="867"/>
      </w:pPr>
      <w:r>
        <w:t>Отдельным пунктом необходимо выделит</w:t>
      </w:r>
      <w:r>
        <w:t xml:space="preserve">ь интеллектуальные автоматизированные обучающие системы (ИАОС) или, как их еще называют, экспертно-обучающие системы [4]. Экспертно-обучающая система это автоматизированная обучающая система (АОС), включающая в себя следующие базы знаний (БЗ): базу знаний </w:t>
      </w:r>
      <w:r>
        <w:t xml:space="preserve">предметной области (БЗ ПрО), базу психолого-педагогических знаний или базу знаний методического обеспечения (БЗ МО), базу знаний по конкретному курсу (БЗ К). </w:t>
      </w:r>
    </w:p>
    <w:p w:rsidR="002C0F56" w:rsidRDefault="00E67C6E">
      <w:pPr>
        <w:spacing w:after="2"/>
        <w:ind w:left="165" w:right="865"/>
      </w:pPr>
      <w:r>
        <w:t>В АОС включаются знания для усвоения (учебные знания) и метазнания для организации процесса обуче</w:t>
      </w:r>
      <w:r>
        <w:t xml:space="preserve">ния. АОС имеет также специальные средства для создания БЗ, систематизации элементов знаний, обновления и проверки непротиворечивости БЗ. </w:t>
      </w:r>
    </w:p>
    <w:p w:rsidR="002C0F56" w:rsidRDefault="00E67C6E">
      <w:pPr>
        <w:ind w:left="165" w:right="864"/>
      </w:pPr>
      <w:r>
        <w:t>Пользователями АОС являются: учащиеся (взаимодействуют с системой в целях приобретения знаний), специалисты-эксперты (</w:t>
      </w:r>
      <w:r>
        <w:t xml:space="preserve">формируют БЗ ПрО), методисты (разрабатывают технологию обучения, заполняют БЗ МО), преподаватели (используют систему для организации обучения, заполняют БЗ </w:t>
      </w:r>
    </w:p>
    <w:p w:rsidR="002C0F56" w:rsidRDefault="00E67C6E">
      <w:pPr>
        <w:spacing w:after="12"/>
        <w:ind w:left="165" w:right="302" w:firstLine="0"/>
      </w:pPr>
      <w:r>
        <w:t xml:space="preserve">К). </w:t>
      </w:r>
    </w:p>
    <w:p w:rsidR="002C0F56" w:rsidRDefault="00E67C6E">
      <w:pPr>
        <w:spacing w:after="87"/>
        <w:ind w:left="165" w:right="864"/>
      </w:pPr>
      <w:r>
        <w:t xml:space="preserve">Основой функционирования обучающих программ должны быть средства, стимулирующие операции воспроизведения образа эталона знаний </w:t>
      </w:r>
      <w:r>
        <w:rPr>
          <w:i/>
        </w:rPr>
        <w:t>x</w:t>
      </w:r>
      <w:r>
        <w:rPr>
          <w:i/>
          <w:vertAlign w:val="subscript"/>
        </w:rPr>
        <w:t>i</w:t>
      </w:r>
      <w:r>
        <w:t xml:space="preserve"> и сравнения воспроизведенного образа эталона </w:t>
      </w:r>
      <w:r>
        <w:rPr>
          <w:i/>
        </w:rPr>
        <w:t>Х</w:t>
      </w:r>
      <w:r>
        <w:rPr>
          <w:i/>
          <w:vertAlign w:val="subscript"/>
        </w:rPr>
        <w:t xml:space="preserve">i </w:t>
      </w:r>
      <w:r>
        <w:rPr>
          <w:i/>
        </w:rPr>
        <w:t>= φ</w:t>
      </w:r>
      <w:r>
        <w:t>(</w:t>
      </w:r>
      <w:r>
        <w:rPr>
          <w:i/>
        </w:rPr>
        <w:t>x</w:t>
      </w:r>
      <w:r>
        <w:rPr>
          <w:i/>
          <w:vertAlign w:val="subscript"/>
        </w:rPr>
        <w:t>i</w:t>
      </w:r>
      <w:r>
        <w:t>)</w:t>
      </w:r>
      <w:r>
        <w:rPr>
          <w:i/>
          <w:vertAlign w:val="subscript"/>
        </w:rPr>
        <w:t xml:space="preserve"> </w:t>
      </w:r>
      <w:r>
        <w:t xml:space="preserve">с эталоном знаний </w:t>
      </w:r>
      <w:r>
        <w:rPr>
          <w:i/>
        </w:rPr>
        <w:t>X.</w:t>
      </w:r>
      <w:r>
        <w:t xml:space="preserve"> </w:t>
      </w:r>
      <w:r>
        <w:t xml:space="preserve">Уравнение зависимости степени толерантности от времени записывается следующим образом: </w:t>
      </w:r>
    </w:p>
    <w:p w:rsidR="002C0F56" w:rsidRDefault="00E67C6E">
      <w:pPr>
        <w:tabs>
          <w:tab w:val="center" w:pos="1959"/>
          <w:tab w:val="center" w:pos="8958"/>
        </w:tabs>
        <w:spacing w:after="15" w:line="268"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0288" behindDoc="1" locked="0" layoutInCell="1" allowOverlap="1">
                <wp:simplePos x="0" y="0"/>
                <wp:positionH relativeFrom="column">
                  <wp:posOffset>789799</wp:posOffset>
                </wp:positionH>
                <wp:positionV relativeFrom="paragraph">
                  <wp:posOffset>-35446</wp:posOffset>
                </wp:positionV>
                <wp:extent cx="1123506" cy="463190"/>
                <wp:effectExtent l="0" t="0" r="0" b="0"/>
                <wp:wrapNone/>
                <wp:docPr id="568008" name="Group 568008"/>
                <wp:cNvGraphicFramePr/>
                <a:graphic xmlns:a="http://schemas.openxmlformats.org/drawingml/2006/main">
                  <a:graphicData uri="http://schemas.microsoft.com/office/word/2010/wordprocessingGroup">
                    <wpg:wgp>
                      <wpg:cNvGrpSpPr/>
                      <wpg:grpSpPr>
                        <a:xfrm>
                          <a:off x="0" y="0"/>
                          <a:ext cx="1123506" cy="463190"/>
                          <a:chOff x="0" y="0"/>
                          <a:chExt cx="1123506" cy="463190"/>
                        </a:xfrm>
                      </wpg:grpSpPr>
                      <wps:wsp>
                        <wps:cNvPr id="16632" name="Shape 16632"/>
                        <wps:cNvSpPr/>
                        <wps:spPr>
                          <a:xfrm>
                            <a:off x="171548" y="15003"/>
                            <a:ext cx="98501" cy="0"/>
                          </a:xfrm>
                          <a:custGeom>
                            <a:avLst/>
                            <a:gdLst/>
                            <a:ahLst/>
                            <a:cxnLst/>
                            <a:rect l="0" t="0" r="0" b="0"/>
                            <a:pathLst>
                              <a:path w="98501">
                                <a:moveTo>
                                  <a:pt x="0" y="0"/>
                                </a:moveTo>
                                <a:lnTo>
                                  <a:pt x="98501" y="0"/>
                                </a:lnTo>
                              </a:path>
                            </a:pathLst>
                          </a:custGeom>
                          <a:ln w="7014" cap="flat">
                            <a:round/>
                          </a:ln>
                        </wps:spPr>
                        <wps:style>
                          <a:lnRef idx="1">
                            <a:srgbClr val="000000"/>
                          </a:lnRef>
                          <a:fillRef idx="0">
                            <a:srgbClr val="000000">
                              <a:alpha val="0"/>
                            </a:srgbClr>
                          </a:fillRef>
                          <a:effectRef idx="0">
                            <a:scrgbClr r="0" g="0" b="0"/>
                          </a:effectRef>
                          <a:fontRef idx="none"/>
                        </wps:style>
                        <wps:bodyPr/>
                      </wps:wsp>
                      <wps:wsp>
                        <wps:cNvPr id="16633" name="Shape 16633"/>
                        <wps:cNvSpPr/>
                        <wps:spPr>
                          <a:xfrm>
                            <a:off x="747970" y="15003"/>
                            <a:ext cx="98516" cy="0"/>
                          </a:xfrm>
                          <a:custGeom>
                            <a:avLst/>
                            <a:gdLst/>
                            <a:ahLst/>
                            <a:cxnLst/>
                            <a:rect l="0" t="0" r="0" b="0"/>
                            <a:pathLst>
                              <a:path w="98516">
                                <a:moveTo>
                                  <a:pt x="0" y="0"/>
                                </a:moveTo>
                                <a:lnTo>
                                  <a:pt x="98516" y="0"/>
                                </a:lnTo>
                              </a:path>
                            </a:pathLst>
                          </a:custGeom>
                          <a:ln w="7014" cap="flat">
                            <a:round/>
                          </a:ln>
                        </wps:spPr>
                        <wps:style>
                          <a:lnRef idx="1">
                            <a:srgbClr val="000000"/>
                          </a:lnRef>
                          <a:fillRef idx="0">
                            <a:srgbClr val="000000">
                              <a:alpha val="0"/>
                            </a:srgbClr>
                          </a:fillRef>
                          <a:effectRef idx="0">
                            <a:scrgbClr r="0" g="0" b="0"/>
                          </a:effectRef>
                          <a:fontRef idx="none"/>
                        </wps:style>
                        <wps:bodyPr/>
                      </wps:wsp>
                      <wps:wsp>
                        <wps:cNvPr id="16634" name="Shape 16634"/>
                        <wps:cNvSpPr/>
                        <wps:spPr>
                          <a:xfrm>
                            <a:off x="1098147" y="0"/>
                            <a:ext cx="25359" cy="0"/>
                          </a:xfrm>
                          <a:custGeom>
                            <a:avLst/>
                            <a:gdLst/>
                            <a:ahLst/>
                            <a:cxnLst/>
                            <a:rect l="0" t="0" r="0" b="0"/>
                            <a:pathLst>
                              <a:path w="25359">
                                <a:moveTo>
                                  <a:pt x="0" y="0"/>
                                </a:moveTo>
                                <a:lnTo>
                                  <a:pt x="25359" y="0"/>
                                </a:lnTo>
                              </a:path>
                            </a:pathLst>
                          </a:custGeom>
                          <a:ln w="4008" cap="flat">
                            <a:round/>
                          </a:ln>
                        </wps:spPr>
                        <wps:style>
                          <a:lnRef idx="1">
                            <a:srgbClr val="000000"/>
                          </a:lnRef>
                          <a:fillRef idx="0">
                            <a:srgbClr val="000000">
                              <a:alpha val="0"/>
                            </a:srgbClr>
                          </a:fillRef>
                          <a:effectRef idx="0">
                            <a:scrgbClr r="0" g="0" b="0"/>
                          </a:effectRef>
                          <a:fontRef idx="none"/>
                        </wps:style>
                        <wps:bodyPr/>
                      </wps:wsp>
                      <wps:wsp>
                        <wps:cNvPr id="16657" name="Shape 16657"/>
                        <wps:cNvSpPr/>
                        <wps:spPr>
                          <a:xfrm>
                            <a:off x="0" y="349681"/>
                            <a:ext cx="84817" cy="1"/>
                          </a:xfrm>
                          <a:custGeom>
                            <a:avLst/>
                            <a:gdLst/>
                            <a:ahLst/>
                            <a:cxnLst/>
                            <a:rect l="0" t="0" r="0" b="0"/>
                            <a:pathLst>
                              <a:path w="84817" h="1">
                                <a:moveTo>
                                  <a:pt x="0" y="0"/>
                                </a:moveTo>
                                <a:lnTo>
                                  <a:pt x="84817" y="1"/>
                                </a:lnTo>
                              </a:path>
                            </a:pathLst>
                          </a:custGeom>
                          <a:ln w="7419" cap="flat">
                            <a:round/>
                          </a:ln>
                        </wps:spPr>
                        <wps:style>
                          <a:lnRef idx="1">
                            <a:srgbClr val="000000"/>
                          </a:lnRef>
                          <a:fillRef idx="0">
                            <a:srgbClr val="000000">
                              <a:alpha val="0"/>
                            </a:srgbClr>
                          </a:fillRef>
                          <a:effectRef idx="0">
                            <a:scrgbClr r="0" g="0" b="0"/>
                          </a:effectRef>
                          <a:fontRef idx="none"/>
                        </wps:style>
                        <wps:bodyPr/>
                      </wps:wsp>
                      <wps:wsp>
                        <wps:cNvPr id="16658" name="Shape 16658"/>
                        <wps:cNvSpPr/>
                        <wps:spPr>
                          <a:xfrm>
                            <a:off x="244663" y="455534"/>
                            <a:ext cx="201893" cy="0"/>
                          </a:xfrm>
                          <a:custGeom>
                            <a:avLst/>
                            <a:gdLst/>
                            <a:ahLst/>
                            <a:cxnLst/>
                            <a:rect l="0" t="0" r="0" b="0"/>
                            <a:pathLst>
                              <a:path w="201893">
                                <a:moveTo>
                                  <a:pt x="0" y="0"/>
                                </a:moveTo>
                                <a:lnTo>
                                  <a:pt x="201893" y="0"/>
                                </a:lnTo>
                              </a:path>
                            </a:pathLst>
                          </a:custGeom>
                          <a:ln w="7419" cap="flat">
                            <a:round/>
                          </a:ln>
                        </wps:spPr>
                        <wps:style>
                          <a:lnRef idx="1">
                            <a:srgbClr val="000000"/>
                          </a:lnRef>
                          <a:fillRef idx="0">
                            <a:srgbClr val="000000">
                              <a:alpha val="0"/>
                            </a:srgbClr>
                          </a:fillRef>
                          <a:effectRef idx="0">
                            <a:scrgbClr r="0" g="0" b="0"/>
                          </a:effectRef>
                          <a:fontRef idx="none"/>
                        </wps:style>
                        <wps:bodyPr/>
                      </wps:wsp>
                      <wps:wsp>
                        <wps:cNvPr id="16665" name="Shape 16665"/>
                        <wps:cNvSpPr/>
                        <wps:spPr>
                          <a:xfrm>
                            <a:off x="611048" y="357170"/>
                            <a:ext cx="37467" cy="0"/>
                          </a:xfrm>
                          <a:custGeom>
                            <a:avLst/>
                            <a:gdLst/>
                            <a:ahLst/>
                            <a:cxnLst/>
                            <a:rect l="0" t="0" r="0" b="0"/>
                            <a:pathLst>
                              <a:path w="37467">
                                <a:moveTo>
                                  <a:pt x="0" y="0"/>
                                </a:moveTo>
                                <a:lnTo>
                                  <a:pt x="37467" y="0"/>
                                </a:lnTo>
                              </a:path>
                            </a:pathLst>
                          </a:custGeom>
                          <a:ln w="7382" cap="flat">
                            <a:round/>
                          </a:ln>
                        </wps:spPr>
                        <wps:style>
                          <a:lnRef idx="1">
                            <a:srgbClr val="000000"/>
                          </a:lnRef>
                          <a:fillRef idx="0">
                            <a:srgbClr val="000000">
                              <a:alpha val="0"/>
                            </a:srgbClr>
                          </a:fillRef>
                          <a:effectRef idx="0">
                            <a:scrgbClr r="0" g="0" b="0"/>
                          </a:effectRef>
                          <a:fontRef idx="none"/>
                        </wps:style>
                        <wps:bodyPr/>
                      </wps:wsp>
                      <wps:wsp>
                        <wps:cNvPr id="16666" name="Shape 16666"/>
                        <wps:cNvSpPr/>
                        <wps:spPr>
                          <a:xfrm>
                            <a:off x="808118" y="463190"/>
                            <a:ext cx="114203" cy="0"/>
                          </a:xfrm>
                          <a:custGeom>
                            <a:avLst/>
                            <a:gdLst/>
                            <a:ahLst/>
                            <a:cxnLst/>
                            <a:rect l="0" t="0" r="0" b="0"/>
                            <a:pathLst>
                              <a:path w="114203">
                                <a:moveTo>
                                  <a:pt x="0" y="0"/>
                                </a:moveTo>
                                <a:lnTo>
                                  <a:pt x="114203" y="0"/>
                                </a:lnTo>
                              </a:path>
                            </a:pathLst>
                          </a:custGeom>
                          <a:ln w="7382"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68008" style="width:88.465pt;height:36.4716pt;position:absolute;z-index:-2147483537;mso-position-horizontal-relative:text;mso-position-horizontal:absolute;margin-left:62.1889pt;mso-position-vertical-relative:text;margin-top:-2.79108pt;" coordsize="11235,4631">
                <v:shape id="Shape 16632" style="position:absolute;width:985;height:0;left:1715;top:150;" coordsize="98501,0" path="m0,0l98501,0">
                  <v:stroke weight="0.552291pt" endcap="flat" joinstyle="round" on="true" color="#000000"/>
                  <v:fill on="false" color="#000000" opacity="0"/>
                </v:shape>
                <v:shape id="Shape 16633" style="position:absolute;width:985;height:0;left:7479;top:150;" coordsize="98516,0" path="m0,0l98516,0">
                  <v:stroke weight="0.552291pt" endcap="flat" joinstyle="round" on="true" color="#000000"/>
                  <v:fill on="false" color="#000000" opacity="0"/>
                </v:shape>
                <v:shape id="Shape 16634" style="position:absolute;width:253;height:0;left:10981;top:0;" coordsize="25359,0" path="m0,0l25359,0">
                  <v:stroke weight="0.31559pt" endcap="flat" joinstyle="round" on="true" color="#000000"/>
                  <v:fill on="false" color="#000000" opacity="0"/>
                </v:shape>
                <v:shape id="Shape 16657" style="position:absolute;width:848;height:0;left:0;top:3496;" coordsize="84817,1" path="m0,0l84817,1">
                  <v:stroke weight="0.584152pt" endcap="flat" joinstyle="round" on="true" color="#000000"/>
                  <v:fill on="false" color="#000000" opacity="0"/>
                </v:shape>
                <v:shape id="Shape 16658" style="position:absolute;width:2018;height:0;left:2446;top:4555;" coordsize="201893,0" path="m0,0l201893,0">
                  <v:stroke weight="0.584152pt" endcap="flat" joinstyle="round" on="true" color="#000000"/>
                  <v:fill on="false" color="#000000" opacity="0"/>
                </v:shape>
                <v:shape id="Shape 16665" style="position:absolute;width:374;height:0;left:6110;top:3571;" coordsize="37467,0" path="m0,0l37467,0">
                  <v:stroke weight="0.581225pt" endcap="flat" joinstyle="round" on="true" color="#000000"/>
                  <v:fill on="false" color="#000000" opacity="0"/>
                </v:shape>
                <v:shape id="Shape 16666" style="position:absolute;width:1142;height:0;left:8081;top:4631;" coordsize="114203,0" path="m0,0l114203,0">
                  <v:stroke weight="0.581225pt" endcap="flat" joinstyle="round" on="true" color="#000000"/>
                  <v:fill on="false" color="#000000" opacity="0"/>
                </v:shape>
              </v:group>
            </w:pict>
          </mc:Fallback>
        </mc:AlternateContent>
      </w:r>
      <w:r>
        <w:rPr>
          <w:rFonts w:ascii="Calibri" w:eastAsia="Calibri" w:hAnsi="Calibri" w:cs="Calibri"/>
          <w:sz w:val="22"/>
        </w:rPr>
        <w:tab/>
      </w:r>
      <w:r>
        <w:rPr>
          <w:i/>
        </w:rPr>
        <w:t>S</w:t>
      </w:r>
      <w:r>
        <w:t>(</w:t>
      </w:r>
      <w:r>
        <w:rPr>
          <w:i/>
        </w:rPr>
        <w:t>t</w:t>
      </w:r>
      <w:r>
        <w:t xml:space="preserve">) </w:t>
      </w:r>
      <w:r>
        <w:rPr>
          <w:rFonts w:ascii="Segoe UI Symbol" w:eastAsia="Segoe UI Symbol" w:hAnsi="Segoe UI Symbol" w:cs="Segoe UI Symbol"/>
        </w:rPr>
        <w:t></w:t>
      </w:r>
      <w:r>
        <w:rPr>
          <w:rFonts w:ascii="Segoe UI Symbol" w:eastAsia="Segoe UI Symbol" w:hAnsi="Segoe UI Symbol" w:cs="Segoe UI Symbol"/>
          <w:sz w:val="29"/>
        </w:rPr>
        <w:t></w:t>
      </w:r>
      <w:r>
        <w:rPr>
          <w:rFonts w:ascii="Segoe UI Symbol" w:eastAsia="Segoe UI Symbol" w:hAnsi="Segoe UI Symbol" w:cs="Segoe UI Symbol"/>
        </w:rPr>
        <w:t xml:space="preserve"> </w:t>
      </w:r>
      <w:r>
        <w:t>(1</w:t>
      </w:r>
      <w:r>
        <w:rPr>
          <w:rFonts w:ascii="Segoe UI Symbol" w:eastAsia="Segoe UI Symbol" w:hAnsi="Segoe UI Symbol" w:cs="Segoe UI Symbol"/>
        </w:rPr>
        <w:t></w:t>
      </w:r>
      <w:r>
        <w:rPr>
          <w:rFonts w:ascii="Segoe UI Symbol" w:eastAsia="Segoe UI Symbol" w:hAnsi="Segoe UI Symbol" w:cs="Segoe UI Symbol"/>
          <w:sz w:val="29"/>
        </w:rPr>
        <w:t></w:t>
      </w:r>
      <w:r>
        <w:t>)</w:t>
      </w:r>
      <w:r>
        <w:rPr>
          <w:i/>
        </w:rPr>
        <w:t>e</w:t>
      </w:r>
      <w:r>
        <w:rPr>
          <w:rFonts w:ascii="Segoe UI Symbol" w:eastAsia="Segoe UI Symbol" w:hAnsi="Segoe UI Symbol" w:cs="Segoe UI Symbol"/>
          <w:sz w:val="25"/>
          <w:vertAlign w:val="superscript"/>
        </w:rPr>
        <w:t></w:t>
      </w:r>
      <w:r>
        <w:rPr>
          <w:i/>
          <w:sz w:val="25"/>
          <w:vertAlign w:val="superscript"/>
        </w:rPr>
        <w:t xml:space="preserve">t </w:t>
      </w:r>
      <w:r>
        <w:t xml:space="preserve">, </w:t>
      </w:r>
      <w:r>
        <w:tab/>
        <w:t xml:space="preserve">(1) </w:t>
      </w:r>
    </w:p>
    <w:p w:rsidR="002C0F56" w:rsidRDefault="00E67C6E">
      <w:pPr>
        <w:tabs>
          <w:tab w:val="center" w:pos="1793"/>
          <w:tab w:val="center" w:pos="2599"/>
        </w:tabs>
        <w:spacing w:after="3" w:line="259" w:lineRule="auto"/>
        <w:ind w:left="0" w:firstLine="0"/>
        <w:jc w:val="left"/>
      </w:pPr>
      <w:r>
        <w:rPr>
          <w:rFonts w:ascii="Calibri" w:eastAsia="Calibri" w:hAnsi="Calibri" w:cs="Calibri"/>
          <w:sz w:val="22"/>
        </w:rPr>
        <w:tab/>
      </w:r>
      <w:r>
        <w:rPr>
          <w:rFonts w:ascii="Segoe UI Symbol" w:eastAsia="Segoe UI Symbol" w:hAnsi="Segoe UI Symbol" w:cs="Segoe UI Symbol"/>
          <w:sz w:val="25"/>
        </w:rPr>
        <w:t></w:t>
      </w:r>
      <w:r>
        <w:rPr>
          <w:rFonts w:ascii="Segoe UI Symbol" w:eastAsia="Segoe UI Symbol" w:hAnsi="Segoe UI Symbol" w:cs="Segoe UI Symbol"/>
          <w:sz w:val="25"/>
        </w:rPr>
        <w:tab/>
      </w:r>
      <w:r>
        <w:rPr>
          <w:i/>
          <w:sz w:val="24"/>
        </w:rPr>
        <w:t>t</w:t>
      </w:r>
    </w:p>
    <w:p w:rsidR="002C0F56" w:rsidRDefault="00E67C6E">
      <w:pPr>
        <w:spacing w:after="130"/>
        <w:ind w:left="744" w:right="302" w:firstLine="0"/>
      </w:pPr>
      <w:r>
        <w:t xml:space="preserve">где </w:t>
      </w:r>
      <w:r>
        <w:rPr>
          <w:rFonts w:ascii="Segoe UI Symbol" w:eastAsia="Segoe UI Symbol" w:hAnsi="Segoe UI Symbol" w:cs="Segoe UI Symbol"/>
          <w:sz w:val="25"/>
        </w:rPr>
        <w:t></w:t>
      </w:r>
      <w:r>
        <w:rPr>
          <w:rFonts w:ascii="Segoe UI Symbol" w:eastAsia="Segoe UI Symbol" w:hAnsi="Segoe UI Symbol" w:cs="Segoe UI Symbol"/>
          <w:sz w:val="37"/>
          <w:vertAlign w:val="superscript"/>
        </w:rPr>
        <w:t xml:space="preserve"> </w:t>
      </w:r>
      <w:r>
        <w:rPr>
          <w:i/>
          <w:sz w:val="37"/>
          <w:vertAlign w:val="subscript"/>
        </w:rPr>
        <w:t>U</w:t>
      </w:r>
      <w:r>
        <w:rPr>
          <w:sz w:val="25"/>
          <w:vertAlign w:val="subscript"/>
        </w:rPr>
        <w:t xml:space="preserve">0 </w:t>
      </w:r>
      <w:r>
        <w:t xml:space="preserve">; </w:t>
      </w:r>
      <w:r>
        <w:rPr>
          <w:i/>
          <w:sz w:val="24"/>
        </w:rPr>
        <w:t xml:space="preserve">t </w:t>
      </w:r>
      <w:r>
        <w:rPr>
          <w:rFonts w:ascii="Segoe UI Symbol" w:eastAsia="Segoe UI Symbol" w:hAnsi="Segoe UI Symbol" w:cs="Segoe UI Symbol"/>
          <w:sz w:val="24"/>
        </w:rPr>
        <w:t xml:space="preserve"> </w:t>
      </w:r>
      <w:r>
        <w:rPr>
          <w:i/>
          <w:sz w:val="37"/>
          <w:vertAlign w:val="subscript"/>
        </w:rPr>
        <w:t xml:space="preserve">T </w:t>
      </w:r>
      <w:r>
        <w:t xml:space="preserve">. </w:t>
      </w:r>
    </w:p>
    <w:p w:rsidR="002C0F56" w:rsidRDefault="00E67C6E">
      <w:pPr>
        <w:ind w:left="165" w:right="302"/>
      </w:pPr>
      <w:r>
        <w:rPr>
          <w:rFonts w:ascii="Calibri" w:eastAsia="Calibri" w:hAnsi="Calibri" w:cs="Calibri"/>
          <w:noProof/>
          <w:sz w:val="22"/>
        </w:rPr>
        <w:lastRenderedPageBreak/>
        <mc:AlternateContent>
          <mc:Choice Requires="wpg">
            <w:drawing>
              <wp:anchor distT="0" distB="0" distL="114300" distR="114300" simplePos="0" relativeHeight="251661312" behindDoc="1" locked="0" layoutInCell="1" allowOverlap="1">
                <wp:simplePos x="0" y="0"/>
                <wp:positionH relativeFrom="column">
                  <wp:posOffset>2080498</wp:posOffset>
                </wp:positionH>
                <wp:positionV relativeFrom="paragraph">
                  <wp:posOffset>201961</wp:posOffset>
                </wp:positionV>
                <wp:extent cx="956368" cy="267807"/>
                <wp:effectExtent l="0" t="0" r="0" b="0"/>
                <wp:wrapNone/>
                <wp:docPr id="568009" name="Group 568009"/>
                <wp:cNvGraphicFramePr/>
                <a:graphic xmlns:a="http://schemas.openxmlformats.org/drawingml/2006/main">
                  <a:graphicData uri="http://schemas.microsoft.com/office/word/2010/wordprocessingGroup">
                    <wpg:wgp>
                      <wpg:cNvGrpSpPr/>
                      <wpg:grpSpPr>
                        <a:xfrm>
                          <a:off x="0" y="0"/>
                          <a:ext cx="956368" cy="267807"/>
                          <a:chOff x="0" y="0"/>
                          <a:chExt cx="956368" cy="267807"/>
                        </a:xfrm>
                      </wpg:grpSpPr>
                      <wps:wsp>
                        <wps:cNvPr id="16677" name="Shape 16677"/>
                        <wps:cNvSpPr/>
                        <wps:spPr>
                          <a:xfrm>
                            <a:off x="873144" y="0"/>
                            <a:ext cx="83224" cy="0"/>
                          </a:xfrm>
                          <a:custGeom>
                            <a:avLst/>
                            <a:gdLst/>
                            <a:ahLst/>
                            <a:cxnLst/>
                            <a:rect l="0" t="0" r="0" b="0"/>
                            <a:pathLst>
                              <a:path w="83224">
                                <a:moveTo>
                                  <a:pt x="0" y="0"/>
                                </a:moveTo>
                                <a:lnTo>
                                  <a:pt x="83224" y="0"/>
                                </a:lnTo>
                              </a:path>
                            </a:pathLst>
                          </a:custGeom>
                          <a:ln w="7232" cap="flat">
                            <a:round/>
                          </a:ln>
                        </wps:spPr>
                        <wps:style>
                          <a:lnRef idx="1">
                            <a:srgbClr val="000000"/>
                          </a:lnRef>
                          <a:fillRef idx="0">
                            <a:srgbClr val="000000">
                              <a:alpha val="0"/>
                            </a:srgbClr>
                          </a:fillRef>
                          <a:effectRef idx="0">
                            <a:scrgbClr r="0" g="0" b="0"/>
                          </a:effectRef>
                          <a:fontRef idx="none"/>
                        </wps:style>
                        <wps:bodyPr/>
                      </wps:wsp>
                      <wps:wsp>
                        <wps:cNvPr id="16684" name="Shape 16684"/>
                        <wps:cNvSpPr/>
                        <wps:spPr>
                          <a:xfrm>
                            <a:off x="0" y="267807"/>
                            <a:ext cx="97444" cy="0"/>
                          </a:xfrm>
                          <a:custGeom>
                            <a:avLst/>
                            <a:gdLst/>
                            <a:ahLst/>
                            <a:cxnLst/>
                            <a:rect l="0" t="0" r="0" b="0"/>
                            <a:pathLst>
                              <a:path w="97444">
                                <a:moveTo>
                                  <a:pt x="0" y="0"/>
                                </a:moveTo>
                                <a:lnTo>
                                  <a:pt x="97444" y="0"/>
                                </a:lnTo>
                              </a:path>
                            </a:pathLst>
                          </a:custGeom>
                          <a:ln w="7106" cap="flat">
                            <a:round/>
                          </a:ln>
                        </wps:spPr>
                        <wps:style>
                          <a:lnRef idx="1">
                            <a:srgbClr val="000000"/>
                          </a:lnRef>
                          <a:fillRef idx="0">
                            <a:srgbClr val="000000">
                              <a:alpha val="0"/>
                            </a:srgbClr>
                          </a:fillRef>
                          <a:effectRef idx="0">
                            <a:scrgbClr r="0" g="0" b="0"/>
                          </a:effectRef>
                          <a:fontRef idx="none"/>
                        </wps:style>
                        <wps:bodyPr/>
                      </wps:wsp>
                      <wps:wsp>
                        <wps:cNvPr id="16685" name="Shape 16685"/>
                        <wps:cNvSpPr/>
                        <wps:spPr>
                          <a:xfrm>
                            <a:off x="347601" y="253278"/>
                            <a:ext cx="25333" cy="0"/>
                          </a:xfrm>
                          <a:custGeom>
                            <a:avLst/>
                            <a:gdLst/>
                            <a:ahLst/>
                            <a:cxnLst/>
                            <a:rect l="0" t="0" r="0" b="0"/>
                            <a:pathLst>
                              <a:path w="25333">
                                <a:moveTo>
                                  <a:pt x="0" y="0"/>
                                </a:moveTo>
                                <a:lnTo>
                                  <a:pt x="25333" y="0"/>
                                </a:lnTo>
                              </a:path>
                            </a:pathLst>
                          </a:custGeom>
                          <a:ln w="4061" cap="flat">
                            <a:round/>
                          </a:ln>
                        </wps:spPr>
                        <wps:style>
                          <a:lnRef idx="1">
                            <a:srgbClr val="000000"/>
                          </a:lnRef>
                          <a:fillRef idx="0">
                            <a:srgbClr val="000000">
                              <a:alpha val="0"/>
                            </a:srgbClr>
                          </a:fillRef>
                          <a:effectRef idx="0">
                            <a:scrgbClr r="0" g="0" b="0"/>
                          </a:effectRef>
                          <a:fontRef idx="none"/>
                        </wps:style>
                        <wps:bodyPr/>
                      </wps:wsp>
                      <wps:wsp>
                        <wps:cNvPr id="16686" name="Shape 16686"/>
                        <wps:cNvSpPr/>
                        <wps:spPr>
                          <a:xfrm>
                            <a:off x="641515" y="267807"/>
                            <a:ext cx="97875" cy="0"/>
                          </a:xfrm>
                          <a:custGeom>
                            <a:avLst/>
                            <a:gdLst/>
                            <a:ahLst/>
                            <a:cxnLst/>
                            <a:rect l="0" t="0" r="0" b="0"/>
                            <a:pathLst>
                              <a:path w="97875">
                                <a:moveTo>
                                  <a:pt x="0" y="0"/>
                                </a:moveTo>
                                <a:lnTo>
                                  <a:pt x="97875" y="0"/>
                                </a:lnTo>
                              </a:path>
                            </a:pathLst>
                          </a:custGeom>
                          <a:ln w="7106"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68009" style="width:75.3046pt;height:21.0872pt;position:absolute;z-index:-2147483510;mso-position-horizontal-relative:text;mso-position-horizontal:absolute;margin-left:163.819pt;mso-position-vertical-relative:text;margin-top:15.9025pt;" coordsize="9563,2678">
                <v:shape id="Shape 16677" style="position:absolute;width:832;height:0;left:8731;top:0;" coordsize="83224,0" path="m0,0l83224,0">
                  <v:stroke weight="0.569443pt" endcap="flat" joinstyle="round" on="true" color="#000000"/>
                  <v:fill on="false" color="#000000" opacity="0"/>
                </v:shape>
                <v:shape id="Shape 16684" style="position:absolute;width:974;height:0;left:0;top:2678;" coordsize="97444,0" path="m0,0l97444,0">
                  <v:stroke weight="0.559553pt" endcap="flat" joinstyle="round" on="true" color="#000000"/>
                  <v:fill on="false" color="#000000" opacity="0"/>
                </v:shape>
                <v:shape id="Shape 16685" style="position:absolute;width:253;height:0;left:3476;top:2532;" coordsize="25333,0" path="m0,0l25333,0">
                  <v:stroke weight="0.31974pt" endcap="flat" joinstyle="round" on="true" color="#000000"/>
                  <v:fill on="false" color="#000000" opacity="0"/>
                </v:shape>
                <v:shape id="Shape 16686" style="position:absolute;width:978;height:0;left:6415;top:2678;" coordsize="97875,0" path="m0,0l97875,0">
                  <v:stroke weight="0.559553pt" endcap="flat" joinstyle="round" on="true" color="#000000"/>
                  <v:fill on="false" color="#000000" opacity="0"/>
                </v:shape>
              </v:group>
            </w:pict>
          </mc:Fallback>
        </mc:AlternateContent>
      </w:r>
      <w:r>
        <w:t xml:space="preserve">Уравнение (1) представляется в виде экспоненциальной кривой (рис. 4) асимптотически приближающейся к </w:t>
      </w:r>
      <w:r>
        <w:rPr>
          <w:rFonts w:ascii="Segoe UI Symbol" w:eastAsia="Segoe UI Symbol" w:hAnsi="Segoe UI Symbol" w:cs="Segoe UI Symbol"/>
          <w:sz w:val="25"/>
        </w:rPr>
        <w:t></w:t>
      </w:r>
      <w:r>
        <w:t xml:space="preserve"> поскольку </w:t>
      </w:r>
    </w:p>
    <w:p w:rsidR="002C0F56" w:rsidRDefault="00E67C6E">
      <w:pPr>
        <w:spacing w:after="75" w:line="259" w:lineRule="auto"/>
        <w:ind w:left="2375" w:firstLine="0"/>
        <w:jc w:val="left"/>
      </w:pPr>
      <w:r>
        <w:rPr>
          <w:rFonts w:ascii="Calibri" w:eastAsia="Calibri" w:hAnsi="Calibri" w:cs="Calibri"/>
          <w:noProof/>
          <w:sz w:val="22"/>
        </w:rPr>
        <mc:AlternateContent>
          <mc:Choice Requires="wpg">
            <w:drawing>
              <wp:inline distT="0" distB="0" distL="0" distR="0">
                <wp:extent cx="97516" cy="7106"/>
                <wp:effectExtent l="0" t="0" r="0" b="0"/>
                <wp:docPr id="568010" name="Group 568010"/>
                <wp:cNvGraphicFramePr/>
                <a:graphic xmlns:a="http://schemas.openxmlformats.org/drawingml/2006/main">
                  <a:graphicData uri="http://schemas.microsoft.com/office/word/2010/wordprocessingGroup">
                    <wpg:wgp>
                      <wpg:cNvGrpSpPr/>
                      <wpg:grpSpPr>
                        <a:xfrm>
                          <a:off x="0" y="0"/>
                          <a:ext cx="97516" cy="7106"/>
                          <a:chOff x="0" y="0"/>
                          <a:chExt cx="97516" cy="7106"/>
                        </a:xfrm>
                      </wpg:grpSpPr>
                      <wps:wsp>
                        <wps:cNvPr id="16683" name="Shape 16683"/>
                        <wps:cNvSpPr/>
                        <wps:spPr>
                          <a:xfrm>
                            <a:off x="0" y="0"/>
                            <a:ext cx="97516" cy="0"/>
                          </a:xfrm>
                          <a:custGeom>
                            <a:avLst/>
                            <a:gdLst/>
                            <a:ahLst/>
                            <a:cxnLst/>
                            <a:rect l="0" t="0" r="0" b="0"/>
                            <a:pathLst>
                              <a:path w="97516">
                                <a:moveTo>
                                  <a:pt x="0" y="0"/>
                                </a:moveTo>
                                <a:lnTo>
                                  <a:pt x="97516" y="0"/>
                                </a:lnTo>
                              </a:path>
                            </a:pathLst>
                          </a:custGeom>
                          <a:ln w="710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68010" style="width:7.67839pt;height:0.559553pt;mso-position-horizontal-relative:char;mso-position-vertical-relative:line" coordsize="975,71">
                <v:shape id="Shape 16683" style="position:absolute;width:975;height:0;left:0;top:0;" coordsize="97516,0" path="m0,0l97516,0">
                  <v:stroke weight="0.559553pt" endcap="flat" joinstyle="round" on="true" color="#000000"/>
                  <v:fill on="false" color="#000000" opacity="0"/>
                </v:shape>
              </v:group>
            </w:pict>
          </mc:Fallback>
        </mc:AlternateContent>
      </w:r>
    </w:p>
    <w:p w:rsidR="002C0F56" w:rsidRDefault="00E67C6E">
      <w:pPr>
        <w:tabs>
          <w:tab w:val="center" w:pos="2636"/>
          <w:tab w:val="center" w:pos="8905"/>
        </w:tabs>
        <w:spacing w:after="174" w:line="259" w:lineRule="auto"/>
        <w:ind w:left="0" w:firstLine="0"/>
        <w:jc w:val="left"/>
      </w:pPr>
      <w:r>
        <w:rPr>
          <w:rFonts w:ascii="Calibri" w:eastAsia="Calibri" w:hAnsi="Calibri" w:cs="Calibri"/>
          <w:sz w:val="22"/>
        </w:rPr>
        <w:tab/>
      </w:r>
      <w:r>
        <w:rPr>
          <w:sz w:val="27"/>
        </w:rPr>
        <w:t>lim</w:t>
      </w:r>
      <w:r>
        <w:rPr>
          <w:i/>
          <w:sz w:val="16"/>
        </w:rPr>
        <w:t>t</w:t>
      </w:r>
      <w:r>
        <w:rPr>
          <w:rFonts w:ascii="Segoe UI Symbol" w:eastAsia="Segoe UI Symbol" w:hAnsi="Segoe UI Symbol" w:cs="Segoe UI Symbol"/>
          <w:sz w:val="16"/>
        </w:rPr>
        <w:t></w:t>
      </w:r>
      <w:r>
        <w:rPr>
          <w:rFonts w:ascii="Segoe UI Symbol" w:eastAsia="Segoe UI Symbol" w:hAnsi="Segoe UI Symbol" w:cs="Segoe UI Symbol"/>
          <w:sz w:val="16"/>
        </w:rPr>
        <w:t xml:space="preserve"> </w:t>
      </w:r>
      <w:r>
        <w:rPr>
          <w:i/>
          <w:sz w:val="27"/>
        </w:rPr>
        <w:t>S</w:t>
      </w:r>
      <w:r>
        <w:rPr>
          <w:sz w:val="27"/>
        </w:rPr>
        <w:t>(</w:t>
      </w:r>
      <w:r>
        <w:rPr>
          <w:i/>
          <w:sz w:val="27"/>
        </w:rPr>
        <w:t>t</w:t>
      </w:r>
      <w:r>
        <w:rPr>
          <w:sz w:val="27"/>
        </w:rPr>
        <w:t xml:space="preserve">) </w:t>
      </w:r>
      <w:r>
        <w:rPr>
          <w:rFonts w:ascii="Segoe UI Symbol" w:eastAsia="Segoe UI Symbol" w:hAnsi="Segoe UI Symbol" w:cs="Segoe UI Symbol"/>
          <w:sz w:val="27"/>
        </w:rPr>
        <w:t xml:space="preserve"> </w:t>
      </w:r>
      <w:r>
        <w:rPr>
          <w:sz w:val="27"/>
        </w:rPr>
        <w:t>lim</w:t>
      </w:r>
      <w:r>
        <w:rPr>
          <w:i/>
          <w:sz w:val="16"/>
        </w:rPr>
        <w:t>t</w:t>
      </w:r>
      <w:r>
        <w:rPr>
          <w:rFonts w:ascii="Segoe UI Symbol" w:eastAsia="Segoe UI Symbol" w:hAnsi="Segoe UI Symbol" w:cs="Segoe UI Symbol"/>
          <w:sz w:val="16"/>
        </w:rPr>
        <w:t></w:t>
      </w:r>
      <w:r>
        <w:rPr>
          <w:rFonts w:ascii="Segoe UI Symbol" w:eastAsia="Segoe UI Symbol" w:hAnsi="Segoe UI Symbol" w:cs="Segoe UI Symbol"/>
          <w:sz w:val="16"/>
        </w:rPr>
        <w:t></w:t>
      </w:r>
      <w:r>
        <w:rPr>
          <w:sz w:val="27"/>
        </w:rPr>
        <w:t>(</w:t>
      </w:r>
      <w:r>
        <w:rPr>
          <w:rFonts w:ascii="Segoe UI Symbol" w:eastAsia="Segoe UI Symbol" w:hAnsi="Segoe UI Symbol" w:cs="Segoe UI Symbol"/>
        </w:rPr>
        <w:t></w:t>
      </w:r>
      <w:r>
        <w:rPr>
          <w:rFonts w:ascii="Segoe UI Symbol" w:eastAsia="Segoe UI Symbol" w:hAnsi="Segoe UI Symbol" w:cs="Segoe UI Symbol"/>
          <w:sz w:val="27"/>
        </w:rPr>
        <w:t xml:space="preserve"> </w:t>
      </w:r>
      <w:r>
        <w:rPr>
          <w:sz w:val="27"/>
        </w:rPr>
        <w:t>(1</w:t>
      </w:r>
      <w:r>
        <w:rPr>
          <w:rFonts w:ascii="Segoe UI Symbol" w:eastAsia="Segoe UI Symbol" w:hAnsi="Segoe UI Symbol" w:cs="Segoe UI Symbol"/>
          <w:sz w:val="27"/>
        </w:rPr>
        <w:t></w:t>
      </w:r>
      <w:r>
        <w:rPr>
          <w:rFonts w:ascii="Segoe UI Symbol" w:eastAsia="Segoe UI Symbol" w:hAnsi="Segoe UI Symbol" w:cs="Segoe UI Symbol"/>
        </w:rPr>
        <w:t></w:t>
      </w:r>
      <w:r>
        <w:rPr>
          <w:sz w:val="27"/>
        </w:rPr>
        <w:t>)</w:t>
      </w:r>
      <w:r>
        <w:rPr>
          <w:i/>
          <w:sz w:val="27"/>
        </w:rPr>
        <w:t>e</w:t>
      </w:r>
      <w:r>
        <w:rPr>
          <w:rFonts w:ascii="Segoe UI Symbol" w:eastAsia="Segoe UI Symbol" w:hAnsi="Segoe UI Symbol" w:cs="Segoe UI Symbol"/>
          <w:sz w:val="24"/>
          <w:vertAlign w:val="superscript"/>
        </w:rPr>
        <w:t></w:t>
      </w:r>
      <w:r>
        <w:rPr>
          <w:i/>
          <w:sz w:val="24"/>
          <w:vertAlign w:val="superscript"/>
        </w:rPr>
        <w:t xml:space="preserve">t </w:t>
      </w:r>
      <w:r>
        <w:rPr>
          <w:sz w:val="27"/>
        </w:rPr>
        <w:t xml:space="preserve">) </w:t>
      </w:r>
      <w:r>
        <w:rPr>
          <w:rFonts w:ascii="Segoe UI Symbol" w:eastAsia="Segoe UI Symbol" w:hAnsi="Segoe UI Symbol" w:cs="Segoe UI Symbol"/>
          <w:sz w:val="27"/>
        </w:rPr>
        <w:t></w:t>
      </w:r>
      <w:r>
        <w:rPr>
          <w:rFonts w:ascii="Segoe UI Symbol" w:eastAsia="Segoe UI Symbol" w:hAnsi="Segoe UI Symbol" w:cs="Segoe UI Symbol"/>
        </w:rPr>
        <w:t></w:t>
      </w:r>
      <w:r>
        <w:t xml:space="preserve"> </w:t>
      </w:r>
      <w:r>
        <w:tab/>
        <w:t xml:space="preserve">(2) </w:t>
      </w:r>
    </w:p>
    <w:p w:rsidR="002C0F56" w:rsidRDefault="00E67C6E">
      <w:pPr>
        <w:spacing w:after="0" w:line="259" w:lineRule="auto"/>
        <w:ind w:left="744" w:firstLine="0"/>
        <w:jc w:val="left"/>
      </w:pPr>
      <w:r>
        <w:t xml:space="preserve"> </w:t>
      </w:r>
    </w:p>
    <w:p w:rsidR="002C0F56" w:rsidRDefault="00E67C6E">
      <w:pPr>
        <w:spacing w:after="145" w:line="259" w:lineRule="auto"/>
        <w:ind w:left="801" w:firstLine="0"/>
        <w:jc w:val="left"/>
      </w:pPr>
      <w:r>
        <w:rPr>
          <w:noProof/>
        </w:rPr>
        <w:drawing>
          <wp:inline distT="0" distB="0" distL="0" distR="0">
            <wp:extent cx="4011168" cy="2081784"/>
            <wp:effectExtent l="0" t="0" r="0" b="0"/>
            <wp:docPr id="689290" name="Picture 689290"/>
            <wp:cNvGraphicFramePr/>
            <a:graphic xmlns:a="http://schemas.openxmlformats.org/drawingml/2006/main">
              <a:graphicData uri="http://schemas.openxmlformats.org/drawingml/2006/picture">
                <pic:pic xmlns:pic="http://schemas.openxmlformats.org/drawingml/2006/picture">
                  <pic:nvPicPr>
                    <pic:cNvPr id="689290" name="Picture 689290"/>
                    <pic:cNvPicPr/>
                  </pic:nvPicPr>
                  <pic:blipFill>
                    <a:blip r:embed="rId343"/>
                    <a:stretch>
                      <a:fillRect/>
                    </a:stretch>
                  </pic:blipFill>
                  <pic:spPr>
                    <a:xfrm>
                      <a:off x="0" y="0"/>
                      <a:ext cx="4011168" cy="2081784"/>
                    </a:xfrm>
                    <a:prstGeom prst="rect">
                      <a:avLst/>
                    </a:prstGeom>
                  </pic:spPr>
                </pic:pic>
              </a:graphicData>
            </a:graphic>
          </wp:inline>
        </w:drawing>
      </w:r>
    </w:p>
    <w:p w:rsidR="002C0F56" w:rsidRDefault="00E67C6E">
      <w:pPr>
        <w:pStyle w:val="4"/>
        <w:ind w:left="1181" w:right="1315"/>
      </w:pPr>
      <w:r>
        <w:t xml:space="preserve">Рис. 4. График зависимости степени толерантности хранимых знаний от времени </w:t>
      </w:r>
    </w:p>
    <w:p w:rsidR="002C0F56" w:rsidRDefault="00E67C6E">
      <w:pPr>
        <w:spacing w:after="47" w:line="259" w:lineRule="auto"/>
        <w:ind w:left="3021" w:firstLine="0"/>
        <w:jc w:val="left"/>
      </w:pPr>
      <w:r>
        <w:rPr>
          <w:rFonts w:ascii="Calibri" w:eastAsia="Calibri" w:hAnsi="Calibri" w:cs="Calibri"/>
          <w:noProof/>
          <w:sz w:val="22"/>
        </w:rPr>
        <mc:AlternateContent>
          <mc:Choice Requires="wpg">
            <w:drawing>
              <wp:inline distT="0" distB="0" distL="0" distR="0">
                <wp:extent cx="86012" cy="7196"/>
                <wp:effectExtent l="0" t="0" r="0" b="0"/>
                <wp:docPr id="568581" name="Group 568581"/>
                <wp:cNvGraphicFramePr/>
                <a:graphic xmlns:a="http://schemas.openxmlformats.org/drawingml/2006/main">
                  <a:graphicData uri="http://schemas.microsoft.com/office/word/2010/wordprocessingGroup">
                    <wpg:wgp>
                      <wpg:cNvGrpSpPr/>
                      <wpg:grpSpPr>
                        <a:xfrm>
                          <a:off x="0" y="0"/>
                          <a:ext cx="86012" cy="7196"/>
                          <a:chOff x="0" y="0"/>
                          <a:chExt cx="86012" cy="7196"/>
                        </a:xfrm>
                      </wpg:grpSpPr>
                      <wps:wsp>
                        <wps:cNvPr id="17106" name="Shape 17106"/>
                        <wps:cNvSpPr/>
                        <wps:spPr>
                          <a:xfrm>
                            <a:off x="0" y="0"/>
                            <a:ext cx="86012" cy="0"/>
                          </a:xfrm>
                          <a:custGeom>
                            <a:avLst/>
                            <a:gdLst/>
                            <a:ahLst/>
                            <a:cxnLst/>
                            <a:rect l="0" t="0" r="0" b="0"/>
                            <a:pathLst>
                              <a:path w="86012">
                                <a:moveTo>
                                  <a:pt x="0" y="0"/>
                                </a:moveTo>
                                <a:lnTo>
                                  <a:pt x="86012" y="0"/>
                                </a:lnTo>
                              </a:path>
                            </a:pathLst>
                          </a:custGeom>
                          <a:ln w="719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68581" style="width:6.77261pt;height:3.05176e-05pt;mso-position-horizontal-relative:char;mso-position-vertical-relative:line" coordsize="860,0">
                <v:shape id="Shape 17106" style="position:absolute;width:860;height:0;left:0;top:0;" coordsize="86012,0" path="m0,0l86012,0">
                  <v:stroke weight="0.566615pt" endcap="flat" joinstyle="round" on="true" color="#000000"/>
                  <v:fill on="false" color="#000000" opacity="0"/>
                </v:shape>
              </v:group>
            </w:pict>
          </mc:Fallback>
        </mc:AlternateContent>
      </w:r>
    </w:p>
    <w:p w:rsidR="002C0F56" w:rsidRDefault="00E67C6E">
      <w:pPr>
        <w:spacing w:after="11" w:line="270" w:lineRule="auto"/>
        <w:ind w:left="10" w:right="862" w:hanging="10"/>
        <w:jc w:val="right"/>
      </w:pPr>
      <w:r>
        <w:t xml:space="preserve">В данном случае </w:t>
      </w:r>
      <w:r>
        <w:rPr>
          <w:rFonts w:ascii="Segoe UI Symbol" w:eastAsia="Segoe UI Symbol" w:hAnsi="Segoe UI Symbol" w:cs="Segoe UI Symbol"/>
          <w:sz w:val="39"/>
          <w:vertAlign w:val="superscript"/>
        </w:rPr>
        <w:t></w:t>
      </w:r>
      <w:r>
        <w:t xml:space="preserve"> это степень толерантности извлекаемых остаточных </w:t>
      </w:r>
    </w:p>
    <w:p w:rsidR="002C0F56" w:rsidRDefault="00E67C6E">
      <w:pPr>
        <w:spacing w:after="100" w:line="259" w:lineRule="auto"/>
        <w:ind w:left="9588" w:firstLine="0"/>
        <w:jc w:val="left"/>
      </w:pPr>
      <w:r>
        <w:rPr>
          <w:rFonts w:ascii="Calibri" w:eastAsia="Calibri" w:hAnsi="Calibri" w:cs="Calibri"/>
          <w:noProof/>
          <w:sz w:val="22"/>
        </w:rPr>
        <mc:AlternateContent>
          <mc:Choice Requires="wpg">
            <w:drawing>
              <wp:inline distT="0" distB="0" distL="0" distR="0">
                <wp:extent cx="96917" cy="8398"/>
                <wp:effectExtent l="0" t="0" r="0" b="0"/>
                <wp:docPr id="568582" name="Group 568582"/>
                <wp:cNvGraphicFramePr/>
                <a:graphic xmlns:a="http://schemas.openxmlformats.org/drawingml/2006/main">
                  <a:graphicData uri="http://schemas.microsoft.com/office/word/2010/wordprocessingGroup">
                    <wpg:wgp>
                      <wpg:cNvGrpSpPr/>
                      <wpg:grpSpPr>
                        <a:xfrm>
                          <a:off x="0" y="0"/>
                          <a:ext cx="96917" cy="8398"/>
                          <a:chOff x="0" y="0"/>
                          <a:chExt cx="96917" cy="8398"/>
                        </a:xfrm>
                      </wpg:grpSpPr>
                      <wps:wsp>
                        <wps:cNvPr id="17123" name="Shape 17123"/>
                        <wps:cNvSpPr/>
                        <wps:spPr>
                          <a:xfrm>
                            <a:off x="0" y="0"/>
                            <a:ext cx="96917" cy="0"/>
                          </a:xfrm>
                          <a:custGeom>
                            <a:avLst/>
                            <a:gdLst/>
                            <a:ahLst/>
                            <a:cxnLst/>
                            <a:rect l="0" t="0" r="0" b="0"/>
                            <a:pathLst>
                              <a:path w="96917">
                                <a:moveTo>
                                  <a:pt x="0" y="0"/>
                                </a:moveTo>
                                <a:lnTo>
                                  <a:pt x="96917" y="0"/>
                                </a:lnTo>
                              </a:path>
                            </a:pathLst>
                          </a:custGeom>
                          <a:ln w="839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68582" style="width:7.63129pt;height:3.05176e-05pt;mso-position-horizontal-relative:char;mso-position-vertical-relative:line" coordsize="969,0">
                <v:shape id="Shape 17123" style="position:absolute;width:969;height:0;left:0;top:0;" coordsize="96917,0" path="m0,0l96917,0">
                  <v:stroke weight="0.661291pt" endcap="flat" joinstyle="round" on="true" color="#000000"/>
                  <v:fill on="false" color="#000000" opacity="0"/>
                </v:shape>
              </v:group>
            </w:pict>
          </mc:Fallback>
        </mc:AlternateContent>
      </w:r>
    </w:p>
    <w:p w:rsidR="002C0F56" w:rsidRDefault="00E67C6E">
      <w:pPr>
        <w:ind w:left="165" w:right="302" w:firstLine="0"/>
      </w:pPr>
      <w:r>
        <w:t xml:space="preserve">знаний </w:t>
      </w:r>
      <w:r>
        <w:rPr>
          <w:i/>
        </w:rPr>
        <w:t>Х</w:t>
      </w:r>
      <w:r>
        <w:rPr>
          <w:i/>
          <w:vertAlign w:val="subscript"/>
        </w:rPr>
        <w:t>оз</w:t>
      </w:r>
      <w:r>
        <w:t xml:space="preserve"> и эталона знаний </w:t>
      </w:r>
      <w:r>
        <w:rPr>
          <w:i/>
        </w:rPr>
        <w:t>Х</w:t>
      </w:r>
      <w:r>
        <w:t xml:space="preserve">. </w:t>
      </w:r>
      <w:r>
        <w:t xml:space="preserve">Экспериментальные данные показывают, что </w:t>
      </w:r>
      <w:r>
        <w:rPr>
          <w:rFonts w:ascii="Segoe UI Symbol" w:eastAsia="Segoe UI Symbol" w:hAnsi="Segoe UI Symbol" w:cs="Segoe UI Symbol"/>
          <w:sz w:val="30"/>
        </w:rPr>
        <w:t></w:t>
      </w:r>
      <w:r>
        <w:t xml:space="preserve"> </w:t>
      </w:r>
    </w:p>
    <w:p w:rsidR="002C0F56" w:rsidRDefault="00E67C6E">
      <w:pPr>
        <w:ind w:left="165" w:right="866" w:firstLine="0"/>
      </w:pPr>
      <w:r>
        <w:t xml:space="preserve">≈ 0,1. Это значит, что объем остаточных знаний </w:t>
      </w:r>
      <w:r>
        <w:rPr>
          <w:i/>
        </w:rPr>
        <w:t>Х</w:t>
      </w:r>
      <w:r>
        <w:rPr>
          <w:i/>
          <w:vertAlign w:val="subscript"/>
        </w:rPr>
        <w:t>оз</w:t>
      </w:r>
      <w:r>
        <w:t xml:space="preserve"> составляет около 10% от первоначально усвоенных знаний</w:t>
      </w:r>
      <w:r>
        <w:rPr>
          <w:i/>
        </w:rPr>
        <w:t xml:space="preserve"> </w:t>
      </w:r>
      <w:r>
        <w:t xml:space="preserve">при </w:t>
      </w:r>
      <w:r>
        <w:rPr>
          <w:i/>
          <w:sz w:val="29"/>
        </w:rPr>
        <w:t xml:space="preserve">t </w:t>
      </w:r>
      <w:r>
        <w:rPr>
          <w:rFonts w:ascii="Segoe UI Symbol" w:eastAsia="Segoe UI Symbol" w:hAnsi="Segoe UI Symbol" w:cs="Segoe UI Symbol"/>
          <w:sz w:val="29"/>
        </w:rPr>
        <w:t></w:t>
      </w:r>
      <w:r>
        <w:rPr>
          <w:rFonts w:ascii="Segoe UI Symbol" w:eastAsia="Segoe UI Symbol" w:hAnsi="Segoe UI Symbol" w:cs="Segoe UI Symbol"/>
          <w:sz w:val="29"/>
        </w:rPr>
        <w:t></w:t>
      </w:r>
      <w:r>
        <w:t>. Если через некоторый промежуток времени Δ</w:t>
      </w:r>
      <w:r>
        <w:rPr>
          <w:i/>
        </w:rPr>
        <w:t>t</w:t>
      </w:r>
      <w:r>
        <w:t xml:space="preserve"> знания будут воспроизведены, сопоставлены с эталоном </w:t>
      </w:r>
      <w:r>
        <w:rPr>
          <w:i/>
        </w:rPr>
        <w:t>Х</w:t>
      </w:r>
      <w:r>
        <w:t xml:space="preserve"> и восприняты повторно, то их степень толерантности опять примет значение близкое к 1. Очевидно, что чем меньше промежуток времени Δ</w:t>
      </w:r>
      <w:r>
        <w:rPr>
          <w:i/>
        </w:rPr>
        <w:t>t,</w:t>
      </w:r>
      <w:r>
        <w:t xml:space="preserve"> тем более сглаженной будет кривая зависимости степени толерантности от времени. При достаточно малом  интервале Δ</w:t>
      </w:r>
      <w:r>
        <w:rPr>
          <w:i/>
        </w:rPr>
        <w:t xml:space="preserve">t </w:t>
      </w:r>
      <w:r>
        <w:t xml:space="preserve">значение степени толерантности будет незначительно отличаться от 1 (рис. 5) </w:t>
      </w:r>
    </w:p>
    <w:p w:rsidR="002C0F56" w:rsidRDefault="00E67C6E">
      <w:pPr>
        <w:spacing w:after="0" w:line="259" w:lineRule="auto"/>
        <w:ind w:left="939" w:firstLine="0"/>
        <w:jc w:val="left"/>
      </w:pPr>
      <w:r>
        <w:rPr>
          <w:rFonts w:ascii="Calibri" w:eastAsia="Calibri" w:hAnsi="Calibri" w:cs="Calibri"/>
          <w:noProof/>
          <w:sz w:val="22"/>
        </w:rPr>
        <w:lastRenderedPageBreak/>
        <mc:AlternateContent>
          <mc:Choice Requires="wpg">
            <w:drawing>
              <wp:inline distT="0" distB="0" distL="0" distR="0">
                <wp:extent cx="3497784" cy="2069319"/>
                <wp:effectExtent l="0" t="0" r="0" b="0"/>
                <wp:docPr id="568583" name="Group 568583"/>
                <wp:cNvGraphicFramePr/>
                <a:graphic xmlns:a="http://schemas.openxmlformats.org/drawingml/2006/main">
                  <a:graphicData uri="http://schemas.microsoft.com/office/word/2010/wordprocessingGroup">
                    <wpg:wgp>
                      <wpg:cNvGrpSpPr/>
                      <wpg:grpSpPr>
                        <a:xfrm>
                          <a:off x="0" y="0"/>
                          <a:ext cx="3497784" cy="2069319"/>
                          <a:chOff x="0" y="0"/>
                          <a:chExt cx="3497784" cy="2069319"/>
                        </a:xfrm>
                      </wpg:grpSpPr>
                      <wps:wsp>
                        <wps:cNvPr id="17204" name="Shape 17204"/>
                        <wps:cNvSpPr/>
                        <wps:spPr>
                          <a:xfrm>
                            <a:off x="217373" y="0"/>
                            <a:ext cx="76200" cy="1842770"/>
                          </a:xfrm>
                          <a:custGeom>
                            <a:avLst/>
                            <a:gdLst/>
                            <a:ahLst/>
                            <a:cxnLst/>
                            <a:rect l="0" t="0" r="0" b="0"/>
                            <a:pathLst>
                              <a:path w="76200" h="1842770">
                                <a:moveTo>
                                  <a:pt x="38100" y="0"/>
                                </a:moveTo>
                                <a:lnTo>
                                  <a:pt x="76200" y="76200"/>
                                </a:lnTo>
                                <a:lnTo>
                                  <a:pt x="44450" y="76200"/>
                                </a:lnTo>
                                <a:lnTo>
                                  <a:pt x="44450" y="1842770"/>
                                </a:lnTo>
                                <a:lnTo>
                                  <a:pt x="31750" y="1842770"/>
                                </a:lnTo>
                                <a:lnTo>
                                  <a:pt x="31750" y="76200"/>
                                </a:lnTo>
                                <a:lnTo>
                                  <a:pt x="0" y="76200"/>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05" name="Shape 17205"/>
                        <wps:cNvSpPr/>
                        <wps:spPr>
                          <a:xfrm>
                            <a:off x="250393" y="1783715"/>
                            <a:ext cx="3121660" cy="76200"/>
                          </a:xfrm>
                          <a:custGeom>
                            <a:avLst/>
                            <a:gdLst/>
                            <a:ahLst/>
                            <a:cxnLst/>
                            <a:rect l="0" t="0" r="0" b="0"/>
                            <a:pathLst>
                              <a:path w="3121660" h="76200">
                                <a:moveTo>
                                  <a:pt x="3045460" y="0"/>
                                </a:moveTo>
                                <a:lnTo>
                                  <a:pt x="3121660" y="38100"/>
                                </a:lnTo>
                                <a:lnTo>
                                  <a:pt x="3045460" y="76200"/>
                                </a:lnTo>
                                <a:lnTo>
                                  <a:pt x="3045460" y="44448"/>
                                </a:lnTo>
                                <a:lnTo>
                                  <a:pt x="0" y="43815"/>
                                </a:lnTo>
                                <a:lnTo>
                                  <a:pt x="0" y="31115"/>
                                </a:lnTo>
                                <a:lnTo>
                                  <a:pt x="3045460" y="31748"/>
                                </a:lnTo>
                                <a:lnTo>
                                  <a:pt x="304546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06" name="Shape 17206"/>
                        <wps:cNvSpPr/>
                        <wps:spPr>
                          <a:xfrm>
                            <a:off x="250393" y="1568450"/>
                            <a:ext cx="3067685" cy="0"/>
                          </a:xfrm>
                          <a:custGeom>
                            <a:avLst/>
                            <a:gdLst/>
                            <a:ahLst/>
                            <a:cxnLst/>
                            <a:rect l="0" t="0" r="0" b="0"/>
                            <a:pathLst>
                              <a:path w="3067685">
                                <a:moveTo>
                                  <a:pt x="0" y="0"/>
                                </a:moveTo>
                                <a:lnTo>
                                  <a:pt x="306768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07" name="Shape 17207"/>
                        <wps:cNvSpPr/>
                        <wps:spPr>
                          <a:xfrm>
                            <a:off x="250393" y="1285875"/>
                            <a:ext cx="3067685" cy="636"/>
                          </a:xfrm>
                          <a:custGeom>
                            <a:avLst/>
                            <a:gdLst/>
                            <a:ahLst/>
                            <a:cxnLst/>
                            <a:rect l="0" t="0" r="0" b="0"/>
                            <a:pathLst>
                              <a:path w="3067685" h="636">
                                <a:moveTo>
                                  <a:pt x="0" y="0"/>
                                </a:moveTo>
                                <a:lnTo>
                                  <a:pt x="3067685" y="636"/>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08" name="Shape 17208"/>
                        <wps:cNvSpPr/>
                        <wps:spPr>
                          <a:xfrm>
                            <a:off x="258013" y="963295"/>
                            <a:ext cx="3068320" cy="636"/>
                          </a:xfrm>
                          <a:custGeom>
                            <a:avLst/>
                            <a:gdLst/>
                            <a:ahLst/>
                            <a:cxnLst/>
                            <a:rect l="0" t="0" r="0" b="0"/>
                            <a:pathLst>
                              <a:path w="3068320" h="636">
                                <a:moveTo>
                                  <a:pt x="0" y="0"/>
                                </a:moveTo>
                                <a:lnTo>
                                  <a:pt x="3068320" y="636"/>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09" name="Shape 17209"/>
                        <wps:cNvSpPr/>
                        <wps:spPr>
                          <a:xfrm>
                            <a:off x="258013" y="640080"/>
                            <a:ext cx="3068320" cy="1270"/>
                          </a:xfrm>
                          <a:custGeom>
                            <a:avLst/>
                            <a:gdLst/>
                            <a:ahLst/>
                            <a:cxnLst/>
                            <a:rect l="0" t="0" r="0" b="0"/>
                            <a:pathLst>
                              <a:path w="3068320" h="1270">
                                <a:moveTo>
                                  <a:pt x="0" y="0"/>
                                </a:moveTo>
                                <a:lnTo>
                                  <a:pt x="3068320" y="127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0" name="Shape 17210"/>
                        <wps:cNvSpPr/>
                        <wps:spPr>
                          <a:xfrm>
                            <a:off x="250393" y="352425"/>
                            <a:ext cx="3067685" cy="635"/>
                          </a:xfrm>
                          <a:custGeom>
                            <a:avLst/>
                            <a:gdLst/>
                            <a:ahLst/>
                            <a:cxnLst/>
                            <a:rect l="0" t="0" r="0" b="0"/>
                            <a:pathLst>
                              <a:path w="3067685" h="635">
                                <a:moveTo>
                                  <a:pt x="0" y="0"/>
                                </a:moveTo>
                                <a:lnTo>
                                  <a:pt x="3067685" y="63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1" name="Shape 17211"/>
                        <wps:cNvSpPr/>
                        <wps:spPr>
                          <a:xfrm>
                            <a:off x="250393" y="349885"/>
                            <a:ext cx="504825" cy="572770"/>
                          </a:xfrm>
                          <a:custGeom>
                            <a:avLst/>
                            <a:gdLst/>
                            <a:ahLst/>
                            <a:cxnLst/>
                            <a:rect l="0" t="0" r="0" b="0"/>
                            <a:pathLst>
                              <a:path w="504825" h="572770">
                                <a:moveTo>
                                  <a:pt x="0" y="0"/>
                                </a:moveTo>
                                <a:cubicBezTo>
                                  <a:pt x="8509" y="29083"/>
                                  <a:pt x="26924" y="116967"/>
                                  <a:pt x="49784" y="175641"/>
                                </a:cubicBezTo>
                                <a:cubicBezTo>
                                  <a:pt x="72263" y="233934"/>
                                  <a:pt x="96901" y="299339"/>
                                  <a:pt x="134620" y="349123"/>
                                </a:cubicBezTo>
                                <a:cubicBezTo>
                                  <a:pt x="172339" y="398399"/>
                                  <a:pt x="214884" y="437007"/>
                                  <a:pt x="276479" y="474218"/>
                                </a:cubicBezTo>
                                <a:cubicBezTo>
                                  <a:pt x="337947" y="511429"/>
                                  <a:pt x="457200" y="552196"/>
                                  <a:pt x="504825" y="57277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2" name="Shape 17212"/>
                        <wps:cNvSpPr/>
                        <wps:spPr>
                          <a:xfrm>
                            <a:off x="802208" y="438150"/>
                            <a:ext cx="483870" cy="349886"/>
                          </a:xfrm>
                          <a:custGeom>
                            <a:avLst/>
                            <a:gdLst/>
                            <a:ahLst/>
                            <a:cxnLst/>
                            <a:rect l="0" t="0" r="0" b="0"/>
                            <a:pathLst>
                              <a:path w="483870" h="349886">
                                <a:moveTo>
                                  <a:pt x="0" y="0"/>
                                </a:moveTo>
                                <a:cubicBezTo>
                                  <a:pt x="12065" y="29210"/>
                                  <a:pt x="49276" y="134620"/>
                                  <a:pt x="73914" y="174879"/>
                                </a:cubicBezTo>
                                <a:cubicBezTo>
                                  <a:pt x="98552" y="215265"/>
                                  <a:pt x="108839" y="218059"/>
                                  <a:pt x="147828" y="241808"/>
                                </a:cubicBezTo>
                                <a:cubicBezTo>
                                  <a:pt x="186817" y="265557"/>
                                  <a:pt x="253111" y="299212"/>
                                  <a:pt x="309118" y="317119"/>
                                </a:cubicBezTo>
                                <a:cubicBezTo>
                                  <a:pt x="365125" y="335026"/>
                                  <a:pt x="447548" y="343154"/>
                                  <a:pt x="483870" y="349886"/>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3" name="Shape 17213"/>
                        <wps:cNvSpPr/>
                        <wps:spPr>
                          <a:xfrm>
                            <a:off x="1337513" y="433070"/>
                            <a:ext cx="466725" cy="274320"/>
                          </a:xfrm>
                          <a:custGeom>
                            <a:avLst/>
                            <a:gdLst/>
                            <a:ahLst/>
                            <a:cxnLst/>
                            <a:rect l="0" t="0" r="0" b="0"/>
                            <a:pathLst>
                              <a:path w="466725" h="274320">
                                <a:moveTo>
                                  <a:pt x="0" y="0"/>
                                </a:moveTo>
                                <a:cubicBezTo>
                                  <a:pt x="9398" y="18288"/>
                                  <a:pt x="34036" y="79248"/>
                                  <a:pt x="56896" y="111379"/>
                                </a:cubicBezTo>
                                <a:cubicBezTo>
                                  <a:pt x="79756" y="144145"/>
                                  <a:pt x="97155" y="170561"/>
                                  <a:pt x="137922" y="194183"/>
                                </a:cubicBezTo>
                                <a:cubicBezTo>
                                  <a:pt x="178308" y="217424"/>
                                  <a:pt x="244602" y="240792"/>
                                  <a:pt x="299212" y="254127"/>
                                </a:cubicBezTo>
                                <a:cubicBezTo>
                                  <a:pt x="353822" y="267589"/>
                                  <a:pt x="431800" y="270256"/>
                                  <a:pt x="466725" y="27432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4" name="Shape 17214"/>
                        <wps:cNvSpPr/>
                        <wps:spPr>
                          <a:xfrm>
                            <a:off x="1864563" y="405130"/>
                            <a:ext cx="538480" cy="208280"/>
                          </a:xfrm>
                          <a:custGeom>
                            <a:avLst/>
                            <a:gdLst/>
                            <a:ahLst/>
                            <a:cxnLst/>
                            <a:rect l="0" t="0" r="0" b="0"/>
                            <a:pathLst>
                              <a:path w="538480" h="208280">
                                <a:moveTo>
                                  <a:pt x="0" y="0"/>
                                </a:moveTo>
                                <a:cubicBezTo>
                                  <a:pt x="8128" y="8509"/>
                                  <a:pt x="21082" y="24130"/>
                                  <a:pt x="47117" y="44323"/>
                                </a:cubicBezTo>
                                <a:cubicBezTo>
                                  <a:pt x="73152" y="64516"/>
                                  <a:pt x="111760" y="98933"/>
                                  <a:pt x="155321" y="122301"/>
                                </a:cubicBezTo>
                                <a:cubicBezTo>
                                  <a:pt x="198755" y="145542"/>
                                  <a:pt x="246761" y="170180"/>
                                  <a:pt x="310515" y="184531"/>
                                </a:cubicBezTo>
                                <a:cubicBezTo>
                                  <a:pt x="374269" y="198882"/>
                                  <a:pt x="490855" y="203327"/>
                                  <a:pt x="538480" y="20828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5" name="Shape 17215"/>
                        <wps:cNvSpPr/>
                        <wps:spPr>
                          <a:xfrm>
                            <a:off x="2464638" y="370840"/>
                            <a:ext cx="456565" cy="161290"/>
                          </a:xfrm>
                          <a:custGeom>
                            <a:avLst/>
                            <a:gdLst/>
                            <a:ahLst/>
                            <a:cxnLst/>
                            <a:rect l="0" t="0" r="0" b="0"/>
                            <a:pathLst>
                              <a:path w="456565" h="161290">
                                <a:moveTo>
                                  <a:pt x="0" y="0"/>
                                </a:moveTo>
                                <a:cubicBezTo>
                                  <a:pt x="10795" y="9017"/>
                                  <a:pt x="37211" y="34925"/>
                                  <a:pt x="66040" y="53721"/>
                                </a:cubicBezTo>
                                <a:cubicBezTo>
                                  <a:pt x="94742" y="72517"/>
                                  <a:pt x="139192" y="99949"/>
                                  <a:pt x="173736" y="114300"/>
                                </a:cubicBezTo>
                                <a:cubicBezTo>
                                  <a:pt x="208280" y="128524"/>
                                  <a:pt x="247777" y="134366"/>
                                  <a:pt x="274701" y="141097"/>
                                </a:cubicBezTo>
                                <a:cubicBezTo>
                                  <a:pt x="301625" y="147828"/>
                                  <a:pt x="305308" y="151384"/>
                                  <a:pt x="335407" y="154559"/>
                                </a:cubicBezTo>
                                <a:cubicBezTo>
                                  <a:pt x="365379" y="157734"/>
                                  <a:pt x="431419" y="159893"/>
                                  <a:pt x="456565" y="16129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6" name="Shape 17216"/>
                        <wps:cNvSpPr/>
                        <wps:spPr>
                          <a:xfrm>
                            <a:off x="2968193" y="358140"/>
                            <a:ext cx="314325" cy="93980"/>
                          </a:xfrm>
                          <a:custGeom>
                            <a:avLst/>
                            <a:gdLst/>
                            <a:ahLst/>
                            <a:cxnLst/>
                            <a:rect l="0" t="0" r="0" b="0"/>
                            <a:pathLst>
                              <a:path w="314325" h="93980">
                                <a:moveTo>
                                  <a:pt x="0" y="0"/>
                                </a:moveTo>
                                <a:cubicBezTo>
                                  <a:pt x="8001" y="5588"/>
                                  <a:pt x="16891" y="21336"/>
                                  <a:pt x="46863" y="33147"/>
                                </a:cubicBezTo>
                                <a:cubicBezTo>
                                  <a:pt x="76708" y="44958"/>
                                  <a:pt x="136017" y="61595"/>
                                  <a:pt x="180594" y="71882"/>
                                </a:cubicBezTo>
                                <a:cubicBezTo>
                                  <a:pt x="225171" y="82169"/>
                                  <a:pt x="286639" y="89535"/>
                                  <a:pt x="314325" y="9398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7" name="Shape 17217"/>
                        <wps:cNvSpPr/>
                        <wps:spPr>
                          <a:xfrm>
                            <a:off x="748233" y="445135"/>
                            <a:ext cx="53975" cy="485775"/>
                          </a:xfrm>
                          <a:custGeom>
                            <a:avLst/>
                            <a:gdLst/>
                            <a:ahLst/>
                            <a:cxnLst/>
                            <a:rect l="0" t="0" r="0" b="0"/>
                            <a:pathLst>
                              <a:path w="53975" h="485775">
                                <a:moveTo>
                                  <a:pt x="5588" y="485775"/>
                                </a:moveTo>
                                <a:lnTo>
                                  <a:pt x="0" y="330581"/>
                                </a:lnTo>
                                <a:lnTo>
                                  <a:pt x="11938" y="155194"/>
                                </a:lnTo>
                                <a:lnTo>
                                  <a:pt x="24003" y="71755"/>
                                </a:lnTo>
                                <a:lnTo>
                                  <a:pt x="5397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8" name="Shape 17218"/>
                        <wps:cNvSpPr/>
                        <wps:spPr>
                          <a:xfrm>
                            <a:off x="1274648" y="425450"/>
                            <a:ext cx="64135" cy="354330"/>
                          </a:xfrm>
                          <a:custGeom>
                            <a:avLst/>
                            <a:gdLst/>
                            <a:ahLst/>
                            <a:cxnLst/>
                            <a:rect l="0" t="0" r="0" b="0"/>
                            <a:pathLst>
                              <a:path w="64135" h="354330">
                                <a:moveTo>
                                  <a:pt x="0" y="354330"/>
                                </a:moveTo>
                                <a:lnTo>
                                  <a:pt x="4953" y="261747"/>
                                </a:lnTo>
                                <a:lnTo>
                                  <a:pt x="18415" y="134239"/>
                                </a:lnTo>
                                <a:lnTo>
                                  <a:pt x="6413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19" name="Shape 17219"/>
                        <wps:cNvSpPr/>
                        <wps:spPr>
                          <a:xfrm>
                            <a:off x="1803603" y="398145"/>
                            <a:ext cx="60960" cy="315595"/>
                          </a:xfrm>
                          <a:custGeom>
                            <a:avLst/>
                            <a:gdLst/>
                            <a:ahLst/>
                            <a:cxnLst/>
                            <a:rect l="0" t="0" r="0" b="0"/>
                            <a:pathLst>
                              <a:path w="60960" h="315595">
                                <a:moveTo>
                                  <a:pt x="0" y="315595"/>
                                </a:moveTo>
                                <a:lnTo>
                                  <a:pt x="889" y="208407"/>
                                </a:lnTo>
                                <a:lnTo>
                                  <a:pt x="14224" y="100838"/>
                                </a:lnTo>
                                <a:lnTo>
                                  <a:pt x="6096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0" name="Shape 17220"/>
                        <wps:cNvSpPr/>
                        <wps:spPr>
                          <a:xfrm>
                            <a:off x="2396058" y="358140"/>
                            <a:ext cx="67945" cy="248285"/>
                          </a:xfrm>
                          <a:custGeom>
                            <a:avLst/>
                            <a:gdLst/>
                            <a:ahLst/>
                            <a:cxnLst/>
                            <a:rect l="0" t="0" r="0" b="0"/>
                            <a:pathLst>
                              <a:path w="67945" h="248285">
                                <a:moveTo>
                                  <a:pt x="0" y="248285"/>
                                </a:moveTo>
                                <a:lnTo>
                                  <a:pt x="7112" y="181229"/>
                                </a:lnTo>
                                <a:lnTo>
                                  <a:pt x="33782" y="67056"/>
                                </a:lnTo>
                                <a:lnTo>
                                  <a:pt x="6794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1" name="Shape 17221"/>
                        <wps:cNvSpPr/>
                        <wps:spPr>
                          <a:xfrm>
                            <a:off x="2900883" y="344170"/>
                            <a:ext cx="74930" cy="195580"/>
                          </a:xfrm>
                          <a:custGeom>
                            <a:avLst/>
                            <a:gdLst/>
                            <a:ahLst/>
                            <a:cxnLst/>
                            <a:rect l="0" t="0" r="0" b="0"/>
                            <a:pathLst>
                              <a:path w="74930" h="195580">
                                <a:moveTo>
                                  <a:pt x="0" y="188849"/>
                                </a:moveTo>
                                <a:lnTo>
                                  <a:pt x="6731" y="195580"/>
                                </a:lnTo>
                                <a:lnTo>
                                  <a:pt x="26924" y="101219"/>
                                </a:lnTo>
                                <a:lnTo>
                                  <a:pt x="7493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2" name="Shape 17222"/>
                        <wps:cNvSpPr/>
                        <wps:spPr>
                          <a:xfrm>
                            <a:off x="748233" y="1783715"/>
                            <a:ext cx="0" cy="80645"/>
                          </a:xfrm>
                          <a:custGeom>
                            <a:avLst/>
                            <a:gdLst/>
                            <a:ahLst/>
                            <a:cxnLst/>
                            <a:rect l="0" t="0" r="0" b="0"/>
                            <a:pathLst>
                              <a:path h="80645">
                                <a:moveTo>
                                  <a:pt x="0" y="0"/>
                                </a:moveTo>
                                <a:lnTo>
                                  <a:pt x="0" y="8064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3" name="Shape 17223"/>
                        <wps:cNvSpPr/>
                        <wps:spPr>
                          <a:xfrm>
                            <a:off x="1294333" y="1786255"/>
                            <a:ext cx="635" cy="80010"/>
                          </a:xfrm>
                          <a:custGeom>
                            <a:avLst/>
                            <a:gdLst/>
                            <a:ahLst/>
                            <a:cxnLst/>
                            <a:rect l="0" t="0" r="0" b="0"/>
                            <a:pathLst>
                              <a:path w="635" h="80010">
                                <a:moveTo>
                                  <a:pt x="0" y="0"/>
                                </a:moveTo>
                                <a:lnTo>
                                  <a:pt x="635" y="8001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4" name="Shape 17224"/>
                        <wps:cNvSpPr/>
                        <wps:spPr>
                          <a:xfrm>
                            <a:off x="1813763" y="1786255"/>
                            <a:ext cx="635" cy="81280"/>
                          </a:xfrm>
                          <a:custGeom>
                            <a:avLst/>
                            <a:gdLst/>
                            <a:ahLst/>
                            <a:cxnLst/>
                            <a:rect l="0" t="0" r="0" b="0"/>
                            <a:pathLst>
                              <a:path w="635" h="81280">
                                <a:moveTo>
                                  <a:pt x="0" y="0"/>
                                </a:moveTo>
                                <a:lnTo>
                                  <a:pt x="635" y="8128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5" name="Shape 17225"/>
                        <wps:cNvSpPr/>
                        <wps:spPr>
                          <a:xfrm>
                            <a:off x="2370658" y="1786255"/>
                            <a:ext cx="635" cy="80010"/>
                          </a:xfrm>
                          <a:custGeom>
                            <a:avLst/>
                            <a:gdLst/>
                            <a:ahLst/>
                            <a:cxnLst/>
                            <a:rect l="0" t="0" r="0" b="0"/>
                            <a:pathLst>
                              <a:path w="635" h="80010">
                                <a:moveTo>
                                  <a:pt x="0" y="0"/>
                                </a:moveTo>
                                <a:lnTo>
                                  <a:pt x="635" y="8001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6" name="Shape 17226"/>
                        <wps:cNvSpPr/>
                        <wps:spPr>
                          <a:xfrm>
                            <a:off x="2900883" y="1794510"/>
                            <a:ext cx="635" cy="80010"/>
                          </a:xfrm>
                          <a:custGeom>
                            <a:avLst/>
                            <a:gdLst/>
                            <a:ahLst/>
                            <a:cxnLst/>
                            <a:rect l="0" t="0" r="0" b="0"/>
                            <a:pathLst>
                              <a:path w="635" h="80010">
                                <a:moveTo>
                                  <a:pt x="0" y="0"/>
                                </a:moveTo>
                                <a:lnTo>
                                  <a:pt x="635" y="8001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227" name="Rectangle 17227"/>
                        <wps:cNvSpPr/>
                        <wps:spPr>
                          <a:xfrm>
                            <a:off x="0" y="707"/>
                            <a:ext cx="84117" cy="186236"/>
                          </a:xfrm>
                          <a:prstGeom prst="rect">
                            <a:avLst/>
                          </a:prstGeom>
                          <a:ln>
                            <a:noFill/>
                          </a:ln>
                        </wps:spPr>
                        <wps:txbx>
                          <w:txbxContent>
                            <w:p w:rsidR="002C0F56" w:rsidRDefault="00E67C6E">
                              <w:pPr>
                                <w:spacing w:after="160" w:line="259" w:lineRule="auto"/>
                                <w:ind w:left="0" w:firstLine="0"/>
                                <w:jc w:val="left"/>
                              </w:pPr>
                              <w:r>
                                <w:rPr>
                                  <w:i/>
                                  <w:sz w:val="20"/>
                                </w:rPr>
                                <w:t>S</w:t>
                              </w:r>
                            </w:p>
                          </w:txbxContent>
                        </wps:txbx>
                        <wps:bodyPr horzOverflow="overflow" vert="horz" lIns="0" tIns="0" rIns="0" bIns="0" rtlCol="0">
                          <a:noAutofit/>
                        </wps:bodyPr>
                      </wps:wsp>
                      <wps:wsp>
                        <wps:cNvPr id="17228" name="Rectangle 17228"/>
                        <wps:cNvSpPr/>
                        <wps:spPr>
                          <a:xfrm>
                            <a:off x="64008" y="707"/>
                            <a:ext cx="56023"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17229" name="Rectangle 17229"/>
                        <wps:cNvSpPr/>
                        <wps:spPr>
                          <a:xfrm>
                            <a:off x="106629" y="707"/>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30" name="Rectangle 17230"/>
                        <wps:cNvSpPr/>
                        <wps:spPr>
                          <a:xfrm>
                            <a:off x="141681" y="707"/>
                            <a:ext cx="56023"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17231" name="Rectangle 17231"/>
                        <wps:cNvSpPr/>
                        <wps:spPr>
                          <a:xfrm>
                            <a:off x="649054" y="1950772"/>
                            <a:ext cx="154158" cy="153613"/>
                          </a:xfrm>
                          <a:prstGeom prst="rect">
                            <a:avLst/>
                          </a:prstGeom>
                          <a:ln>
                            <a:noFill/>
                          </a:ln>
                        </wps:spPr>
                        <wps:txbx>
                          <w:txbxContent>
                            <w:p w:rsidR="002C0F56" w:rsidRDefault="00E67C6E">
                              <w:pPr>
                                <w:spacing w:after="160" w:line="259" w:lineRule="auto"/>
                                <w:ind w:left="0" w:firstLine="0"/>
                                <w:jc w:val="left"/>
                              </w:pPr>
                              <w:r>
                                <w:rPr>
                                  <w:rFonts w:ascii="Segoe UI Symbol" w:eastAsia="Segoe UI Symbol" w:hAnsi="Segoe UI Symbol" w:cs="Segoe UI Symbol"/>
                                  <w:sz w:val="21"/>
                                </w:rPr>
                                <w:t></w:t>
                              </w:r>
                            </w:p>
                          </w:txbxContent>
                        </wps:txbx>
                        <wps:bodyPr horzOverflow="overflow" vert="horz" lIns="0" tIns="0" rIns="0" bIns="0" rtlCol="0">
                          <a:noAutofit/>
                        </wps:bodyPr>
                      </wps:wsp>
                      <wps:wsp>
                        <wps:cNvPr id="17232" name="Rectangle 17232"/>
                        <wps:cNvSpPr/>
                        <wps:spPr>
                          <a:xfrm>
                            <a:off x="736041" y="1925772"/>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33" name="Rectangle 17233"/>
                        <wps:cNvSpPr/>
                        <wps:spPr>
                          <a:xfrm>
                            <a:off x="771093" y="1925772"/>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35" name="Rectangle 17235"/>
                        <wps:cNvSpPr/>
                        <wps:spPr>
                          <a:xfrm>
                            <a:off x="1219149" y="1928820"/>
                            <a:ext cx="84117" cy="186236"/>
                          </a:xfrm>
                          <a:prstGeom prst="rect">
                            <a:avLst/>
                          </a:prstGeom>
                          <a:ln>
                            <a:noFill/>
                          </a:ln>
                        </wps:spPr>
                        <wps:txbx>
                          <w:txbxContent>
                            <w:p w:rsidR="002C0F56" w:rsidRDefault="00E67C6E">
                              <w:pPr>
                                <w:spacing w:after="160" w:line="259" w:lineRule="auto"/>
                                <w:ind w:left="0" w:firstLine="0"/>
                                <w:jc w:val="left"/>
                              </w:pPr>
                              <w:r>
                                <w:rPr>
                                  <w:sz w:val="20"/>
                                </w:rPr>
                                <w:t>2</w:t>
                              </w:r>
                            </w:p>
                          </w:txbxContent>
                        </wps:txbx>
                        <wps:bodyPr horzOverflow="overflow" vert="horz" lIns="0" tIns="0" rIns="0" bIns="0" rtlCol="0">
                          <a:noAutofit/>
                        </wps:bodyPr>
                      </wps:wsp>
                      <wps:wsp>
                        <wps:cNvPr id="17236" name="Rectangle 17236"/>
                        <wps:cNvSpPr/>
                        <wps:spPr>
                          <a:xfrm>
                            <a:off x="1273894" y="1953820"/>
                            <a:ext cx="154158" cy="153613"/>
                          </a:xfrm>
                          <a:prstGeom prst="rect">
                            <a:avLst/>
                          </a:prstGeom>
                          <a:ln>
                            <a:noFill/>
                          </a:ln>
                        </wps:spPr>
                        <wps:txbx>
                          <w:txbxContent>
                            <w:p w:rsidR="002C0F56" w:rsidRDefault="00E67C6E">
                              <w:pPr>
                                <w:spacing w:after="160" w:line="259" w:lineRule="auto"/>
                                <w:ind w:left="0" w:firstLine="0"/>
                                <w:jc w:val="left"/>
                              </w:pPr>
                              <w:r>
                                <w:rPr>
                                  <w:rFonts w:ascii="Segoe UI Symbol" w:eastAsia="Segoe UI Symbol" w:hAnsi="Segoe UI Symbol" w:cs="Segoe UI Symbol"/>
                                  <w:sz w:val="21"/>
                                </w:rPr>
                                <w:t></w:t>
                              </w:r>
                            </w:p>
                          </w:txbxContent>
                        </wps:txbx>
                        <wps:bodyPr horzOverflow="overflow" vert="horz" lIns="0" tIns="0" rIns="0" bIns="0" rtlCol="0">
                          <a:noAutofit/>
                        </wps:bodyPr>
                      </wps:wsp>
                      <wps:wsp>
                        <wps:cNvPr id="17237" name="Rectangle 17237"/>
                        <wps:cNvSpPr/>
                        <wps:spPr>
                          <a:xfrm>
                            <a:off x="1361262" y="1928820"/>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39" name="Rectangle 17239"/>
                        <wps:cNvSpPr/>
                        <wps:spPr>
                          <a:xfrm>
                            <a:off x="1737690" y="1928820"/>
                            <a:ext cx="84117" cy="186236"/>
                          </a:xfrm>
                          <a:prstGeom prst="rect">
                            <a:avLst/>
                          </a:prstGeom>
                          <a:ln>
                            <a:noFill/>
                          </a:ln>
                        </wps:spPr>
                        <wps:txbx>
                          <w:txbxContent>
                            <w:p w:rsidR="002C0F56" w:rsidRDefault="00E67C6E">
                              <w:pPr>
                                <w:spacing w:after="160" w:line="259" w:lineRule="auto"/>
                                <w:ind w:left="0" w:firstLine="0"/>
                                <w:jc w:val="left"/>
                              </w:pPr>
                              <w:r>
                                <w:rPr>
                                  <w:sz w:val="20"/>
                                </w:rPr>
                                <w:t>3</w:t>
                              </w:r>
                            </w:p>
                          </w:txbxContent>
                        </wps:txbx>
                        <wps:bodyPr horzOverflow="overflow" vert="horz" lIns="0" tIns="0" rIns="0" bIns="0" rtlCol="0">
                          <a:noAutofit/>
                        </wps:bodyPr>
                      </wps:wsp>
                      <wps:wsp>
                        <wps:cNvPr id="17240" name="Rectangle 17240"/>
                        <wps:cNvSpPr/>
                        <wps:spPr>
                          <a:xfrm>
                            <a:off x="1792435" y="1953820"/>
                            <a:ext cx="154158" cy="153613"/>
                          </a:xfrm>
                          <a:prstGeom prst="rect">
                            <a:avLst/>
                          </a:prstGeom>
                          <a:ln>
                            <a:noFill/>
                          </a:ln>
                        </wps:spPr>
                        <wps:txbx>
                          <w:txbxContent>
                            <w:p w:rsidR="002C0F56" w:rsidRDefault="00E67C6E">
                              <w:pPr>
                                <w:spacing w:after="160" w:line="259" w:lineRule="auto"/>
                                <w:ind w:left="0" w:firstLine="0"/>
                                <w:jc w:val="left"/>
                              </w:pPr>
                              <w:r>
                                <w:rPr>
                                  <w:rFonts w:ascii="Segoe UI Symbol" w:eastAsia="Segoe UI Symbol" w:hAnsi="Segoe UI Symbol" w:cs="Segoe UI Symbol"/>
                                  <w:sz w:val="21"/>
                                </w:rPr>
                                <w:t></w:t>
                              </w:r>
                            </w:p>
                          </w:txbxContent>
                        </wps:txbx>
                        <wps:bodyPr horzOverflow="overflow" vert="horz" lIns="0" tIns="0" rIns="0" bIns="0" rtlCol="0">
                          <a:noAutofit/>
                        </wps:bodyPr>
                      </wps:wsp>
                      <wps:wsp>
                        <wps:cNvPr id="17241" name="Rectangle 17241"/>
                        <wps:cNvSpPr/>
                        <wps:spPr>
                          <a:xfrm>
                            <a:off x="1879422" y="1928820"/>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43" name="Rectangle 17243"/>
                        <wps:cNvSpPr/>
                        <wps:spPr>
                          <a:xfrm>
                            <a:off x="2295474" y="1928820"/>
                            <a:ext cx="84117" cy="186236"/>
                          </a:xfrm>
                          <a:prstGeom prst="rect">
                            <a:avLst/>
                          </a:prstGeom>
                          <a:ln>
                            <a:noFill/>
                          </a:ln>
                        </wps:spPr>
                        <wps:txbx>
                          <w:txbxContent>
                            <w:p w:rsidR="002C0F56" w:rsidRDefault="00E67C6E">
                              <w:pPr>
                                <w:spacing w:after="160" w:line="259" w:lineRule="auto"/>
                                <w:ind w:left="0" w:firstLine="0"/>
                                <w:jc w:val="left"/>
                              </w:pPr>
                              <w:r>
                                <w:rPr>
                                  <w:sz w:val="20"/>
                                </w:rPr>
                                <w:t>4</w:t>
                              </w:r>
                            </w:p>
                          </w:txbxContent>
                        </wps:txbx>
                        <wps:bodyPr horzOverflow="overflow" vert="horz" lIns="0" tIns="0" rIns="0" bIns="0" rtlCol="0">
                          <a:noAutofit/>
                        </wps:bodyPr>
                      </wps:wsp>
                      <wps:wsp>
                        <wps:cNvPr id="17244" name="Rectangle 17244"/>
                        <wps:cNvSpPr/>
                        <wps:spPr>
                          <a:xfrm>
                            <a:off x="2350218" y="1953820"/>
                            <a:ext cx="154159" cy="153613"/>
                          </a:xfrm>
                          <a:prstGeom prst="rect">
                            <a:avLst/>
                          </a:prstGeom>
                          <a:ln>
                            <a:noFill/>
                          </a:ln>
                        </wps:spPr>
                        <wps:txbx>
                          <w:txbxContent>
                            <w:p w:rsidR="002C0F56" w:rsidRDefault="00E67C6E">
                              <w:pPr>
                                <w:spacing w:after="160" w:line="259" w:lineRule="auto"/>
                                <w:ind w:left="0" w:firstLine="0"/>
                                <w:jc w:val="left"/>
                              </w:pPr>
                              <w:r>
                                <w:rPr>
                                  <w:rFonts w:ascii="Segoe UI Symbol" w:eastAsia="Segoe UI Symbol" w:hAnsi="Segoe UI Symbol" w:cs="Segoe UI Symbol"/>
                                  <w:sz w:val="21"/>
                                </w:rPr>
                                <w:t></w:t>
                              </w:r>
                            </w:p>
                          </w:txbxContent>
                        </wps:txbx>
                        <wps:bodyPr horzOverflow="overflow" vert="horz" lIns="0" tIns="0" rIns="0" bIns="0" rtlCol="0">
                          <a:noAutofit/>
                        </wps:bodyPr>
                      </wps:wsp>
                      <wps:wsp>
                        <wps:cNvPr id="17245" name="Rectangle 17245"/>
                        <wps:cNvSpPr/>
                        <wps:spPr>
                          <a:xfrm>
                            <a:off x="2437206" y="1928820"/>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47" name="Rectangle 17247"/>
                        <wps:cNvSpPr/>
                        <wps:spPr>
                          <a:xfrm>
                            <a:off x="2819730" y="1928820"/>
                            <a:ext cx="84117" cy="186236"/>
                          </a:xfrm>
                          <a:prstGeom prst="rect">
                            <a:avLst/>
                          </a:prstGeom>
                          <a:ln>
                            <a:noFill/>
                          </a:ln>
                        </wps:spPr>
                        <wps:txbx>
                          <w:txbxContent>
                            <w:p w:rsidR="002C0F56" w:rsidRDefault="00E67C6E">
                              <w:pPr>
                                <w:spacing w:after="160" w:line="259" w:lineRule="auto"/>
                                <w:ind w:left="0" w:firstLine="0"/>
                                <w:jc w:val="left"/>
                              </w:pPr>
                              <w:r>
                                <w:rPr>
                                  <w:sz w:val="20"/>
                                </w:rPr>
                                <w:t>5</w:t>
                              </w:r>
                            </w:p>
                          </w:txbxContent>
                        </wps:txbx>
                        <wps:bodyPr horzOverflow="overflow" vert="horz" lIns="0" tIns="0" rIns="0" bIns="0" rtlCol="0">
                          <a:noAutofit/>
                        </wps:bodyPr>
                      </wps:wsp>
                      <wps:wsp>
                        <wps:cNvPr id="17248" name="Rectangle 17248"/>
                        <wps:cNvSpPr/>
                        <wps:spPr>
                          <a:xfrm>
                            <a:off x="2874474" y="1953820"/>
                            <a:ext cx="154159" cy="153613"/>
                          </a:xfrm>
                          <a:prstGeom prst="rect">
                            <a:avLst/>
                          </a:prstGeom>
                          <a:ln>
                            <a:noFill/>
                          </a:ln>
                        </wps:spPr>
                        <wps:txbx>
                          <w:txbxContent>
                            <w:p w:rsidR="002C0F56" w:rsidRDefault="00E67C6E">
                              <w:pPr>
                                <w:spacing w:after="160" w:line="259" w:lineRule="auto"/>
                                <w:ind w:left="0" w:firstLine="0"/>
                                <w:jc w:val="left"/>
                              </w:pPr>
                              <w:r>
                                <w:rPr>
                                  <w:rFonts w:ascii="Segoe UI Symbol" w:eastAsia="Segoe UI Symbol" w:hAnsi="Segoe UI Symbol" w:cs="Segoe UI Symbol"/>
                                  <w:sz w:val="21"/>
                                </w:rPr>
                                <w:t></w:t>
                              </w:r>
                            </w:p>
                          </w:txbxContent>
                        </wps:txbx>
                        <wps:bodyPr horzOverflow="overflow" vert="horz" lIns="0" tIns="0" rIns="0" bIns="0" rtlCol="0">
                          <a:noAutofit/>
                        </wps:bodyPr>
                      </wps:wsp>
                      <wps:wsp>
                        <wps:cNvPr id="17249" name="Rectangle 17249"/>
                        <wps:cNvSpPr/>
                        <wps:spPr>
                          <a:xfrm>
                            <a:off x="2961462" y="1928820"/>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51" name="Rectangle 17251"/>
                        <wps:cNvSpPr/>
                        <wps:spPr>
                          <a:xfrm>
                            <a:off x="3431109" y="1878529"/>
                            <a:ext cx="46741" cy="186236"/>
                          </a:xfrm>
                          <a:prstGeom prst="rect">
                            <a:avLst/>
                          </a:prstGeom>
                          <a:ln>
                            <a:noFill/>
                          </a:ln>
                        </wps:spPr>
                        <wps:txbx>
                          <w:txbxContent>
                            <w:p w:rsidR="002C0F56" w:rsidRDefault="00E67C6E">
                              <w:pPr>
                                <w:spacing w:after="160" w:line="259" w:lineRule="auto"/>
                                <w:ind w:left="0" w:firstLine="0"/>
                                <w:jc w:val="left"/>
                              </w:pPr>
                              <w:r>
                                <w:rPr>
                                  <w:i/>
                                  <w:sz w:val="20"/>
                                </w:rPr>
                                <w:t>t</w:t>
                              </w:r>
                            </w:p>
                          </w:txbxContent>
                        </wps:txbx>
                        <wps:bodyPr horzOverflow="overflow" vert="horz" lIns="0" tIns="0" rIns="0" bIns="0" rtlCol="0">
                          <a:noAutofit/>
                        </wps:bodyPr>
                      </wps:wsp>
                      <wps:wsp>
                        <wps:cNvPr id="17252" name="Rectangle 17252"/>
                        <wps:cNvSpPr/>
                        <wps:spPr>
                          <a:xfrm>
                            <a:off x="3466161" y="1878529"/>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54" name="Rectangle 17254"/>
                        <wps:cNvSpPr/>
                        <wps:spPr>
                          <a:xfrm>
                            <a:off x="53340" y="1741369"/>
                            <a:ext cx="84117" cy="186235"/>
                          </a:xfrm>
                          <a:prstGeom prst="rect">
                            <a:avLst/>
                          </a:prstGeom>
                          <a:ln>
                            <a:noFill/>
                          </a:ln>
                        </wps:spPr>
                        <wps:txbx>
                          <w:txbxContent>
                            <w:p w:rsidR="002C0F56" w:rsidRDefault="00E67C6E">
                              <w:pPr>
                                <w:spacing w:after="160" w:line="259" w:lineRule="auto"/>
                                <w:ind w:left="0" w:firstLine="0"/>
                                <w:jc w:val="left"/>
                              </w:pPr>
                              <w:r>
                                <w:rPr>
                                  <w:sz w:val="20"/>
                                </w:rPr>
                                <w:t>0</w:t>
                              </w:r>
                            </w:p>
                          </w:txbxContent>
                        </wps:txbx>
                        <wps:bodyPr horzOverflow="overflow" vert="horz" lIns="0" tIns="0" rIns="0" bIns="0" rtlCol="0">
                          <a:noAutofit/>
                        </wps:bodyPr>
                      </wps:wsp>
                      <wps:wsp>
                        <wps:cNvPr id="17255" name="Rectangle 17255"/>
                        <wps:cNvSpPr/>
                        <wps:spPr>
                          <a:xfrm>
                            <a:off x="117297" y="1741369"/>
                            <a:ext cx="42059" cy="186235"/>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56" name="Rectangle 17256"/>
                        <wps:cNvSpPr/>
                        <wps:spPr>
                          <a:xfrm>
                            <a:off x="53340" y="1887672"/>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567470" name="Rectangle 567470"/>
                        <wps:cNvSpPr/>
                        <wps:spPr>
                          <a:xfrm>
                            <a:off x="155190" y="1499053"/>
                            <a:ext cx="84117" cy="186236"/>
                          </a:xfrm>
                          <a:prstGeom prst="rect">
                            <a:avLst/>
                          </a:prstGeom>
                          <a:ln>
                            <a:noFill/>
                          </a:ln>
                        </wps:spPr>
                        <wps:txbx>
                          <w:txbxContent>
                            <w:p w:rsidR="002C0F56" w:rsidRDefault="00E67C6E">
                              <w:pPr>
                                <w:spacing w:after="160" w:line="259" w:lineRule="auto"/>
                                <w:ind w:left="0" w:firstLine="0"/>
                                <w:jc w:val="left"/>
                              </w:pPr>
                              <w:r>
                                <w:rPr>
                                  <w:sz w:val="20"/>
                                </w:rPr>
                                <w:t>2</w:t>
                              </w:r>
                            </w:p>
                          </w:txbxContent>
                        </wps:txbx>
                        <wps:bodyPr horzOverflow="overflow" vert="horz" lIns="0" tIns="0" rIns="0" bIns="0" rtlCol="0">
                          <a:noAutofit/>
                        </wps:bodyPr>
                      </wps:wsp>
                      <wps:wsp>
                        <wps:cNvPr id="567469" name="Rectangle 567469"/>
                        <wps:cNvSpPr/>
                        <wps:spPr>
                          <a:xfrm>
                            <a:off x="59436" y="1499053"/>
                            <a:ext cx="84117" cy="186236"/>
                          </a:xfrm>
                          <a:prstGeom prst="rect">
                            <a:avLst/>
                          </a:prstGeom>
                          <a:ln>
                            <a:noFill/>
                          </a:ln>
                        </wps:spPr>
                        <wps:txbx>
                          <w:txbxContent>
                            <w:p w:rsidR="002C0F56" w:rsidRDefault="00E67C6E">
                              <w:pPr>
                                <w:spacing w:after="160" w:line="259" w:lineRule="auto"/>
                                <w:ind w:left="0" w:firstLine="0"/>
                                <w:jc w:val="left"/>
                              </w:pPr>
                              <w:r>
                                <w:rPr>
                                  <w:sz w:val="20"/>
                                </w:rPr>
                                <w:t>0</w:t>
                              </w:r>
                            </w:p>
                          </w:txbxContent>
                        </wps:txbx>
                        <wps:bodyPr horzOverflow="overflow" vert="horz" lIns="0" tIns="0" rIns="0" bIns="0" rtlCol="0">
                          <a:noAutofit/>
                        </wps:bodyPr>
                      </wps:wsp>
                      <wps:wsp>
                        <wps:cNvPr id="567471" name="Rectangle 567471"/>
                        <wps:cNvSpPr/>
                        <wps:spPr>
                          <a:xfrm>
                            <a:off x="123314" y="1499053"/>
                            <a:ext cx="42059"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17258" name="Rectangle 17258"/>
                        <wps:cNvSpPr/>
                        <wps:spPr>
                          <a:xfrm>
                            <a:off x="217881" y="1499053"/>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59" name="Rectangle 17259"/>
                        <wps:cNvSpPr/>
                        <wps:spPr>
                          <a:xfrm>
                            <a:off x="59436" y="1645357"/>
                            <a:ext cx="42059" cy="186235"/>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567467" name="Rectangle 567467"/>
                        <wps:cNvSpPr/>
                        <wps:spPr>
                          <a:xfrm>
                            <a:off x="162810" y="1230829"/>
                            <a:ext cx="84117" cy="186236"/>
                          </a:xfrm>
                          <a:prstGeom prst="rect">
                            <a:avLst/>
                          </a:prstGeom>
                          <a:ln>
                            <a:noFill/>
                          </a:ln>
                        </wps:spPr>
                        <wps:txbx>
                          <w:txbxContent>
                            <w:p w:rsidR="002C0F56" w:rsidRDefault="00E67C6E">
                              <w:pPr>
                                <w:spacing w:after="160" w:line="259" w:lineRule="auto"/>
                                <w:ind w:left="0" w:firstLine="0"/>
                                <w:jc w:val="left"/>
                              </w:pPr>
                              <w:r>
                                <w:rPr>
                                  <w:sz w:val="20"/>
                                </w:rPr>
                                <w:t>4</w:t>
                              </w:r>
                            </w:p>
                          </w:txbxContent>
                        </wps:txbx>
                        <wps:bodyPr horzOverflow="overflow" vert="horz" lIns="0" tIns="0" rIns="0" bIns="0" rtlCol="0">
                          <a:noAutofit/>
                        </wps:bodyPr>
                      </wps:wsp>
                      <wps:wsp>
                        <wps:cNvPr id="567468" name="Rectangle 567468"/>
                        <wps:cNvSpPr/>
                        <wps:spPr>
                          <a:xfrm>
                            <a:off x="130934" y="1230829"/>
                            <a:ext cx="42059"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567466" name="Rectangle 567466"/>
                        <wps:cNvSpPr/>
                        <wps:spPr>
                          <a:xfrm>
                            <a:off x="67056" y="1230829"/>
                            <a:ext cx="84117" cy="186236"/>
                          </a:xfrm>
                          <a:prstGeom prst="rect">
                            <a:avLst/>
                          </a:prstGeom>
                          <a:ln>
                            <a:noFill/>
                          </a:ln>
                        </wps:spPr>
                        <wps:txbx>
                          <w:txbxContent>
                            <w:p w:rsidR="002C0F56" w:rsidRDefault="00E67C6E">
                              <w:pPr>
                                <w:spacing w:after="160" w:line="259" w:lineRule="auto"/>
                                <w:ind w:left="0" w:firstLine="0"/>
                                <w:jc w:val="left"/>
                              </w:pPr>
                              <w:r>
                                <w:rPr>
                                  <w:sz w:val="20"/>
                                </w:rPr>
                                <w:t>0</w:t>
                              </w:r>
                            </w:p>
                          </w:txbxContent>
                        </wps:txbx>
                        <wps:bodyPr horzOverflow="overflow" vert="horz" lIns="0" tIns="0" rIns="0" bIns="0" rtlCol="0">
                          <a:noAutofit/>
                        </wps:bodyPr>
                      </wps:wsp>
                      <wps:wsp>
                        <wps:cNvPr id="17261" name="Rectangle 17261"/>
                        <wps:cNvSpPr/>
                        <wps:spPr>
                          <a:xfrm>
                            <a:off x="225501" y="1230829"/>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62" name="Rectangle 17262"/>
                        <wps:cNvSpPr/>
                        <wps:spPr>
                          <a:xfrm>
                            <a:off x="67056" y="1377133"/>
                            <a:ext cx="42059" cy="186235"/>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567465" name="Rectangle 567465"/>
                        <wps:cNvSpPr/>
                        <wps:spPr>
                          <a:xfrm>
                            <a:off x="130934" y="894025"/>
                            <a:ext cx="42059"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567464" name="Rectangle 567464"/>
                        <wps:cNvSpPr/>
                        <wps:spPr>
                          <a:xfrm>
                            <a:off x="162810" y="894025"/>
                            <a:ext cx="84117" cy="186236"/>
                          </a:xfrm>
                          <a:prstGeom prst="rect">
                            <a:avLst/>
                          </a:prstGeom>
                          <a:ln>
                            <a:noFill/>
                          </a:ln>
                        </wps:spPr>
                        <wps:txbx>
                          <w:txbxContent>
                            <w:p w:rsidR="002C0F56" w:rsidRDefault="00E67C6E">
                              <w:pPr>
                                <w:spacing w:after="160" w:line="259" w:lineRule="auto"/>
                                <w:ind w:left="0" w:firstLine="0"/>
                                <w:jc w:val="left"/>
                              </w:pPr>
                              <w:r>
                                <w:rPr>
                                  <w:sz w:val="20"/>
                                </w:rPr>
                                <w:t>6</w:t>
                              </w:r>
                            </w:p>
                          </w:txbxContent>
                        </wps:txbx>
                        <wps:bodyPr horzOverflow="overflow" vert="horz" lIns="0" tIns="0" rIns="0" bIns="0" rtlCol="0">
                          <a:noAutofit/>
                        </wps:bodyPr>
                      </wps:wsp>
                      <wps:wsp>
                        <wps:cNvPr id="567463" name="Rectangle 567463"/>
                        <wps:cNvSpPr/>
                        <wps:spPr>
                          <a:xfrm>
                            <a:off x="67056" y="894025"/>
                            <a:ext cx="84117" cy="186236"/>
                          </a:xfrm>
                          <a:prstGeom prst="rect">
                            <a:avLst/>
                          </a:prstGeom>
                          <a:ln>
                            <a:noFill/>
                          </a:ln>
                        </wps:spPr>
                        <wps:txbx>
                          <w:txbxContent>
                            <w:p w:rsidR="002C0F56" w:rsidRDefault="00E67C6E">
                              <w:pPr>
                                <w:spacing w:after="160" w:line="259" w:lineRule="auto"/>
                                <w:ind w:left="0" w:firstLine="0"/>
                                <w:jc w:val="left"/>
                              </w:pPr>
                              <w:r>
                                <w:rPr>
                                  <w:sz w:val="20"/>
                                </w:rPr>
                                <w:t>0</w:t>
                              </w:r>
                            </w:p>
                          </w:txbxContent>
                        </wps:txbx>
                        <wps:bodyPr horzOverflow="overflow" vert="horz" lIns="0" tIns="0" rIns="0" bIns="0" rtlCol="0">
                          <a:noAutofit/>
                        </wps:bodyPr>
                      </wps:wsp>
                      <wps:wsp>
                        <wps:cNvPr id="17264" name="Rectangle 17264"/>
                        <wps:cNvSpPr/>
                        <wps:spPr>
                          <a:xfrm>
                            <a:off x="225501" y="894025"/>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65" name="Rectangle 17265"/>
                        <wps:cNvSpPr/>
                        <wps:spPr>
                          <a:xfrm>
                            <a:off x="67056" y="1040329"/>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567460" name="Rectangle 567460"/>
                        <wps:cNvSpPr/>
                        <wps:spPr>
                          <a:xfrm>
                            <a:off x="60960" y="584653"/>
                            <a:ext cx="84117" cy="186236"/>
                          </a:xfrm>
                          <a:prstGeom prst="rect">
                            <a:avLst/>
                          </a:prstGeom>
                          <a:ln>
                            <a:noFill/>
                          </a:ln>
                        </wps:spPr>
                        <wps:txbx>
                          <w:txbxContent>
                            <w:p w:rsidR="002C0F56" w:rsidRDefault="00E67C6E">
                              <w:pPr>
                                <w:spacing w:after="160" w:line="259" w:lineRule="auto"/>
                                <w:ind w:left="0" w:firstLine="0"/>
                                <w:jc w:val="left"/>
                              </w:pPr>
                              <w:r>
                                <w:rPr>
                                  <w:sz w:val="20"/>
                                </w:rPr>
                                <w:t>0</w:t>
                              </w:r>
                            </w:p>
                          </w:txbxContent>
                        </wps:txbx>
                        <wps:bodyPr horzOverflow="overflow" vert="horz" lIns="0" tIns="0" rIns="0" bIns="0" rtlCol="0">
                          <a:noAutofit/>
                        </wps:bodyPr>
                      </wps:wsp>
                      <wps:wsp>
                        <wps:cNvPr id="567462" name="Rectangle 567462"/>
                        <wps:cNvSpPr/>
                        <wps:spPr>
                          <a:xfrm>
                            <a:off x="124839" y="584653"/>
                            <a:ext cx="42059" cy="186236"/>
                          </a:xfrm>
                          <a:prstGeom prst="rect">
                            <a:avLst/>
                          </a:prstGeom>
                          <a:ln>
                            <a:noFill/>
                          </a:ln>
                        </wps:spPr>
                        <wps:txbx>
                          <w:txbxContent>
                            <w:p w:rsidR="002C0F56" w:rsidRDefault="00E67C6E">
                              <w:pPr>
                                <w:spacing w:after="160" w:line="259" w:lineRule="auto"/>
                                <w:ind w:left="0" w:firstLine="0"/>
                                <w:jc w:val="left"/>
                              </w:pPr>
                              <w:r>
                                <w:rPr>
                                  <w:sz w:val="20"/>
                                </w:rPr>
                                <w:t>,</w:t>
                              </w:r>
                            </w:p>
                          </w:txbxContent>
                        </wps:txbx>
                        <wps:bodyPr horzOverflow="overflow" vert="horz" lIns="0" tIns="0" rIns="0" bIns="0" rtlCol="0">
                          <a:noAutofit/>
                        </wps:bodyPr>
                      </wps:wsp>
                      <wps:wsp>
                        <wps:cNvPr id="567461" name="Rectangle 567461"/>
                        <wps:cNvSpPr/>
                        <wps:spPr>
                          <a:xfrm>
                            <a:off x="156714" y="584653"/>
                            <a:ext cx="84117" cy="186236"/>
                          </a:xfrm>
                          <a:prstGeom prst="rect">
                            <a:avLst/>
                          </a:prstGeom>
                          <a:ln>
                            <a:noFill/>
                          </a:ln>
                        </wps:spPr>
                        <wps:txbx>
                          <w:txbxContent>
                            <w:p w:rsidR="002C0F56" w:rsidRDefault="00E67C6E">
                              <w:pPr>
                                <w:spacing w:after="160" w:line="259" w:lineRule="auto"/>
                                <w:ind w:left="0" w:firstLine="0"/>
                                <w:jc w:val="left"/>
                              </w:pPr>
                              <w:r>
                                <w:rPr>
                                  <w:sz w:val="20"/>
                                </w:rPr>
                                <w:t>8</w:t>
                              </w:r>
                            </w:p>
                          </w:txbxContent>
                        </wps:txbx>
                        <wps:bodyPr horzOverflow="overflow" vert="horz" lIns="0" tIns="0" rIns="0" bIns="0" rtlCol="0">
                          <a:noAutofit/>
                        </wps:bodyPr>
                      </wps:wsp>
                      <wps:wsp>
                        <wps:cNvPr id="17267" name="Rectangle 17267"/>
                        <wps:cNvSpPr/>
                        <wps:spPr>
                          <a:xfrm>
                            <a:off x="219405" y="584653"/>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68" name="Rectangle 17268"/>
                        <wps:cNvSpPr/>
                        <wps:spPr>
                          <a:xfrm>
                            <a:off x="60960" y="730957"/>
                            <a:ext cx="42059" cy="186235"/>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69" name="Rectangle 17269"/>
                        <wps:cNvSpPr/>
                        <wps:spPr>
                          <a:xfrm>
                            <a:off x="56388" y="288997"/>
                            <a:ext cx="84117" cy="186236"/>
                          </a:xfrm>
                          <a:prstGeom prst="rect">
                            <a:avLst/>
                          </a:prstGeom>
                          <a:ln>
                            <a:noFill/>
                          </a:ln>
                        </wps:spPr>
                        <wps:txbx>
                          <w:txbxContent>
                            <w:p w:rsidR="002C0F56" w:rsidRDefault="00E67C6E">
                              <w:pPr>
                                <w:spacing w:after="160" w:line="259" w:lineRule="auto"/>
                                <w:ind w:left="0" w:firstLine="0"/>
                                <w:jc w:val="left"/>
                              </w:pPr>
                              <w:r>
                                <w:rPr>
                                  <w:sz w:val="20"/>
                                </w:rPr>
                                <w:t>1</w:t>
                              </w:r>
                            </w:p>
                          </w:txbxContent>
                        </wps:txbx>
                        <wps:bodyPr horzOverflow="overflow" vert="horz" lIns="0" tIns="0" rIns="0" bIns="0" rtlCol="0">
                          <a:noAutofit/>
                        </wps:bodyPr>
                      </wps:wsp>
                      <wps:wsp>
                        <wps:cNvPr id="17270" name="Rectangle 17270"/>
                        <wps:cNvSpPr/>
                        <wps:spPr>
                          <a:xfrm>
                            <a:off x="120345" y="288997"/>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71" name="Rectangle 17271"/>
                        <wps:cNvSpPr/>
                        <wps:spPr>
                          <a:xfrm>
                            <a:off x="56388" y="435301"/>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272" name="Rectangle 17272"/>
                        <wps:cNvSpPr/>
                        <wps:spPr>
                          <a:xfrm>
                            <a:off x="223977" y="1916629"/>
                            <a:ext cx="84117" cy="186236"/>
                          </a:xfrm>
                          <a:prstGeom prst="rect">
                            <a:avLst/>
                          </a:prstGeom>
                          <a:ln>
                            <a:noFill/>
                          </a:ln>
                        </wps:spPr>
                        <wps:txbx>
                          <w:txbxContent>
                            <w:p w:rsidR="002C0F56" w:rsidRDefault="00E67C6E">
                              <w:pPr>
                                <w:spacing w:after="160" w:line="259" w:lineRule="auto"/>
                                <w:ind w:left="0" w:firstLine="0"/>
                                <w:jc w:val="left"/>
                              </w:pPr>
                              <w:r>
                                <w:rPr>
                                  <w:sz w:val="20"/>
                                </w:rPr>
                                <w:t>0</w:t>
                              </w:r>
                            </w:p>
                          </w:txbxContent>
                        </wps:txbx>
                        <wps:bodyPr horzOverflow="overflow" vert="horz" lIns="0" tIns="0" rIns="0" bIns="0" rtlCol="0">
                          <a:noAutofit/>
                        </wps:bodyPr>
                      </wps:wsp>
                      <wps:wsp>
                        <wps:cNvPr id="17273" name="Rectangle 17273"/>
                        <wps:cNvSpPr/>
                        <wps:spPr>
                          <a:xfrm>
                            <a:off x="287985" y="1916629"/>
                            <a:ext cx="42059"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68583" style="width:275.416pt;height:162.938pt;mso-position-horizontal-relative:char;mso-position-vertical-relative:line" coordsize="34977,20693">
                <v:shape id="Shape 17204" style="position:absolute;width:762;height:18427;left:2173;top:0;" coordsize="76200,1842770" path="m38100,0l76200,76200l44450,76200l44450,1842770l31750,1842770l31750,76200l0,76200l38100,0x">
                  <v:stroke weight="0pt" endcap="flat" joinstyle="miter" miterlimit="10" on="false" color="#000000" opacity="0"/>
                  <v:fill on="true" color="#000000"/>
                </v:shape>
                <v:shape id="Shape 17205" style="position:absolute;width:31216;height:762;left:2503;top:17837;" coordsize="3121660,76200" path="m3045460,0l3121660,38100l3045460,76200l3045460,44448l0,43815l0,31115l3045460,31748l3045460,0x">
                  <v:stroke weight="0pt" endcap="flat" joinstyle="miter" miterlimit="10" on="false" color="#000000" opacity="0"/>
                  <v:fill on="true" color="#000000"/>
                </v:shape>
                <v:shape id="Shape 17206" style="position:absolute;width:30676;height:0;left:2503;top:15684;" coordsize="3067685,0" path="m0,0l3067685,0">
                  <v:stroke weight="0.75pt" endcap="flat" joinstyle="round" on="true" color="#000000"/>
                  <v:fill on="false" color="#000000" opacity="0"/>
                </v:shape>
                <v:shape id="Shape 17207" style="position:absolute;width:30676;height:6;left:2503;top:12858;" coordsize="3067685,636" path="m0,0l3067685,636">
                  <v:stroke weight="0.75pt" endcap="flat" joinstyle="round" on="true" color="#000000"/>
                  <v:fill on="false" color="#000000" opacity="0"/>
                </v:shape>
                <v:shape id="Shape 17208" style="position:absolute;width:30683;height:6;left:2580;top:9632;" coordsize="3068320,636" path="m0,0l3068320,636">
                  <v:stroke weight="0.75pt" endcap="flat" joinstyle="round" on="true" color="#000000"/>
                  <v:fill on="false" color="#000000" opacity="0"/>
                </v:shape>
                <v:shape id="Shape 17209" style="position:absolute;width:30683;height:12;left:2580;top:6400;" coordsize="3068320,1270" path="m0,0l3068320,1270">
                  <v:stroke weight="0.75pt" endcap="flat" joinstyle="round" on="true" color="#000000"/>
                  <v:fill on="false" color="#000000" opacity="0"/>
                </v:shape>
                <v:shape id="Shape 17210" style="position:absolute;width:30676;height:6;left:2503;top:3524;" coordsize="3067685,635" path="m0,0l3067685,635">
                  <v:stroke weight="0.75pt" endcap="flat" joinstyle="round" on="true" color="#000000"/>
                  <v:fill on="false" color="#000000" opacity="0"/>
                </v:shape>
                <v:shape id="Shape 17211" style="position:absolute;width:5048;height:5727;left:2503;top:3498;" coordsize="504825,572770" path="m0,0c8509,29083,26924,116967,49784,175641c72263,233934,96901,299339,134620,349123c172339,398399,214884,437007,276479,474218c337947,511429,457200,552196,504825,572770">
                  <v:stroke weight="0.75pt" endcap="flat" joinstyle="round" on="true" color="#000000"/>
                  <v:fill on="false" color="#000000" opacity="0"/>
                </v:shape>
                <v:shape id="Shape 17212" style="position:absolute;width:4838;height:3498;left:8022;top:4381;" coordsize="483870,349886" path="m0,0c12065,29210,49276,134620,73914,174879c98552,215265,108839,218059,147828,241808c186817,265557,253111,299212,309118,317119c365125,335026,447548,343154,483870,349886">
                  <v:stroke weight="0.75pt" endcap="flat" joinstyle="round" on="true" color="#000000"/>
                  <v:fill on="false" color="#000000" opacity="0"/>
                </v:shape>
                <v:shape id="Shape 17213" style="position:absolute;width:4667;height:2743;left:13375;top:4330;" coordsize="466725,274320" path="m0,0c9398,18288,34036,79248,56896,111379c79756,144145,97155,170561,137922,194183c178308,217424,244602,240792,299212,254127c353822,267589,431800,270256,466725,274320">
                  <v:stroke weight="0.75pt" endcap="flat" joinstyle="round" on="true" color="#000000"/>
                  <v:fill on="false" color="#000000" opacity="0"/>
                </v:shape>
                <v:shape id="Shape 17214" style="position:absolute;width:5384;height:2082;left:18645;top:4051;" coordsize="538480,208280" path="m0,0c8128,8509,21082,24130,47117,44323c73152,64516,111760,98933,155321,122301c198755,145542,246761,170180,310515,184531c374269,198882,490855,203327,538480,208280">
                  <v:stroke weight="0.75pt" endcap="flat" joinstyle="round" on="true" color="#000000"/>
                  <v:fill on="false" color="#000000" opacity="0"/>
                </v:shape>
                <v:shape id="Shape 17215" style="position:absolute;width:4565;height:1612;left:24646;top:3708;" coordsize="456565,161290" path="m0,0c10795,9017,37211,34925,66040,53721c94742,72517,139192,99949,173736,114300c208280,128524,247777,134366,274701,141097c301625,147828,305308,151384,335407,154559c365379,157734,431419,159893,456565,161290">
                  <v:stroke weight="0.75pt" endcap="flat" joinstyle="round" on="true" color="#000000"/>
                  <v:fill on="false" color="#000000" opacity="0"/>
                </v:shape>
                <v:shape id="Shape 17216" style="position:absolute;width:3143;height:939;left:29681;top:3581;" coordsize="314325,93980" path="m0,0c8001,5588,16891,21336,46863,33147c76708,44958,136017,61595,180594,71882c225171,82169,286639,89535,314325,93980">
                  <v:stroke weight="0.75pt" endcap="flat" joinstyle="round" on="true" color="#000000"/>
                  <v:fill on="false" color="#000000" opacity="0"/>
                </v:shape>
                <v:shape id="Shape 17217" style="position:absolute;width:539;height:4857;left:7482;top:4451;" coordsize="53975,485775" path="m5588,485775l0,330581l11938,155194l24003,71755l53975,0">
                  <v:stroke weight="0.75pt" endcap="flat" joinstyle="round" on="true" color="#000000"/>
                  <v:fill on="false" color="#000000" opacity="0"/>
                </v:shape>
                <v:shape id="Shape 17218" style="position:absolute;width:641;height:3543;left:12746;top:4254;" coordsize="64135,354330" path="m0,354330l4953,261747l18415,134239l64135,0">
                  <v:stroke weight="0.75pt" endcap="flat" joinstyle="round" on="true" color="#000000"/>
                  <v:fill on="false" color="#000000" opacity="0"/>
                </v:shape>
                <v:shape id="Shape 17219" style="position:absolute;width:609;height:3155;left:18036;top:3981;" coordsize="60960,315595" path="m0,315595l889,208407l14224,100838l60960,0">
                  <v:stroke weight="0.75pt" endcap="flat" joinstyle="round" on="true" color="#000000"/>
                  <v:fill on="false" color="#000000" opacity="0"/>
                </v:shape>
                <v:shape id="Shape 17220" style="position:absolute;width:679;height:2482;left:23960;top:3581;" coordsize="67945,248285" path="m0,248285l7112,181229l33782,67056l67945,0">
                  <v:stroke weight="0.75pt" endcap="flat" joinstyle="round" on="true" color="#000000"/>
                  <v:fill on="false" color="#000000" opacity="0"/>
                </v:shape>
                <v:shape id="Shape 17221" style="position:absolute;width:749;height:1955;left:29008;top:3441;" coordsize="74930,195580" path="m0,188849l6731,195580l26924,101219l74930,0">
                  <v:stroke weight="0.75pt" endcap="flat" joinstyle="round" on="true" color="#000000"/>
                  <v:fill on="false" color="#000000" opacity="0"/>
                </v:shape>
                <v:shape id="Shape 17222" style="position:absolute;width:0;height:806;left:7482;top:17837;" coordsize="0,80645" path="m0,0l0,80645">
                  <v:stroke weight="0.75pt" endcap="flat" joinstyle="round" on="true" color="#000000"/>
                  <v:fill on="false" color="#000000" opacity="0"/>
                </v:shape>
                <v:shape id="Shape 17223" style="position:absolute;width:6;height:800;left:12943;top:17862;" coordsize="635,80010" path="m0,0l635,80010">
                  <v:stroke weight="0.75pt" endcap="flat" joinstyle="round" on="true" color="#000000"/>
                  <v:fill on="false" color="#000000" opacity="0"/>
                </v:shape>
                <v:shape id="Shape 17224" style="position:absolute;width:6;height:812;left:18137;top:17862;" coordsize="635,81280" path="m0,0l635,81280">
                  <v:stroke weight="0.75pt" endcap="flat" joinstyle="round" on="true" color="#000000"/>
                  <v:fill on="false" color="#000000" opacity="0"/>
                </v:shape>
                <v:shape id="Shape 17225" style="position:absolute;width:6;height:800;left:23706;top:17862;" coordsize="635,80010" path="m0,0l635,80010">
                  <v:stroke weight="0.75pt" endcap="flat" joinstyle="round" on="true" color="#000000"/>
                  <v:fill on="false" color="#000000" opacity="0"/>
                </v:shape>
                <v:shape id="Shape 17226" style="position:absolute;width:6;height:800;left:29008;top:17945;" coordsize="635,80010" path="m0,0l635,80010">
                  <v:stroke weight="0.75pt" endcap="flat" joinstyle="round" on="true" color="#000000"/>
                  <v:fill on="false" color="#000000" opacity="0"/>
                </v:shape>
                <v:rect id="Rectangle 17227" style="position:absolute;width:841;height:1862;left:0;top:7;"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S</w:t>
                        </w:r>
                      </w:p>
                    </w:txbxContent>
                  </v:textbox>
                </v:rect>
                <v:rect id="Rectangle 17228" style="position:absolute;width:560;height:1862;left:640;top:7;" filled="f" stroked="f">
                  <v:textbox inset="0,0,0,0">
                    <w:txbxContent>
                      <w:p>
                        <w:pPr>
                          <w:spacing w:before="0" w:after="160" w:line="259" w:lineRule="auto"/>
                          <w:ind w:left="0" w:firstLine="0"/>
                          <w:jc w:val="left"/>
                        </w:pPr>
                        <w:r>
                          <w:rPr>
                            <w:sz w:val="20"/>
                          </w:rPr>
                          <w:t xml:space="preserve">(</w:t>
                        </w:r>
                      </w:p>
                    </w:txbxContent>
                  </v:textbox>
                </v:rect>
                <v:rect id="Rectangle 17229" style="position:absolute;width:467;height:1862;left:1066;top:7;"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30" style="position:absolute;width:560;height:1862;left:1416;top:7;" filled="f" stroked="f">
                  <v:textbox inset="0,0,0,0">
                    <w:txbxContent>
                      <w:p>
                        <w:pPr>
                          <w:spacing w:before="0" w:after="160" w:line="259" w:lineRule="auto"/>
                          <w:ind w:left="0" w:firstLine="0"/>
                          <w:jc w:val="left"/>
                        </w:pPr>
                        <w:r>
                          <w:rPr>
                            <w:sz w:val="20"/>
                          </w:rPr>
                          <w:t xml:space="preserve">)</w:t>
                        </w:r>
                      </w:p>
                    </w:txbxContent>
                  </v:textbox>
                </v:rect>
                <v:rect id="Rectangle 17231" style="position:absolute;width:1541;height:1536;left:6490;top:19507;" filled="f" stroked="f">
                  <v:textbox inset="0,0,0,0">
                    <w:txbxContent>
                      <w:p>
                        <w:pPr>
                          <w:spacing w:before="0" w:after="160" w:line="259" w:lineRule="auto"/>
                          <w:ind w:left="0" w:firstLine="0"/>
                          <w:jc w:val="left"/>
                        </w:pPr>
                        <w:r>
                          <w:rPr>
                            <w:rFonts w:cs="Segoe UI Symbol" w:hAnsi="Segoe UI Symbol" w:eastAsia="Segoe UI Symbol" w:ascii="Segoe UI Symbol"/>
                            <w:sz w:val="21"/>
                          </w:rPr>
                          <w:t xml:space="preserve"></w:t>
                        </w:r>
                      </w:p>
                    </w:txbxContent>
                  </v:textbox>
                </v:rect>
                <v:rect id="Rectangle 17232" style="position:absolute;width:467;height:1862;left:7360;top:19257;"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33" style="position:absolute;width:420;height:1862;left:7710;top:19257;" filled="f" stroked="f">
                  <v:textbox inset="0,0,0,0">
                    <w:txbxContent>
                      <w:p>
                        <w:pPr>
                          <w:spacing w:before="0" w:after="160" w:line="259" w:lineRule="auto"/>
                          <w:ind w:left="0" w:firstLine="0"/>
                          <w:jc w:val="left"/>
                        </w:pPr>
                        <w:r>
                          <w:rPr>
                            <w:sz w:val="20"/>
                          </w:rPr>
                          <w:t xml:space="preserve"> </w:t>
                        </w:r>
                      </w:p>
                    </w:txbxContent>
                  </v:textbox>
                </v:rect>
                <v:rect id="Rectangle 17235" style="position:absolute;width:841;height:1862;left:12191;top:19288;" filled="f" stroked="f">
                  <v:textbox inset="0,0,0,0">
                    <w:txbxContent>
                      <w:p>
                        <w:pPr>
                          <w:spacing w:before="0" w:after="160" w:line="259" w:lineRule="auto"/>
                          <w:ind w:left="0" w:firstLine="0"/>
                          <w:jc w:val="left"/>
                        </w:pPr>
                        <w:r>
                          <w:rPr>
                            <w:sz w:val="20"/>
                          </w:rPr>
                          <w:t xml:space="preserve">2</w:t>
                        </w:r>
                      </w:p>
                    </w:txbxContent>
                  </v:textbox>
                </v:rect>
                <v:rect id="Rectangle 17236" style="position:absolute;width:1541;height:1536;left:12738;top:19538;" filled="f" stroked="f">
                  <v:textbox inset="0,0,0,0">
                    <w:txbxContent>
                      <w:p>
                        <w:pPr>
                          <w:spacing w:before="0" w:after="160" w:line="259" w:lineRule="auto"/>
                          <w:ind w:left="0" w:firstLine="0"/>
                          <w:jc w:val="left"/>
                        </w:pPr>
                        <w:r>
                          <w:rPr>
                            <w:rFonts w:cs="Segoe UI Symbol" w:hAnsi="Segoe UI Symbol" w:eastAsia="Segoe UI Symbol" w:ascii="Segoe UI Symbol"/>
                            <w:sz w:val="21"/>
                          </w:rPr>
                          <w:t xml:space="preserve"></w:t>
                        </w:r>
                      </w:p>
                    </w:txbxContent>
                  </v:textbox>
                </v:rect>
                <v:rect id="Rectangle 17237" style="position:absolute;width:467;height:1862;left:13612;top:19288;"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39" style="position:absolute;width:841;height:1862;left:17376;top:19288;" filled="f" stroked="f">
                  <v:textbox inset="0,0,0,0">
                    <w:txbxContent>
                      <w:p>
                        <w:pPr>
                          <w:spacing w:before="0" w:after="160" w:line="259" w:lineRule="auto"/>
                          <w:ind w:left="0" w:firstLine="0"/>
                          <w:jc w:val="left"/>
                        </w:pPr>
                        <w:r>
                          <w:rPr>
                            <w:sz w:val="20"/>
                          </w:rPr>
                          <w:t xml:space="preserve">3</w:t>
                        </w:r>
                      </w:p>
                    </w:txbxContent>
                  </v:textbox>
                </v:rect>
                <v:rect id="Rectangle 17240" style="position:absolute;width:1541;height:1536;left:17924;top:19538;" filled="f" stroked="f">
                  <v:textbox inset="0,0,0,0">
                    <w:txbxContent>
                      <w:p>
                        <w:pPr>
                          <w:spacing w:before="0" w:after="160" w:line="259" w:lineRule="auto"/>
                          <w:ind w:left="0" w:firstLine="0"/>
                          <w:jc w:val="left"/>
                        </w:pPr>
                        <w:r>
                          <w:rPr>
                            <w:rFonts w:cs="Segoe UI Symbol" w:hAnsi="Segoe UI Symbol" w:eastAsia="Segoe UI Symbol" w:ascii="Segoe UI Symbol"/>
                            <w:sz w:val="21"/>
                          </w:rPr>
                          <w:t xml:space="preserve"></w:t>
                        </w:r>
                      </w:p>
                    </w:txbxContent>
                  </v:textbox>
                </v:rect>
                <v:rect id="Rectangle 17241" style="position:absolute;width:467;height:1862;left:18794;top:19288;"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43" style="position:absolute;width:841;height:1862;left:22954;top:19288;" filled="f" stroked="f">
                  <v:textbox inset="0,0,0,0">
                    <w:txbxContent>
                      <w:p>
                        <w:pPr>
                          <w:spacing w:before="0" w:after="160" w:line="259" w:lineRule="auto"/>
                          <w:ind w:left="0" w:firstLine="0"/>
                          <w:jc w:val="left"/>
                        </w:pPr>
                        <w:r>
                          <w:rPr>
                            <w:sz w:val="20"/>
                          </w:rPr>
                          <w:t xml:space="preserve">4</w:t>
                        </w:r>
                      </w:p>
                    </w:txbxContent>
                  </v:textbox>
                </v:rect>
                <v:rect id="Rectangle 17244" style="position:absolute;width:1541;height:1536;left:23502;top:19538;" filled="f" stroked="f">
                  <v:textbox inset="0,0,0,0">
                    <w:txbxContent>
                      <w:p>
                        <w:pPr>
                          <w:spacing w:before="0" w:after="160" w:line="259" w:lineRule="auto"/>
                          <w:ind w:left="0" w:firstLine="0"/>
                          <w:jc w:val="left"/>
                        </w:pPr>
                        <w:r>
                          <w:rPr>
                            <w:rFonts w:cs="Segoe UI Symbol" w:hAnsi="Segoe UI Symbol" w:eastAsia="Segoe UI Symbol" w:ascii="Segoe UI Symbol"/>
                            <w:sz w:val="21"/>
                          </w:rPr>
                          <w:t xml:space="preserve"></w:t>
                        </w:r>
                      </w:p>
                    </w:txbxContent>
                  </v:textbox>
                </v:rect>
                <v:rect id="Rectangle 17245" style="position:absolute;width:467;height:1862;left:24372;top:19288;"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47" style="position:absolute;width:841;height:1862;left:28197;top:19288;" filled="f" stroked="f">
                  <v:textbox inset="0,0,0,0">
                    <w:txbxContent>
                      <w:p>
                        <w:pPr>
                          <w:spacing w:before="0" w:after="160" w:line="259" w:lineRule="auto"/>
                          <w:ind w:left="0" w:firstLine="0"/>
                          <w:jc w:val="left"/>
                        </w:pPr>
                        <w:r>
                          <w:rPr>
                            <w:sz w:val="20"/>
                          </w:rPr>
                          <w:t xml:space="preserve">5</w:t>
                        </w:r>
                      </w:p>
                    </w:txbxContent>
                  </v:textbox>
                </v:rect>
                <v:rect id="Rectangle 17248" style="position:absolute;width:1541;height:1536;left:28744;top:19538;" filled="f" stroked="f">
                  <v:textbox inset="0,0,0,0">
                    <w:txbxContent>
                      <w:p>
                        <w:pPr>
                          <w:spacing w:before="0" w:after="160" w:line="259" w:lineRule="auto"/>
                          <w:ind w:left="0" w:firstLine="0"/>
                          <w:jc w:val="left"/>
                        </w:pPr>
                        <w:r>
                          <w:rPr>
                            <w:rFonts w:cs="Segoe UI Symbol" w:hAnsi="Segoe UI Symbol" w:eastAsia="Segoe UI Symbol" w:ascii="Segoe UI Symbol"/>
                            <w:sz w:val="21"/>
                          </w:rPr>
                          <w:t xml:space="preserve"></w:t>
                        </w:r>
                      </w:p>
                    </w:txbxContent>
                  </v:textbox>
                </v:rect>
                <v:rect id="Rectangle 17249" style="position:absolute;width:467;height:1862;left:29614;top:19288;"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51" style="position:absolute;width:467;height:1862;left:34311;top:18785;"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t</w:t>
                        </w:r>
                      </w:p>
                    </w:txbxContent>
                  </v:textbox>
                </v:rect>
                <v:rect id="Rectangle 17252" style="position:absolute;width:420;height:1862;left:34661;top:18785;" filled="f" stroked="f">
                  <v:textbox inset="0,0,0,0">
                    <w:txbxContent>
                      <w:p>
                        <w:pPr>
                          <w:spacing w:before="0" w:after="160" w:line="259" w:lineRule="auto"/>
                          <w:ind w:left="0" w:firstLine="0"/>
                          <w:jc w:val="left"/>
                        </w:pPr>
                        <w:r>
                          <w:rPr>
                            <w:sz w:val="20"/>
                          </w:rPr>
                          <w:t xml:space="preserve"> </w:t>
                        </w:r>
                      </w:p>
                    </w:txbxContent>
                  </v:textbox>
                </v:rect>
                <v:rect id="Rectangle 17254" style="position:absolute;width:841;height:1862;left:533;top:17413;" filled="f" stroked="f">
                  <v:textbox inset="0,0,0,0">
                    <w:txbxContent>
                      <w:p>
                        <w:pPr>
                          <w:spacing w:before="0" w:after="160" w:line="259" w:lineRule="auto"/>
                          <w:ind w:left="0" w:firstLine="0"/>
                          <w:jc w:val="left"/>
                        </w:pPr>
                        <w:r>
                          <w:rPr>
                            <w:sz w:val="20"/>
                          </w:rPr>
                          <w:t xml:space="preserve">0</w:t>
                        </w:r>
                      </w:p>
                    </w:txbxContent>
                  </v:textbox>
                </v:rect>
                <v:rect id="Rectangle 17255" style="position:absolute;width:420;height:1862;left:1172;top:17413;" filled="f" stroked="f">
                  <v:textbox inset="0,0,0,0">
                    <w:txbxContent>
                      <w:p>
                        <w:pPr>
                          <w:spacing w:before="0" w:after="160" w:line="259" w:lineRule="auto"/>
                          <w:ind w:left="0" w:firstLine="0"/>
                          <w:jc w:val="left"/>
                        </w:pPr>
                        <w:r>
                          <w:rPr>
                            <w:sz w:val="20"/>
                          </w:rPr>
                          <w:t xml:space="preserve"> </w:t>
                        </w:r>
                      </w:p>
                    </w:txbxContent>
                  </v:textbox>
                </v:rect>
                <v:rect id="Rectangle 17256" style="position:absolute;width:420;height:1862;left:533;top:18876;" filled="f" stroked="f">
                  <v:textbox inset="0,0,0,0">
                    <w:txbxContent>
                      <w:p>
                        <w:pPr>
                          <w:spacing w:before="0" w:after="160" w:line="259" w:lineRule="auto"/>
                          <w:ind w:left="0" w:firstLine="0"/>
                          <w:jc w:val="left"/>
                        </w:pPr>
                        <w:r>
                          <w:rPr>
                            <w:sz w:val="20"/>
                          </w:rPr>
                          <w:t xml:space="preserve"> </w:t>
                        </w:r>
                      </w:p>
                    </w:txbxContent>
                  </v:textbox>
                </v:rect>
                <v:rect id="Rectangle 567470" style="position:absolute;width:841;height:1862;left:1551;top:14990;" filled="f" stroked="f">
                  <v:textbox inset="0,0,0,0">
                    <w:txbxContent>
                      <w:p>
                        <w:pPr>
                          <w:spacing w:before="0" w:after="160" w:line="259" w:lineRule="auto"/>
                          <w:ind w:left="0" w:firstLine="0"/>
                          <w:jc w:val="left"/>
                        </w:pPr>
                        <w:r>
                          <w:rPr>
                            <w:sz w:val="20"/>
                          </w:rPr>
                          <w:t xml:space="preserve">2</w:t>
                        </w:r>
                      </w:p>
                    </w:txbxContent>
                  </v:textbox>
                </v:rect>
                <v:rect id="Rectangle 567469" style="position:absolute;width:841;height:1862;left:594;top:14990;" filled="f" stroked="f">
                  <v:textbox inset="0,0,0,0">
                    <w:txbxContent>
                      <w:p>
                        <w:pPr>
                          <w:spacing w:before="0" w:after="160" w:line="259" w:lineRule="auto"/>
                          <w:ind w:left="0" w:firstLine="0"/>
                          <w:jc w:val="left"/>
                        </w:pPr>
                        <w:r>
                          <w:rPr>
                            <w:sz w:val="20"/>
                          </w:rPr>
                          <w:t xml:space="preserve">0</w:t>
                        </w:r>
                      </w:p>
                    </w:txbxContent>
                  </v:textbox>
                </v:rect>
                <v:rect id="Rectangle 567471" style="position:absolute;width:420;height:1862;left:1233;top:14990;" filled="f" stroked="f">
                  <v:textbox inset="0,0,0,0">
                    <w:txbxContent>
                      <w:p>
                        <w:pPr>
                          <w:spacing w:before="0" w:after="160" w:line="259" w:lineRule="auto"/>
                          <w:ind w:left="0" w:firstLine="0"/>
                          <w:jc w:val="left"/>
                        </w:pPr>
                        <w:r>
                          <w:rPr>
                            <w:sz w:val="20"/>
                          </w:rPr>
                          <w:t xml:space="preserve">,</w:t>
                        </w:r>
                      </w:p>
                    </w:txbxContent>
                  </v:textbox>
                </v:rect>
                <v:rect id="Rectangle 17258" style="position:absolute;width:420;height:1862;left:2178;top:14990;" filled="f" stroked="f">
                  <v:textbox inset="0,0,0,0">
                    <w:txbxContent>
                      <w:p>
                        <w:pPr>
                          <w:spacing w:before="0" w:after="160" w:line="259" w:lineRule="auto"/>
                          <w:ind w:left="0" w:firstLine="0"/>
                          <w:jc w:val="left"/>
                        </w:pPr>
                        <w:r>
                          <w:rPr>
                            <w:sz w:val="20"/>
                          </w:rPr>
                          <w:t xml:space="preserve"> </w:t>
                        </w:r>
                      </w:p>
                    </w:txbxContent>
                  </v:textbox>
                </v:rect>
                <v:rect id="Rectangle 17259" style="position:absolute;width:420;height:1862;left:594;top:16453;" filled="f" stroked="f">
                  <v:textbox inset="0,0,0,0">
                    <w:txbxContent>
                      <w:p>
                        <w:pPr>
                          <w:spacing w:before="0" w:after="160" w:line="259" w:lineRule="auto"/>
                          <w:ind w:left="0" w:firstLine="0"/>
                          <w:jc w:val="left"/>
                        </w:pPr>
                        <w:r>
                          <w:rPr>
                            <w:sz w:val="20"/>
                          </w:rPr>
                          <w:t xml:space="preserve"> </w:t>
                        </w:r>
                      </w:p>
                    </w:txbxContent>
                  </v:textbox>
                </v:rect>
                <v:rect id="Rectangle 567467" style="position:absolute;width:841;height:1862;left:1628;top:12308;" filled="f" stroked="f">
                  <v:textbox inset="0,0,0,0">
                    <w:txbxContent>
                      <w:p>
                        <w:pPr>
                          <w:spacing w:before="0" w:after="160" w:line="259" w:lineRule="auto"/>
                          <w:ind w:left="0" w:firstLine="0"/>
                          <w:jc w:val="left"/>
                        </w:pPr>
                        <w:r>
                          <w:rPr>
                            <w:sz w:val="20"/>
                          </w:rPr>
                          <w:t xml:space="preserve">4</w:t>
                        </w:r>
                      </w:p>
                    </w:txbxContent>
                  </v:textbox>
                </v:rect>
                <v:rect id="Rectangle 567468" style="position:absolute;width:420;height:1862;left:1309;top:12308;" filled="f" stroked="f">
                  <v:textbox inset="0,0,0,0">
                    <w:txbxContent>
                      <w:p>
                        <w:pPr>
                          <w:spacing w:before="0" w:after="160" w:line="259" w:lineRule="auto"/>
                          <w:ind w:left="0" w:firstLine="0"/>
                          <w:jc w:val="left"/>
                        </w:pPr>
                        <w:r>
                          <w:rPr>
                            <w:sz w:val="20"/>
                          </w:rPr>
                          <w:t xml:space="preserve">,</w:t>
                        </w:r>
                      </w:p>
                    </w:txbxContent>
                  </v:textbox>
                </v:rect>
                <v:rect id="Rectangle 567466" style="position:absolute;width:841;height:1862;left:670;top:12308;" filled="f" stroked="f">
                  <v:textbox inset="0,0,0,0">
                    <w:txbxContent>
                      <w:p>
                        <w:pPr>
                          <w:spacing w:before="0" w:after="160" w:line="259" w:lineRule="auto"/>
                          <w:ind w:left="0" w:firstLine="0"/>
                          <w:jc w:val="left"/>
                        </w:pPr>
                        <w:r>
                          <w:rPr>
                            <w:sz w:val="20"/>
                          </w:rPr>
                          <w:t xml:space="preserve">0</w:t>
                        </w:r>
                      </w:p>
                    </w:txbxContent>
                  </v:textbox>
                </v:rect>
                <v:rect id="Rectangle 17261" style="position:absolute;width:420;height:1862;left:2255;top:12308;" filled="f" stroked="f">
                  <v:textbox inset="0,0,0,0">
                    <w:txbxContent>
                      <w:p>
                        <w:pPr>
                          <w:spacing w:before="0" w:after="160" w:line="259" w:lineRule="auto"/>
                          <w:ind w:left="0" w:firstLine="0"/>
                          <w:jc w:val="left"/>
                        </w:pPr>
                        <w:r>
                          <w:rPr>
                            <w:sz w:val="20"/>
                          </w:rPr>
                          <w:t xml:space="preserve"> </w:t>
                        </w:r>
                      </w:p>
                    </w:txbxContent>
                  </v:textbox>
                </v:rect>
                <v:rect id="Rectangle 17262" style="position:absolute;width:420;height:1862;left:670;top:13771;" filled="f" stroked="f">
                  <v:textbox inset="0,0,0,0">
                    <w:txbxContent>
                      <w:p>
                        <w:pPr>
                          <w:spacing w:before="0" w:after="160" w:line="259" w:lineRule="auto"/>
                          <w:ind w:left="0" w:firstLine="0"/>
                          <w:jc w:val="left"/>
                        </w:pPr>
                        <w:r>
                          <w:rPr>
                            <w:sz w:val="20"/>
                          </w:rPr>
                          <w:t xml:space="preserve"> </w:t>
                        </w:r>
                      </w:p>
                    </w:txbxContent>
                  </v:textbox>
                </v:rect>
                <v:rect id="Rectangle 567465" style="position:absolute;width:420;height:1862;left:1309;top:8940;" filled="f" stroked="f">
                  <v:textbox inset="0,0,0,0">
                    <w:txbxContent>
                      <w:p>
                        <w:pPr>
                          <w:spacing w:before="0" w:after="160" w:line="259" w:lineRule="auto"/>
                          <w:ind w:left="0" w:firstLine="0"/>
                          <w:jc w:val="left"/>
                        </w:pPr>
                        <w:r>
                          <w:rPr>
                            <w:sz w:val="20"/>
                          </w:rPr>
                          <w:t xml:space="preserve">,</w:t>
                        </w:r>
                      </w:p>
                    </w:txbxContent>
                  </v:textbox>
                </v:rect>
                <v:rect id="Rectangle 567464" style="position:absolute;width:841;height:1862;left:1628;top:8940;" filled="f" stroked="f">
                  <v:textbox inset="0,0,0,0">
                    <w:txbxContent>
                      <w:p>
                        <w:pPr>
                          <w:spacing w:before="0" w:after="160" w:line="259" w:lineRule="auto"/>
                          <w:ind w:left="0" w:firstLine="0"/>
                          <w:jc w:val="left"/>
                        </w:pPr>
                        <w:r>
                          <w:rPr>
                            <w:sz w:val="20"/>
                          </w:rPr>
                          <w:t xml:space="preserve">6</w:t>
                        </w:r>
                      </w:p>
                    </w:txbxContent>
                  </v:textbox>
                </v:rect>
                <v:rect id="Rectangle 567463" style="position:absolute;width:841;height:1862;left:670;top:8940;" filled="f" stroked="f">
                  <v:textbox inset="0,0,0,0">
                    <w:txbxContent>
                      <w:p>
                        <w:pPr>
                          <w:spacing w:before="0" w:after="160" w:line="259" w:lineRule="auto"/>
                          <w:ind w:left="0" w:firstLine="0"/>
                          <w:jc w:val="left"/>
                        </w:pPr>
                        <w:r>
                          <w:rPr>
                            <w:sz w:val="20"/>
                          </w:rPr>
                          <w:t xml:space="preserve">0</w:t>
                        </w:r>
                      </w:p>
                    </w:txbxContent>
                  </v:textbox>
                </v:rect>
                <v:rect id="Rectangle 17264" style="position:absolute;width:420;height:1862;left:2255;top:8940;" filled="f" stroked="f">
                  <v:textbox inset="0,0,0,0">
                    <w:txbxContent>
                      <w:p>
                        <w:pPr>
                          <w:spacing w:before="0" w:after="160" w:line="259" w:lineRule="auto"/>
                          <w:ind w:left="0" w:firstLine="0"/>
                          <w:jc w:val="left"/>
                        </w:pPr>
                        <w:r>
                          <w:rPr>
                            <w:sz w:val="20"/>
                          </w:rPr>
                          <w:t xml:space="preserve"> </w:t>
                        </w:r>
                      </w:p>
                    </w:txbxContent>
                  </v:textbox>
                </v:rect>
                <v:rect id="Rectangle 17265" style="position:absolute;width:420;height:1862;left:670;top:10403;" filled="f" stroked="f">
                  <v:textbox inset="0,0,0,0">
                    <w:txbxContent>
                      <w:p>
                        <w:pPr>
                          <w:spacing w:before="0" w:after="160" w:line="259" w:lineRule="auto"/>
                          <w:ind w:left="0" w:firstLine="0"/>
                          <w:jc w:val="left"/>
                        </w:pPr>
                        <w:r>
                          <w:rPr>
                            <w:sz w:val="20"/>
                          </w:rPr>
                          <w:t xml:space="preserve"> </w:t>
                        </w:r>
                      </w:p>
                    </w:txbxContent>
                  </v:textbox>
                </v:rect>
                <v:rect id="Rectangle 567460" style="position:absolute;width:841;height:1862;left:609;top:5846;" filled="f" stroked="f">
                  <v:textbox inset="0,0,0,0">
                    <w:txbxContent>
                      <w:p>
                        <w:pPr>
                          <w:spacing w:before="0" w:after="160" w:line="259" w:lineRule="auto"/>
                          <w:ind w:left="0" w:firstLine="0"/>
                          <w:jc w:val="left"/>
                        </w:pPr>
                        <w:r>
                          <w:rPr>
                            <w:sz w:val="20"/>
                          </w:rPr>
                          <w:t xml:space="preserve">0</w:t>
                        </w:r>
                      </w:p>
                    </w:txbxContent>
                  </v:textbox>
                </v:rect>
                <v:rect id="Rectangle 567462" style="position:absolute;width:420;height:1862;left:1248;top:5846;" filled="f" stroked="f">
                  <v:textbox inset="0,0,0,0">
                    <w:txbxContent>
                      <w:p>
                        <w:pPr>
                          <w:spacing w:before="0" w:after="160" w:line="259" w:lineRule="auto"/>
                          <w:ind w:left="0" w:firstLine="0"/>
                          <w:jc w:val="left"/>
                        </w:pPr>
                        <w:r>
                          <w:rPr>
                            <w:sz w:val="20"/>
                          </w:rPr>
                          <w:t xml:space="preserve">,</w:t>
                        </w:r>
                      </w:p>
                    </w:txbxContent>
                  </v:textbox>
                </v:rect>
                <v:rect id="Rectangle 567461" style="position:absolute;width:841;height:1862;left:1567;top:5846;" filled="f" stroked="f">
                  <v:textbox inset="0,0,0,0">
                    <w:txbxContent>
                      <w:p>
                        <w:pPr>
                          <w:spacing w:before="0" w:after="160" w:line="259" w:lineRule="auto"/>
                          <w:ind w:left="0" w:firstLine="0"/>
                          <w:jc w:val="left"/>
                        </w:pPr>
                        <w:r>
                          <w:rPr>
                            <w:sz w:val="20"/>
                          </w:rPr>
                          <w:t xml:space="preserve">8</w:t>
                        </w:r>
                      </w:p>
                    </w:txbxContent>
                  </v:textbox>
                </v:rect>
                <v:rect id="Rectangle 17267" style="position:absolute;width:420;height:1862;left:2194;top:5846;" filled="f" stroked="f">
                  <v:textbox inset="0,0,0,0">
                    <w:txbxContent>
                      <w:p>
                        <w:pPr>
                          <w:spacing w:before="0" w:after="160" w:line="259" w:lineRule="auto"/>
                          <w:ind w:left="0" w:firstLine="0"/>
                          <w:jc w:val="left"/>
                        </w:pPr>
                        <w:r>
                          <w:rPr>
                            <w:sz w:val="20"/>
                          </w:rPr>
                          <w:t xml:space="preserve"> </w:t>
                        </w:r>
                      </w:p>
                    </w:txbxContent>
                  </v:textbox>
                </v:rect>
                <v:rect id="Rectangle 17268" style="position:absolute;width:420;height:1862;left:609;top:7309;" filled="f" stroked="f">
                  <v:textbox inset="0,0,0,0">
                    <w:txbxContent>
                      <w:p>
                        <w:pPr>
                          <w:spacing w:before="0" w:after="160" w:line="259" w:lineRule="auto"/>
                          <w:ind w:left="0" w:firstLine="0"/>
                          <w:jc w:val="left"/>
                        </w:pPr>
                        <w:r>
                          <w:rPr>
                            <w:sz w:val="20"/>
                          </w:rPr>
                          <w:t xml:space="preserve"> </w:t>
                        </w:r>
                      </w:p>
                    </w:txbxContent>
                  </v:textbox>
                </v:rect>
                <v:rect id="Rectangle 17269" style="position:absolute;width:841;height:1862;left:563;top:2889;" filled="f" stroked="f">
                  <v:textbox inset="0,0,0,0">
                    <w:txbxContent>
                      <w:p>
                        <w:pPr>
                          <w:spacing w:before="0" w:after="160" w:line="259" w:lineRule="auto"/>
                          <w:ind w:left="0" w:firstLine="0"/>
                          <w:jc w:val="left"/>
                        </w:pPr>
                        <w:r>
                          <w:rPr>
                            <w:sz w:val="20"/>
                          </w:rPr>
                          <w:t xml:space="preserve">1</w:t>
                        </w:r>
                      </w:p>
                    </w:txbxContent>
                  </v:textbox>
                </v:rect>
                <v:rect id="Rectangle 17270" style="position:absolute;width:420;height:1862;left:1203;top:2889;" filled="f" stroked="f">
                  <v:textbox inset="0,0,0,0">
                    <w:txbxContent>
                      <w:p>
                        <w:pPr>
                          <w:spacing w:before="0" w:after="160" w:line="259" w:lineRule="auto"/>
                          <w:ind w:left="0" w:firstLine="0"/>
                          <w:jc w:val="left"/>
                        </w:pPr>
                        <w:r>
                          <w:rPr>
                            <w:sz w:val="20"/>
                          </w:rPr>
                          <w:t xml:space="preserve"> </w:t>
                        </w:r>
                      </w:p>
                    </w:txbxContent>
                  </v:textbox>
                </v:rect>
                <v:rect id="Rectangle 17271" style="position:absolute;width:420;height:1862;left:563;top:4353;" filled="f" stroked="f">
                  <v:textbox inset="0,0,0,0">
                    <w:txbxContent>
                      <w:p>
                        <w:pPr>
                          <w:spacing w:before="0" w:after="160" w:line="259" w:lineRule="auto"/>
                          <w:ind w:left="0" w:firstLine="0"/>
                          <w:jc w:val="left"/>
                        </w:pPr>
                        <w:r>
                          <w:rPr>
                            <w:sz w:val="20"/>
                          </w:rPr>
                          <w:t xml:space="preserve"> </w:t>
                        </w:r>
                      </w:p>
                    </w:txbxContent>
                  </v:textbox>
                </v:rect>
                <v:rect id="Rectangle 17272" style="position:absolute;width:841;height:1862;left:2239;top:19166;" filled="f" stroked="f">
                  <v:textbox inset="0,0,0,0">
                    <w:txbxContent>
                      <w:p>
                        <w:pPr>
                          <w:spacing w:before="0" w:after="160" w:line="259" w:lineRule="auto"/>
                          <w:ind w:left="0" w:firstLine="0"/>
                          <w:jc w:val="left"/>
                        </w:pPr>
                        <w:r>
                          <w:rPr>
                            <w:sz w:val="20"/>
                          </w:rPr>
                          <w:t xml:space="preserve">0</w:t>
                        </w:r>
                      </w:p>
                    </w:txbxContent>
                  </v:textbox>
                </v:rect>
                <v:rect id="Rectangle 17273" style="position:absolute;width:420;height:1862;left:2879;top:19166;" filled="f" stroked="f">
                  <v:textbox inset="0,0,0,0">
                    <w:txbxContent>
                      <w:p>
                        <w:pPr>
                          <w:spacing w:before="0" w:after="160" w:line="259" w:lineRule="auto"/>
                          <w:ind w:left="0" w:firstLine="0"/>
                          <w:jc w:val="left"/>
                        </w:pPr>
                        <w:r>
                          <w:rPr>
                            <w:sz w:val="20"/>
                          </w:rPr>
                          <w:t xml:space="preserve"> </w:t>
                        </w:r>
                      </w:p>
                    </w:txbxContent>
                  </v:textbox>
                </v:rect>
              </v:group>
            </w:pict>
          </mc:Fallback>
        </mc:AlternateContent>
      </w:r>
    </w:p>
    <w:p w:rsidR="002C0F56" w:rsidRDefault="00E67C6E">
      <w:pPr>
        <w:spacing w:after="0" w:line="259" w:lineRule="auto"/>
        <w:ind w:left="1292" w:firstLine="0"/>
        <w:jc w:val="left"/>
      </w:pPr>
      <w:r>
        <w:rPr>
          <w:sz w:val="20"/>
        </w:rPr>
        <w:t xml:space="preserve"> </w:t>
      </w:r>
      <w:r>
        <w:rPr>
          <w:sz w:val="20"/>
        </w:rPr>
        <w:tab/>
        <w:t xml:space="preserve"> </w:t>
      </w:r>
      <w:r>
        <w:rPr>
          <w:sz w:val="20"/>
        </w:rPr>
        <w:tab/>
        <w:t xml:space="preserve"> </w:t>
      </w:r>
      <w:r>
        <w:rPr>
          <w:sz w:val="20"/>
        </w:rPr>
        <w:tab/>
        <w:t xml:space="preserve"> </w:t>
      </w:r>
      <w:r>
        <w:rPr>
          <w:sz w:val="20"/>
        </w:rPr>
        <w:tab/>
        <w:t xml:space="preserve"> </w:t>
      </w:r>
      <w:r>
        <w:rPr>
          <w:sz w:val="20"/>
        </w:rPr>
        <w:tab/>
        <w:t xml:space="preserve"> </w:t>
      </w:r>
      <w:r>
        <w:rPr>
          <w:sz w:val="20"/>
        </w:rPr>
        <w:tab/>
      </w:r>
      <w:r>
        <w:rPr>
          <w:sz w:val="31"/>
          <w:vertAlign w:val="superscript"/>
        </w:rPr>
        <w:t xml:space="preserve"> </w:t>
      </w:r>
      <w:r>
        <w:rPr>
          <w:sz w:val="31"/>
          <w:vertAlign w:val="superscript"/>
        </w:rPr>
        <w:tab/>
      </w:r>
      <w:r>
        <w:t xml:space="preserve"> </w:t>
      </w:r>
    </w:p>
    <w:p w:rsidR="002C0F56" w:rsidRDefault="00E67C6E">
      <w:pPr>
        <w:spacing w:after="5" w:line="271" w:lineRule="auto"/>
        <w:ind w:left="2947" w:right="396" w:hanging="2285"/>
        <w:jc w:val="left"/>
      </w:pPr>
      <w:r>
        <w:rPr>
          <w:b/>
          <w:sz w:val="24"/>
        </w:rPr>
        <w:t xml:space="preserve">Рис. 5. График зависимости степени толерантности от времени при периодическом воспроизведении остаточных знаний </w:t>
      </w:r>
    </w:p>
    <w:p w:rsidR="002C0F56" w:rsidRDefault="00E67C6E">
      <w:pPr>
        <w:spacing w:after="0" w:line="259" w:lineRule="auto"/>
        <w:ind w:left="744" w:firstLine="0"/>
        <w:jc w:val="left"/>
      </w:pPr>
      <w:r>
        <w:t xml:space="preserve"> </w:t>
      </w:r>
    </w:p>
    <w:p w:rsidR="002C0F56" w:rsidRDefault="00E67C6E">
      <w:pPr>
        <w:ind w:left="165" w:right="867"/>
      </w:pPr>
      <w:r>
        <w:t xml:space="preserve">Известно, что в процессе обучения наблюдаются как процессы приобретения знаний, так и их потеря (забывание). Блок-схема алгоритма обновления знаний представлена на рис. 6.  </w:t>
      </w:r>
    </w:p>
    <w:p w:rsidR="002C0F56" w:rsidRDefault="00E67C6E">
      <w:pPr>
        <w:spacing w:after="15"/>
        <w:ind w:left="165" w:right="868"/>
      </w:pPr>
      <w:r>
        <w:t>Исходя из выше сказанного, следует сделать вывод, что те обучающие программы, кото</w:t>
      </w:r>
      <w:r>
        <w:t xml:space="preserve">рые инициируют операции воспроизведения образа эталона знаний в виде воспроизведенного образа эталона </w:t>
      </w:r>
      <w:r>
        <w:rPr>
          <w:i/>
        </w:rPr>
        <w:t>Х</w:t>
      </w:r>
      <w:r>
        <w:rPr>
          <w:i/>
          <w:vertAlign w:val="subscript"/>
        </w:rPr>
        <w:t xml:space="preserve">i  </w:t>
      </w:r>
      <w:r>
        <w:t xml:space="preserve">= </w:t>
      </w:r>
      <w:r>
        <w:rPr>
          <w:rFonts w:ascii="Segoe UI Symbol" w:eastAsia="Segoe UI Symbol" w:hAnsi="Segoe UI Symbol" w:cs="Segoe UI Symbol"/>
          <w:sz w:val="30"/>
        </w:rPr>
        <w:t></w:t>
      </w:r>
      <w:r>
        <w:t>(</w:t>
      </w:r>
      <w:r>
        <w:rPr>
          <w:i/>
        </w:rPr>
        <w:t>x</w:t>
      </w:r>
      <w:r>
        <w:rPr>
          <w:i/>
          <w:vertAlign w:val="subscript"/>
        </w:rPr>
        <w:t>i</w:t>
      </w:r>
      <w:r>
        <w:t xml:space="preserve">) и реализацию предиката </w:t>
      </w:r>
      <w:r>
        <w:rPr>
          <w:i/>
        </w:rPr>
        <w:t>Е</w:t>
      </w:r>
      <w:r>
        <w:t>(</w:t>
      </w:r>
      <w:r>
        <w:rPr>
          <w:i/>
        </w:rPr>
        <w:t>Х</w:t>
      </w:r>
      <w:r>
        <w:rPr>
          <w:i/>
          <w:vertAlign w:val="subscript"/>
        </w:rPr>
        <w:t>i</w:t>
      </w:r>
      <w:r>
        <w:t xml:space="preserve">; </w:t>
      </w:r>
      <w:r>
        <w:rPr>
          <w:i/>
        </w:rPr>
        <w:t>Х</w:t>
      </w:r>
      <w:r>
        <w:t xml:space="preserve">) являются наиболее эффективными и, с учетом этого, необходимо проектировать все современные компьютерные обучающие программы.  </w:t>
      </w:r>
    </w:p>
    <w:p w:rsidR="002C0F56" w:rsidRDefault="00E67C6E">
      <w:pPr>
        <w:spacing w:after="0" w:line="259" w:lineRule="auto"/>
        <w:ind w:left="744" w:firstLine="0"/>
        <w:jc w:val="left"/>
      </w:pPr>
      <w:r>
        <w:t xml:space="preserve"> </w:t>
      </w:r>
    </w:p>
    <w:p w:rsidR="002C0F56" w:rsidRDefault="00E67C6E">
      <w:pPr>
        <w:spacing w:after="234" w:line="259" w:lineRule="auto"/>
        <w:ind w:left="2314" w:firstLine="0"/>
        <w:jc w:val="left"/>
      </w:pPr>
      <w:r>
        <w:rPr>
          <w:rFonts w:ascii="Calibri" w:eastAsia="Calibri" w:hAnsi="Calibri" w:cs="Calibri"/>
          <w:noProof/>
          <w:sz w:val="22"/>
        </w:rPr>
        <w:lastRenderedPageBreak/>
        <mc:AlternateContent>
          <mc:Choice Requires="wpg">
            <w:drawing>
              <wp:inline distT="0" distB="0" distL="0" distR="0">
                <wp:extent cx="2515870" cy="3972560"/>
                <wp:effectExtent l="0" t="0" r="0" b="0"/>
                <wp:docPr id="567214" name="Group 567214"/>
                <wp:cNvGraphicFramePr/>
                <a:graphic xmlns:a="http://schemas.openxmlformats.org/drawingml/2006/main">
                  <a:graphicData uri="http://schemas.microsoft.com/office/word/2010/wordprocessingGroup">
                    <wpg:wgp>
                      <wpg:cNvGrpSpPr/>
                      <wpg:grpSpPr>
                        <a:xfrm>
                          <a:off x="0" y="0"/>
                          <a:ext cx="2515870" cy="3972560"/>
                          <a:chOff x="0" y="0"/>
                          <a:chExt cx="2515870" cy="3972560"/>
                        </a:xfrm>
                      </wpg:grpSpPr>
                      <wps:wsp>
                        <wps:cNvPr id="17416" name="Shape 17416"/>
                        <wps:cNvSpPr/>
                        <wps:spPr>
                          <a:xfrm>
                            <a:off x="1131570" y="226695"/>
                            <a:ext cx="635" cy="222885"/>
                          </a:xfrm>
                          <a:custGeom>
                            <a:avLst/>
                            <a:gdLst/>
                            <a:ahLst/>
                            <a:cxnLst/>
                            <a:rect l="0" t="0" r="0" b="0"/>
                            <a:pathLst>
                              <a:path w="635" h="222885">
                                <a:moveTo>
                                  <a:pt x="0" y="0"/>
                                </a:moveTo>
                                <a:lnTo>
                                  <a:pt x="635" y="22288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18" name="Shape 17418"/>
                        <wps:cNvSpPr/>
                        <wps:spPr>
                          <a:xfrm>
                            <a:off x="605155" y="2063749"/>
                            <a:ext cx="1039495" cy="227330"/>
                          </a:xfrm>
                          <a:custGeom>
                            <a:avLst/>
                            <a:gdLst/>
                            <a:ahLst/>
                            <a:cxnLst/>
                            <a:rect l="0" t="0" r="0" b="0"/>
                            <a:pathLst>
                              <a:path w="1039495" h="227330">
                                <a:moveTo>
                                  <a:pt x="0" y="227330"/>
                                </a:moveTo>
                                <a:lnTo>
                                  <a:pt x="1039495" y="227330"/>
                                </a:lnTo>
                                <a:lnTo>
                                  <a:pt x="103949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19" name="Rectangle 17419"/>
                        <wps:cNvSpPr/>
                        <wps:spPr>
                          <a:xfrm>
                            <a:off x="1074674" y="2137114"/>
                            <a:ext cx="135045" cy="127647"/>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Вi</w:t>
                              </w:r>
                            </w:p>
                          </w:txbxContent>
                        </wps:txbx>
                        <wps:bodyPr horzOverflow="overflow" vert="horz" lIns="0" tIns="0" rIns="0" bIns="0" rtlCol="0">
                          <a:noAutofit/>
                        </wps:bodyPr>
                      </wps:wsp>
                      <wps:wsp>
                        <wps:cNvPr id="17420" name="Rectangle 17420"/>
                        <wps:cNvSpPr/>
                        <wps:spPr>
                          <a:xfrm>
                            <a:off x="1176782" y="2119044"/>
                            <a:ext cx="37731" cy="15142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 xml:space="preserve"> </w:t>
                              </w:r>
                            </w:p>
                          </w:txbxContent>
                        </wps:txbx>
                        <wps:bodyPr horzOverflow="overflow" vert="horz" lIns="0" tIns="0" rIns="0" bIns="0" rtlCol="0">
                          <a:noAutofit/>
                        </wps:bodyPr>
                      </wps:wsp>
                      <wps:wsp>
                        <wps:cNvPr id="17422" name="Shape 17422"/>
                        <wps:cNvSpPr/>
                        <wps:spPr>
                          <a:xfrm>
                            <a:off x="626745" y="0"/>
                            <a:ext cx="970280" cy="220980"/>
                          </a:xfrm>
                          <a:custGeom>
                            <a:avLst/>
                            <a:gdLst/>
                            <a:ahLst/>
                            <a:cxnLst/>
                            <a:rect l="0" t="0" r="0" b="0"/>
                            <a:pathLst>
                              <a:path w="970280" h="220980">
                                <a:moveTo>
                                  <a:pt x="36830" y="0"/>
                                </a:moveTo>
                                <a:cubicBezTo>
                                  <a:pt x="16510" y="0"/>
                                  <a:pt x="0" y="16510"/>
                                  <a:pt x="0" y="36830"/>
                                </a:cubicBezTo>
                                <a:lnTo>
                                  <a:pt x="0" y="184150"/>
                                </a:lnTo>
                                <a:cubicBezTo>
                                  <a:pt x="0" y="204470"/>
                                  <a:pt x="16510" y="220980"/>
                                  <a:pt x="36830" y="220980"/>
                                </a:cubicBezTo>
                                <a:lnTo>
                                  <a:pt x="933450" y="220980"/>
                                </a:lnTo>
                                <a:cubicBezTo>
                                  <a:pt x="953770" y="220980"/>
                                  <a:pt x="970280" y="204470"/>
                                  <a:pt x="970280" y="184150"/>
                                </a:cubicBezTo>
                                <a:lnTo>
                                  <a:pt x="970280" y="36830"/>
                                </a:lnTo>
                                <a:cubicBezTo>
                                  <a:pt x="970280" y="16510"/>
                                  <a:pt x="953770" y="0"/>
                                  <a:pt x="933450"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7423" name="Rectangle 17423"/>
                        <wps:cNvSpPr/>
                        <wps:spPr>
                          <a:xfrm>
                            <a:off x="928370" y="77808"/>
                            <a:ext cx="494189" cy="127647"/>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Начало</w:t>
                              </w:r>
                            </w:p>
                          </w:txbxContent>
                        </wps:txbx>
                        <wps:bodyPr horzOverflow="overflow" vert="horz" lIns="0" tIns="0" rIns="0" bIns="0" rtlCol="0">
                          <a:noAutofit/>
                        </wps:bodyPr>
                      </wps:wsp>
                      <wps:wsp>
                        <wps:cNvPr id="17424" name="Rectangle 17424"/>
                        <wps:cNvSpPr/>
                        <wps:spPr>
                          <a:xfrm>
                            <a:off x="1298702" y="59738"/>
                            <a:ext cx="37731" cy="15142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 xml:space="preserve"> </w:t>
                              </w:r>
                            </w:p>
                          </w:txbxContent>
                        </wps:txbx>
                        <wps:bodyPr horzOverflow="overflow" vert="horz" lIns="0" tIns="0" rIns="0" bIns="0" rtlCol="0">
                          <a:noAutofit/>
                        </wps:bodyPr>
                      </wps:wsp>
                      <wps:wsp>
                        <wps:cNvPr id="17426" name="Shape 17426"/>
                        <wps:cNvSpPr/>
                        <wps:spPr>
                          <a:xfrm>
                            <a:off x="689610" y="452120"/>
                            <a:ext cx="900430" cy="220345"/>
                          </a:xfrm>
                          <a:custGeom>
                            <a:avLst/>
                            <a:gdLst/>
                            <a:ahLst/>
                            <a:cxnLst/>
                            <a:rect l="0" t="0" r="0" b="0"/>
                            <a:pathLst>
                              <a:path w="900430" h="220345">
                                <a:moveTo>
                                  <a:pt x="0" y="220345"/>
                                </a:moveTo>
                                <a:lnTo>
                                  <a:pt x="900430" y="220345"/>
                                </a:lnTo>
                                <a:lnTo>
                                  <a:pt x="90043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27" name="Rectangle 17427"/>
                        <wps:cNvSpPr/>
                        <wps:spPr>
                          <a:xfrm>
                            <a:off x="1009142" y="505904"/>
                            <a:ext cx="266642" cy="169502"/>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8"/>
                                </w:rPr>
                                <w:t xml:space="preserve">i := </w:t>
                              </w:r>
                            </w:p>
                          </w:txbxContent>
                        </wps:txbx>
                        <wps:bodyPr horzOverflow="overflow" vert="horz" lIns="0" tIns="0" rIns="0" bIns="0" rtlCol="0">
                          <a:noAutofit/>
                        </wps:bodyPr>
                      </wps:wsp>
                      <wps:wsp>
                        <wps:cNvPr id="17428" name="Rectangle 17428"/>
                        <wps:cNvSpPr/>
                        <wps:spPr>
                          <a:xfrm>
                            <a:off x="1210310" y="505904"/>
                            <a:ext cx="77049" cy="16950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18"/>
                                </w:rPr>
                                <w:t>1</w:t>
                              </w:r>
                            </w:p>
                          </w:txbxContent>
                        </wps:txbx>
                        <wps:bodyPr horzOverflow="overflow" vert="horz" lIns="0" tIns="0" rIns="0" bIns="0" rtlCol="0">
                          <a:noAutofit/>
                        </wps:bodyPr>
                      </wps:wsp>
                      <wps:wsp>
                        <wps:cNvPr id="17429" name="Rectangle 17429"/>
                        <wps:cNvSpPr/>
                        <wps:spPr>
                          <a:xfrm>
                            <a:off x="1272794" y="505904"/>
                            <a:ext cx="42236" cy="169502"/>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8"/>
                                </w:rPr>
                                <w:t xml:space="preserve"> </w:t>
                              </w:r>
                            </w:p>
                          </w:txbxContent>
                        </wps:txbx>
                        <wps:bodyPr horzOverflow="overflow" vert="horz" lIns="0" tIns="0" rIns="0" bIns="0" rtlCol="0">
                          <a:noAutofit/>
                        </wps:bodyPr>
                      </wps:wsp>
                      <wps:wsp>
                        <wps:cNvPr id="17431" name="Shape 17431"/>
                        <wps:cNvSpPr/>
                        <wps:spPr>
                          <a:xfrm>
                            <a:off x="638810" y="2546350"/>
                            <a:ext cx="1039495" cy="222250"/>
                          </a:xfrm>
                          <a:custGeom>
                            <a:avLst/>
                            <a:gdLst/>
                            <a:ahLst/>
                            <a:cxnLst/>
                            <a:rect l="0" t="0" r="0" b="0"/>
                            <a:pathLst>
                              <a:path w="1039495" h="222250">
                                <a:moveTo>
                                  <a:pt x="0" y="222250"/>
                                </a:moveTo>
                                <a:lnTo>
                                  <a:pt x="1039495" y="222250"/>
                                </a:lnTo>
                                <a:lnTo>
                                  <a:pt x="103949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32" name="Rectangle 17432"/>
                        <wps:cNvSpPr/>
                        <wps:spPr>
                          <a:xfrm>
                            <a:off x="1099058" y="2622013"/>
                            <a:ext cx="161849" cy="142889"/>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8"/>
                                </w:rPr>
                                <w:t>Фi</w:t>
                              </w:r>
                            </w:p>
                          </w:txbxContent>
                        </wps:txbx>
                        <wps:bodyPr horzOverflow="overflow" vert="horz" lIns="0" tIns="0" rIns="0" bIns="0" rtlCol="0">
                          <a:noAutofit/>
                        </wps:bodyPr>
                      </wps:wsp>
                      <wps:wsp>
                        <wps:cNvPr id="17433" name="Rectangle 17433"/>
                        <wps:cNvSpPr/>
                        <wps:spPr>
                          <a:xfrm>
                            <a:off x="1219454" y="2601786"/>
                            <a:ext cx="42236" cy="16950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8"/>
                                </w:rPr>
                                <w:t xml:space="preserve"> </w:t>
                              </w:r>
                            </w:p>
                          </w:txbxContent>
                        </wps:txbx>
                        <wps:bodyPr horzOverflow="overflow" vert="horz" lIns="0" tIns="0" rIns="0" bIns="0" rtlCol="0">
                          <a:noAutofit/>
                        </wps:bodyPr>
                      </wps:wsp>
                      <wps:wsp>
                        <wps:cNvPr id="17435" name="Shape 17435"/>
                        <wps:cNvSpPr/>
                        <wps:spPr>
                          <a:xfrm>
                            <a:off x="638810" y="857885"/>
                            <a:ext cx="988060" cy="238125"/>
                          </a:xfrm>
                          <a:custGeom>
                            <a:avLst/>
                            <a:gdLst/>
                            <a:ahLst/>
                            <a:cxnLst/>
                            <a:rect l="0" t="0" r="0" b="0"/>
                            <a:pathLst>
                              <a:path w="988060" h="238125">
                                <a:moveTo>
                                  <a:pt x="0" y="238125"/>
                                </a:moveTo>
                                <a:lnTo>
                                  <a:pt x="988060" y="238125"/>
                                </a:lnTo>
                                <a:lnTo>
                                  <a:pt x="98806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36" name="Rectangle 17436"/>
                        <wps:cNvSpPr/>
                        <wps:spPr>
                          <a:xfrm>
                            <a:off x="1067054" y="934832"/>
                            <a:ext cx="178518" cy="158130"/>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Оi</w:t>
                              </w:r>
                            </w:p>
                          </w:txbxContent>
                        </wps:txbx>
                        <wps:bodyPr horzOverflow="overflow" vert="horz" lIns="0" tIns="0" rIns="0" bIns="0" rtlCol="0">
                          <a:noAutofit/>
                        </wps:bodyPr>
                      </wps:wsp>
                      <wps:wsp>
                        <wps:cNvPr id="17437" name="Rectangle 17437"/>
                        <wps:cNvSpPr/>
                        <wps:spPr>
                          <a:xfrm>
                            <a:off x="1201166" y="912447"/>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17439" name="Shape 17439"/>
                        <wps:cNvSpPr/>
                        <wps:spPr>
                          <a:xfrm>
                            <a:off x="76835" y="1214120"/>
                            <a:ext cx="2112010" cy="615315"/>
                          </a:xfrm>
                          <a:custGeom>
                            <a:avLst/>
                            <a:gdLst/>
                            <a:ahLst/>
                            <a:cxnLst/>
                            <a:rect l="0" t="0" r="0" b="0"/>
                            <a:pathLst>
                              <a:path w="2112010" h="615315">
                                <a:moveTo>
                                  <a:pt x="1056005" y="0"/>
                                </a:moveTo>
                                <a:lnTo>
                                  <a:pt x="0" y="307721"/>
                                </a:lnTo>
                                <a:lnTo>
                                  <a:pt x="1056005" y="615315"/>
                                </a:lnTo>
                                <a:lnTo>
                                  <a:pt x="2112010" y="307721"/>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40" name="Rectangle 17440"/>
                        <wps:cNvSpPr/>
                        <wps:spPr>
                          <a:xfrm>
                            <a:off x="608330" y="1528142"/>
                            <a:ext cx="932019"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D(Xi, X) = 1 </w:t>
                              </w:r>
                            </w:p>
                          </w:txbxContent>
                        </wps:txbx>
                        <wps:bodyPr horzOverflow="overflow" vert="horz" lIns="0" tIns="0" rIns="0" bIns="0" rtlCol="0">
                          <a:noAutofit/>
                        </wps:bodyPr>
                      </wps:wsp>
                      <wps:wsp>
                        <wps:cNvPr id="17441" name="Rectangle 17441"/>
                        <wps:cNvSpPr/>
                        <wps:spPr>
                          <a:xfrm>
                            <a:off x="1310894" y="1528142"/>
                            <a:ext cx="46741" cy="18758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20"/>
                                </w:rPr>
                                <w:t xml:space="preserve"> </w:t>
                              </w:r>
                            </w:p>
                          </w:txbxContent>
                        </wps:txbx>
                        <wps:bodyPr horzOverflow="overflow" vert="horz" lIns="0" tIns="0" rIns="0" bIns="0" rtlCol="0">
                          <a:noAutofit/>
                        </wps:bodyPr>
                      </wps:wsp>
                      <wps:wsp>
                        <wps:cNvPr id="17443" name="Shape 17443"/>
                        <wps:cNvSpPr/>
                        <wps:spPr>
                          <a:xfrm>
                            <a:off x="638810" y="2975610"/>
                            <a:ext cx="1025525" cy="205740"/>
                          </a:xfrm>
                          <a:custGeom>
                            <a:avLst/>
                            <a:gdLst/>
                            <a:ahLst/>
                            <a:cxnLst/>
                            <a:rect l="0" t="0" r="0" b="0"/>
                            <a:pathLst>
                              <a:path w="1025525" h="205740">
                                <a:moveTo>
                                  <a:pt x="0" y="205740"/>
                                </a:moveTo>
                                <a:lnTo>
                                  <a:pt x="1025525" y="205740"/>
                                </a:lnTo>
                                <a:lnTo>
                                  <a:pt x="1025525"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44" name="Rectangle 17444"/>
                        <wps:cNvSpPr/>
                        <wps:spPr>
                          <a:xfrm>
                            <a:off x="992378" y="3030395"/>
                            <a:ext cx="353610" cy="15142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 xml:space="preserve">i:=i + </w:t>
                              </w:r>
                            </w:p>
                          </w:txbxContent>
                        </wps:txbx>
                        <wps:bodyPr horzOverflow="overflow" vert="horz" lIns="0" tIns="0" rIns="0" bIns="0" rtlCol="0">
                          <a:noAutofit/>
                        </wps:bodyPr>
                      </wps:wsp>
                      <wps:wsp>
                        <wps:cNvPr id="17445" name="Rectangle 17445"/>
                        <wps:cNvSpPr/>
                        <wps:spPr>
                          <a:xfrm>
                            <a:off x="1259078" y="3030395"/>
                            <a:ext cx="68830" cy="15142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16"/>
                                </w:rPr>
                                <w:t>1</w:t>
                              </w:r>
                            </w:p>
                          </w:txbxContent>
                        </wps:txbx>
                        <wps:bodyPr horzOverflow="overflow" vert="horz" lIns="0" tIns="0" rIns="0" bIns="0" rtlCol="0">
                          <a:noAutofit/>
                        </wps:bodyPr>
                      </wps:wsp>
                      <wps:wsp>
                        <wps:cNvPr id="17446" name="Rectangle 17446"/>
                        <wps:cNvSpPr/>
                        <wps:spPr>
                          <a:xfrm>
                            <a:off x="1313942" y="3030395"/>
                            <a:ext cx="37731" cy="15142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 xml:space="preserve"> </w:t>
                              </w:r>
                            </w:p>
                          </w:txbxContent>
                        </wps:txbx>
                        <wps:bodyPr horzOverflow="overflow" vert="horz" lIns="0" tIns="0" rIns="0" bIns="0" rtlCol="0">
                          <a:noAutofit/>
                        </wps:bodyPr>
                      </wps:wsp>
                      <wps:wsp>
                        <wps:cNvPr id="17447" name="Shape 17447"/>
                        <wps:cNvSpPr/>
                        <wps:spPr>
                          <a:xfrm>
                            <a:off x="1136650" y="1833880"/>
                            <a:ext cx="0" cy="229870"/>
                          </a:xfrm>
                          <a:custGeom>
                            <a:avLst/>
                            <a:gdLst/>
                            <a:ahLst/>
                            <a:cxnLst/>
                            <a:rect l="0" t="0" r="0" b="0"/>
                            <a:pathLst>
                              <a:path h="229870">
                                <a:moveTo>
                                  <a:pt x="0" y="0"/>
                                </a:moveTo>
                                <a:lnTo>
                                  <a:pt x="0" y="22987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48" name="Shape 17448"/>
                        <wps:cNvSpPr/>
                        <wps:spPr>
                          <a:xfrm>
                            <a:off x="1110615" y="669925"/>
                            <a:ext cx="0" cy="187960"/>
                          </a:xfrm>
                          <a:custGeom>
                            <a:avLst/>
                            <a:gdLst/>
                            <a:ahLst/>
                            <a:cxnLst/>
                            <a:rect l="0" t="0" r="0" b="0"/>
                            <a:pathLst>
                              <a:path h="187960">
                                <a:moveTo>
                                  <a:pt x="0" y="0"/>
                                </a:moveTo>
                                <a:lnTo>
                                  <a:pt x="0" y="18796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49" name="Shape 17449"/>
                        <wps:cNvSpPr/>
                        <wps:spPr>
                          <a:xfrm>
                            <a:off x="1146175" y="3176905"/>
                            <a:ext cx="0" cy="173990"/>
                          </a:xfrm>
                          <a:custGeom>
                            <a:avLst/>
                            <a:gdLst/>
                            <a:ahLst/>
                            <a:cxnLst/>
                            <a:rect l="0" t="0" r="0" b="0"/>
                            <a:pathLst>
                              <a:path h="173990">
                                <a:moveTo>
                                  <a:pt x="0" y="0"/>
                                </a:moveTo>
                                <a:lnTo>
                                  <a:pt x="0" y="17399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0" name="Shape 17450"/>
                        <wps:cNvSpPr/>
                        <wps:spPr>
                          <a:xfrm>
                            <a:off x="0" y="3350260"/>
                            <a:ext cx="1144905" cy="0"/>
                          </a:xfrm>
                          <a:custGeom>
                            <a:avLst/>
                            <a:gdLst/>
                            <a:ahLst/>
                            <a:cxnLst/>
                            <a:rect l="0" t="0" r="0" b="0"/>
                            <a:pathLst>
                              <a:path w="1144905">
                                <a:moveTo>
                                  <a:pt x="1144905" y="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1" name="Shape 17451"/>
                        <wps:cNvSpPr/>
                        <wps:spPr>
                          <a:xfrm>
                            <a:off x="12065" y="750570"/>
                            <a:ext cx="0" cy="2599690"/>
                          </a:xfrm>
                          <a:custGeom>
                            <a:avLst/>
                            <a:gdLst/>
                            <a:ahLst/>
                            <a:cxnLst/>
                            <a:rect l="0" t="0" r="0" b="0"/>
                            <a:pathLst>
                              <a:path h="2599690">
                                <a:moveTo>
                                  <a:pt x="0" y="259969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2" name="Shape 17452"/>
                        <wps:cNvSpPr/>
                        <wps:spPr>
                          <a:xfrm>
                            <a:off x="17780" y="712470"/>
                            <a:ext cx="1099820" cy="76200"/>
                          </a:xfrm>
                          <a:custGeom>
                            <a:avLst/>
                            <a:gdLst/>
                            <a:ahLst/>
                            <a:cxnLst/>
                            <a:rect l="0" t="0" r="0" b="0"/>
                            <a:pathLst>
                              <a:path w="1099820" h="76200">
                                <a:moveTo>
                                  <a:pt x="1023620" y="0"/>
                                </a:moveTo>
                                <a:lnTo>
                                  <a:pt x="1099820" y="38100"/>
                                </a:lnTo>
                                <a:lnTo>
                                  <a:pt x="1023620" y="76200"/>
                                </a:lnTo>
                                <a:lnTo>
                                  <a:pt x="1023620" y="44450"/>
                                </a:lnTo>
                                <a:lnTo>
                                  <a:pt x="0" y="44450"/>
                                </a:lnTo>
                                <a:lnTo>
                                  <a:pt x="0" y="31750"/>
                                </a:lnTo>
                                <a:lnTo>
                                  <a:pt x="1023620" y="31750"/>
                                </a:lnTo>
                                <a:lnTo>
                                  <a:pt x="102362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7453" name="Shape 17453"/>
                        <wps:cNvSpPr/>
                        <wps:spPr>
                          <a:xfrm>
                            <a:off x="2182495" y="1528445"/>
                            <a:ext cx="329565" cy="0"/>
                          </a:xfrm>
                          <a:custGeom>
                            <a:avLst/>
                            <a:gdLst/>
                            <a:ahLst/>
                            <a:cxnLst/>
                            <a:rect l="0" t="0" r="0" b="0"/>
                            <a:pathLst>
                              <a:path w="329565">
                                <a:moveTo>
                                  <a:pt x="0" y="0"/>
                                </a:moveTo>
                                <a:lnTo>
                                  <a:pt x="329565"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4" name="Shape 17454"/>
                        <wps:cNvSpPr/>
                        <wps:spPr>
                          <a:xfrm>
                            <a:off x="2513965" y="1528445"/>
                            <a:ext cx="0" cy="2042160"/>
                          </a:xfrm>
                          <a:custGeom>
                            <a:avLst/>
                            <a:gdLst/>
                            <a:ahLst/>
                            <a:cxnLst/>
                            <a:rect l="0" t="0" r="0" b="0"/>
                            <a:pathLst>
                              <a:path h="2042160">
                                <a:moveTo>
                                  <a:pt x="0" y="0"/>
                                </a:moveTo>
                                <a:lnTo>
                                  <a:pt x="0" y="204216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5" name="Shape 17455"/>
                        <wps:cNvSpPr/>
                        <wps:spPr>
                          <a:xfrm>
                            <a:off x="1120140" y="3577590"/>
                            <a:ext cx="1395730" cy="0"/>
                          </a:xfrm>
                          <a:custGeom>
                            <a:avLst/>
                            <a:gdLst/>
                            <a:ahLst/>
                            <a:cxnLst/>
                            <a:rect l="0" t="0" r="0" b="0"/>
                            <a:pathLst>
                              <a:path w="1395730">
                                <a:moveTo>
                                  <a:pt x="1395730" y="0"/>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6" name="Shape 17456"/>
                        <wps:cNvSpPr/>
                        <wps:spPr>
                          <a:xfrm>
                            <a:off x="1146175" y="3176905"/>
                            <a:ext cx="0" cy="173990"/>
                          </a:xfrm>
                          <a:custGeom>
                            <a:avLst/>
                            <a:gdLst/>
                            <a:ahLst/>
                            <a:cxnLst/>
                            <a:rect l="0" t="0" r="0" b="0"/>
                            <a:pathLst>
                              <a:path h="173990">
                                <a:moveTo>
                                  <a:pt x="0" y="0"/>
                                </a:moveTo>
                                <a:lnTo>
                                  <a:pt x="0" y="17399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7" name="Shape 17457"/>
                        <wps:cNvSpPr/>
                        <wps:spPr>
                          <a:xfrm>
                            <a:off x="1121410" y="3577590"/>
                            <a:ext cx="0" cy="175260"/>
                          </a:xfrm>
                          <a:custGeom>
                            <a:avLst/>
                            <a:gdLst/>
                            <a:ahLst/>
                            <a:cxnLst/>
                            <a:rect l="0" t="0" r="0" b="0"/>
                            <a:pathLst>
                              <a:path h="175260">
                                <a:moveTo>
                                  <a:pt x="0" y="0"/>
                                </a:moveTo>
                                <a:lnTo>
                                  <a:pt x="0" y="17526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58" name="Shape 17458"/>
                        <wps:cNvSpPr/>
                        <wps:spPr>
                          <a:xfrm>
                            <a:off x="638810" y="3752850"/>
                            <a:ext cx="970280" cy="219710"/>
                          </a:xfrm>
                          <a:custGeom>
                            <a:avLst/>
                            <a:gdLst/>
                            <a:ahLst/>
                            <a:cxnLst/>
                            <a:rect l="0" t="0" r="0" b="0"/>
                            <a:pathLst>
                              <a:path w="970280" h="219710">
                                <a:moveTo>
                                  <a:pt x="36576" y="0"/>
                                </a:moveTo>
                                <a:lnTo>
                                  <a:pt x="933704" y="0"/>
                                </a:lnTo>
                                <a:cubicBezTo>
                                  <a:pt x="953897" y="0"/>
                                  <a:pt x="970280" y="16383"/>
                                  <a:pt x="970280" y="36576"/>
                                </a:cubicBezTo>
                                <a:lnTo>
                                  <a:pt x="970280" y="183134"/>
                                </a:lnTo>
                                <a:cubicBezTo>
                                  <a:pt x="970280" y="203327"/>
                                  <a:pt x="953897" y="219710"/>
                                  <a:pt x="933704" y="219710"/>
                                </a:cubicBezTo>
                                <a:lnTo>
                                  <a:pt x="36576" y="219710"/>
                                </a:lnTo>
                                <a:cubicBezTo>
                                  <a:pt x="16383" y="219710"/>
                                  <a:pt x="0" y="203327"/>
                                  <a:pt x="0" y="183134"/>
                                </a:cubicBezTo>
                                <a:lnTo>
                                  <a:pt x="0" y="36576"/>
                                </a:lnTo>
                                <a:cubicBezTo>
                                  <a:pt x="0" y="16383"/>
                                  <a:pt x="16383" y="0"/>
                                  <a:pt x="36576" y="0"/>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17459" name="Shape 17459"/>
                        <wps:cNvSpPr/>
                        <wps:spPr>
                          <a:xfrm>
                            <a:off x="638810" y="3752850"/>
                            <a:ext cx="970280" cy="219710"/>
                          </a:xfrm>
                          <a:custGeom>
                            <a:avLst/>
                            <a:gdLst/>
                            <a:ahLst/>
                            <a:cxnLst/>
                            <a:rect l="0" t="0" r="0" b="0"/>
                            <a:pathLst>
                              <a:path w="970280" h="219710">
                                <a:moveTo>
                                  <a:pt x="36576" y="0"/>
                                </a:moveTo>
                                <a:cubicBezTo>
                                  <a:pt x="16383" y="0"/>
                                  <a:pt x="0" y="16383"/>
                                  <a:pt x="0" y="36576"/>
                                </a:cubicBezTo>
                                <a:lnTo>
                                  <a:pt x="0" y="183134"/>
                                </a:lnTo>
                                <a:cubicBezTo>
                                  <a:pt x="0" y="203327"/>
                                  <a:pt x="16383" y="219710"/>
                                  <a:pt x="36576" y="219710"/>
                                </a:cubicBezTo>
                                <a:lnTo>
                                  <a:pt x="933704" y="219710"/>
                                </a:lnTo>
                                <a:cubicBezTo>
                                  <a:pt x="953897" y="219710"/>
                                  <a:pt x="970280" y="203327"/>
                                  <a:pt x="970280" y="183134"/>
                                </a:cubicBezTo>
                                <a:lnTo>
                                  <a:pt x="970280" y="36576"/>
                                </a:lnTo>
                                <a:cubicBezTo>
                                  <a:pt x="970280" y="16383"/>
                                  <a:pt x="953897" y="0"/>
                                  <a:pt x="933704"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7460" name="Rectangle 17460"/>
                        <wps:cNvSpPr/>
                        <wps:spPr>
                          <a:xfrm>
                            <a:off x="969518" y="3831802"/>
                            <a:ext cx="409991" cy="127647"/>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Конец</w:t>
                              </w:r>
                            </w:p>
                          </w:txbxContent>
                        </wps:txbx>
                        <wps:bodyPr horzOverflow="overflow" vert="horz" lIns="0" tIns="0" rIns="0" bIns="0" rtlCol="0">
                          <a:noAutofit/>
                        </wps:bodyPr>
                      </wps:wsp>
                      <wps:wsp>
                        <wps:cNvPr id="17461" name="Rectangle 17461"/>
                        <wps:cNvSpPr/>
                        <wps:spPr>
                          <a:xfrm>
                            <a:off x="1277366" y="3813731"/>
                            <a:ext cx="37731" cy="151421"/>
                          </a:xfrm>
                          <a:prstGeom prst="rect">
                            <a:avLst/>
                          </a:prstGeom>
                          <a:ln>
                            <a:noFill/>
                          </a:ln>
                        </wps:spPr>
                        <wps:txbx>
                          <w:txbxContent>
                            <w:p w:rsidR="002C0F56" w:rsidRDefault="00E67C6E">
                              <w:pPr>
                                <w:spacing w:after="160" w:line="259" w:lineRule="auto"/>
                                <w:ind w:left="0" w:firstLine="0"/>
                                <w:jc w:val="left"/>
                              </w:pPr>
                              <w:r>
                                <w:rPr>
                                  <w:rFonts w:ascii="Arial" w:eastAsia="Arial" w:hAnsi="Arial" w:cs="Arial"/>
                                  <w:b/>
                                  <w:i/>
                                  <w:sz w:val="16"/>
                                </w:rPr>
                                <w:t xml:space="preserve"> </w:t>
                              </w:r>
                            </w:p>
                          </w:txbxContent>
                        </wps:txbx>
                        <wps:bodyPr horzOverflow="overflow" vert="horz" lIns="0" tIns="0" rIns="0" bIns="0" rtlCol="0">
                          <a:noAutofit/>
                        </wps:bodyPr>
                      </wps:wsp>
                      <wps:wsp>
                        <wps:cNvPr id="17462" name="Shape 17462"/>
                        <wps:cNvSpPr/>
                        <wps:spPr>
                          <a:xfrm>
                            <a:off x="1131570" y="1092835"/>
                            <a:ext cx="0" cy="125730"/>
                          </a:xfrm>
                          <a:custGeom>
                            <a:avLst/>
                            <a:gdLst/>
                            <a:ahLst/>
                            <a:cxnLst/>
                            <a:rect l="0" t="0" r="0" b="0"/>
                            <a:pathLst>
                              <a:path h="125730">
                                <a:moveTo>
                                  <a:pt x="0" y="0"/>
                                </a:moveTo>
                                <a:lnTo>
                                  <a:pt x="0" y="12573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63" name="Shape 17463"/>
                        <wps:cNvSpPr/>
                        <wps:spPr>
                          <a:xfrm>
                            <a:off x="1144905" y="2787650"/>
                            <a:ext cx="0" cy="174625"/>
                          </a:xfrm>
                          <a:custGeom>
                            <a:avLst/>
                            <a:gdLst/>
                            <a:ahLst/>
                            <a:cxnLst/>
                            <a:rect l="0" t="0" r="0" b="0"/>
                            <a:pathLst>
                              <a:path h="174625">
                                <a:moveTo>
                                  <a:pt x="0" y="0"/>
                                </a:moveTo>
                                <a:lnTo>
                                  <a:pt x="0" y="174625"/>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464" name="Shape 17464"/>
                        <wps:cNvSpPr/>
                        <wps:spPr>
                          <a:xfrm>
                            <a:off x="1144905" y="2305685"/>
                            <a:ext cx="0" cy="226060"/>
                          </a:xfrm>
                          <a:custGeom>
                            <a:avLst/>
                            <a:gdLst/>
                            <a:ahLst/>
                            <a:cxnLst/>
                            <a:rect l="0" t="0" r="0" b="0"/>
                            <a:pathLst>
                              <a:path h="226060">
                                <a:moveTo>
                                  <a:pt x="0" y="0"/>
                                </a:moveTo>
                                <a:lnTo>
                                  <a:pt x="0" y="226060"/>
                                </a:lnTo>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67214" style="width:198.1pt;height:312.8pt;mso-position-horizontal-relative:char;mso-position-vertical-relative:line" coordsize="25158,39725">
                <v:shape id="Shape 17416" style="position:absolute;width:6;height:2228;left:11315;top:2266;" coordsize="635,222885" path="m0,0l635,222885">
                  <v:stroke weight="0.75pt" endcap="flat" joinstyle="round" on="true" color="#000000"/>
                  <v:fill on="false" color="#000000" opacity="0"/>
                </v:shape>
                <v:shape id="Shape 17418" style="position:absolute;width:10394;height:2273;left:6051;top:20637;" coordsize="1039495,227330" path="m0,227330l1039495,227330l1039495,0l0,0x">
                  <v:stroke weight="0.75pt" endcap="round" joinstyle="miter" miterlimit="8" on="true" color="#000000"/>
                  <v:fill on="false" color="#000000" opacity="0"/>
                </v:shape>
                <v:rect id="Rectangle 17419" style="position:absolute;width:1350;height:1276;left:10746;top:21371;" filled="f" stroked="f">
                  <v:textbox inset="0,0,0,0">
                    <w:txbxContent>
                      <w:p>
                        <w:pPr>
                          <w:spacing w:before="0" w:after="160" w:line="259" w:lineRule="auto"/>
                          <w:ind w:left="0" w:firstLine="0"/>
                          <w:jc w:val="left"/>
                        </w:pPr>
                        <w:r>
                          <w:rPr>
                            <w:rFonts w:cs="Arial" w:hAnsi="Arial" w:eastAsia="Arial" w:ascii="Arial"/>
                            <w:b w:val="1"/>
                            <w:i w:val="1"/>
                            <w:sz w:val="16"/>
                          </w:rPr>
                          <w:t xml:space="preserve">Вi</w:t>
                        </w:r>
                      </w:p>
                    </w:txbxContent>
                  </v:textbox>
                </v:rect>
                <v:rect id="Rectangle 17420" style="position:absolute;width:377;height:1514;left:11767;top:21190;" filled="f" stroked="f">
                  <v:textbox inset="0,0,0,0">
                    <w:txbxContent>
                      <w:p>
                        <w:pPr>
                          <w:spacing w:before="0" w:after="160" w:line="259" w:lineRule="auto"/>
                          <w:ind w:left="0" w:firstLine="0"/>
                          <w:jc w:val="left"/>
                        </w:pPr>
                        <w:r>
                          <w:rPr>
                            <w:rFonts w:cs="Arial" w:hAnsi="Arial" w:eastAsia="Arial" w:ascii="Arial"/>
                            <w:b w:val="1"/>
                            <w:i w:val="1"/>
                            <w:sz w:val="16"/>
                          </w:rPr>
                          <w:t xml:space="preserve"> </w:t>
                        </w:r>
                      </w:p>
                    </w:txbxContent>
                  </v:textbox>
                </v:rect>
                <v:shape id="Shape 17422" style="position:absolute;width:9702;height:2209;left:6267;top:0;" coordsize="970280,220980" path="m36830,0c16510,0,0,16510,0,36830l0,184150c0,204470,16510,220980,36830,220980l933450,220980c953770,220980,970280,204470,970280,184150l970280,36830c970280,16510,953770,0,933450,0x">
                  <v:stroke weight="0.75pt" endcap="round" joinstyle="round" on="true" color="#000000"/>
                  <v:fill on="false" color="#000000" opacity="0"/>
                </v:shape>
                <v:rect id="Rectangle 17423" style="position:absolute;width:4941;height:1276;left:9283;top:778;" filled="f" stroked="f">
                  <v:textbox inset="0,0,0,0">
                    <w:txbxContent>
                      <w:p>
                        <w:pPr>
                          <w:spacing w:before="0" w:after="160" w:line="259" w:lineRule="auto"/>
                          <w:ind w:left="0" w:firstLine="0"/>
                          <w:jc w:val="left"/>
                        </w:pPr>
                        <w:r>
                          <w:rPr>
                            <w:rFonts w:cs="Arial" w:hAnsi="Arial" w:eastAsia="Arial" w:ascii="Arial"/>
                            <w:b w:val="1"/>
                            <w:i w:val="1"/>
                            <w:sz w:val="16"/>
                          </w:rPr>
                          <w:t xml:space="preserve">Начало</w:t>
                        </w:r>
                      </w:p>
                    </w:txbxContent>
                  </v:textbox>
                </v:rect>
                <v:rect id="Rectangle 17424" style="position:absolute;width:377;height:1514;left:12987;top:597;" filled="f" stroked="f">
                  <v:textbox inset="0,0,0,0">
                    <w:txbxContent>
                      <w:p>
                        <w:pPr>
                          <w:spacing w:before="0" w:after="160" w:line="259" w:lineRule="auto"/>
                          <w:ind w:left="0" w:firstLine="0"/>
                          <w:jc w:val="left"/>
                        </w:pPr>
                        <w:r>
                          <w:rPr>
                            <w:rFonts w:cs="Arial" w:hAnsi="Arial" w:eastAsia="Arial" w:ascii="Arial"/>
                            <w:b w:val="1"/>
                            <w:i w:val="1"/>
                            <w:sz w:val="16"/>
                          </w:rPr>
                          <w:t xml:space="preserve"> </w:t>
                        </w:r>
                      </w:p>
                    </w:txbxContent>
                  </v:textbox>
                </v:rect>
                <v:shape id="Shape 17426" style="position:absolute;width:9004;height:2203;left:6896;top:4521;" coordsize="900430,220345" path="m0,220345l900430,220345l900430,0l0,0x">
                  <v:stroke weight="0.75pt" endcap="round" joinstyle="miter" miterlimit="8" on="true" color="#000000"/>
                  <v:fill on="false" color="#000000" opacity="0"/>
                </v:shape>
                <v:rect id="Rectangle 17427" style="position:absolute;width:2666;height:1695;left:10091;top:5059;" filled="f" stroked="f">
                  <v:textbox inset="0,0,0,0">
                    <w:txbxContent>
                      <w:p>
                        <w:pPr>
                          <w:spacing w:before="0" w:after="160" w:line="259" w:lineRule="auto"/>
                          <w:ind w:left="0" w:firstLine="0"/>
                          <w:jc w:val="left"/>
                        </w:pPr>
                        <w:r>
                          <w:rPr>
                            <w:rFonts w:cs="Arial" w:hAnsi="Arial" w:eastAsia="Arial" w:ascii="Arial"/>
                            <w:b w:val="1"/>
                            <w:i w:val="1"/>
                            <w:sz w:val="18"/>
                          </w:rPr>
                          <w:t xml:space="preserve">i := </w:t>
                        </w:r>
                      </w:p>
                    </w:txbxContent>
                  </v:textbox>
                </v:rect>
                <v:rect id="Rectangle 17428" style="position:absolute;width:770;height:1695;left:12103;top:5059;" filled="f" stroked="f">
                  <v:textbox inset="0,0,0,0">
                    <w:txbxContent>
                      <w:p>
                        <w:pPr>
                          <w:spacing w:before="0" w:after="160" w:line="259" w:lineRule="auto"/>
                          <w:ind w:left="0" w:firstLine="0"/>
                          <w:jc w:val="left"/>
                        </w:pPr>
                        <w:r>
                          <w:rPr>
                            <w:rFonts w:cs="Calibri" w:hAnsi="Calibri" w:eastAsia="Calibri" w:ascii="Calibri"/>
                            <w:b w:val="1"/>
                            <w:sz w:val="18"/>
                          </w:rPr>
                          <w:t xml:space="preserve">1</w:t>
                        </w:r>
                      </w:p>
                    </w:txbxContent>
                  </v:textbox>
                </v:rect>
                <v:rect id="Rectangle 17429" style="position:absolute;width:422;height:1695;left:12727;top:5059;" filled="f" stroked="f">
                  <v:textbox inset="0,0,0,0">
                    <w:txbxContent>
                      <w:p>
                        <w:pPr>
                          <w:spacing w:before="0" w:after="160" w:line="259" w:lineRule="auto"/>
                          <w:ind w:left="0" w:firstLine="0"/>
                          <w:jc w:val="left"/>
                        </w:pPr>
                        <w:r>
                          <w:rPr>
                            <w:rFonts w:cs="Arial" w:hAnsi="Arial" w:eastAsia="Arial" w:ascii="Arial"/>
                            <w:b w:val="1"/>
                            <w:i w:val="1"/>
                            <w:sz w:val="18"/>
                          </w:rPr>
                          <w:t xml:space="preserve"> </w:t>
                        </w:r>
                      </w:p>
                    </w:txbxContent>
                  </v:textbox>
                </v:rect>
                <v:shape id="Shape 17431" style="position:absolute;width:10394;height:2222;left:6388;top:25463;" coordsize="1039495,222250" path="m0,222250l1039495,222250l1039495,0l0,0x">
                  <v:stroke weight="0.75pt" endcap="round" joinstyle="miter" miterlimit="8" on="true" color="#000000"/>
                  <v:fill on="false" color="#000000" opacity="0"/>
                </v:shape>
                <v:rect id="Rectangle 17432" style="position:absolute;width:1618;height:1428;left:10990;top:26220;" filled="f" stroked="f">
                  <v:textbox inset="0,0,0,0">
                    <w:txbxContent>
                      <w:p>
                        <w:pPr>
                          <w:spacing w:before="0" w:after="160" w:line="259" w:lineRule="auto"/>
                          <w:ind w:left="0" w:firstLine="0"/>
                          <w:jc w:val="left"/>
                        </w:pPr>
                        <w:r>
                          <w:rPr>
                            <w:rFonts w:cs="Arial" w:hAnsi="Arial" w:eastAsia="Arial" w:ascii="Arial"/>
                            <w:b w:val="1"/>
                            <w:i w:val="1"/>
                            <w:sz w:val="18"/>
                          </w:rPr>
                          <w:t xml:space="preserve">Фi</w:t>
                        </w:r>
                      </w:p>
                    </w:txbxContent>
                  </v:textbox>
                </v:rect>
                <v:rect id="Rectangle 17433" style="position:absolute;width:422;height:1695;left:12194;top:26017;" filled="f" stroked="f">
                  <v:textbox inset="0,0,0,0">
                    <w:txbxContent>
                      <w:p>
                        <w:pPr>
                          <w:spacing w:before="0" w:after="160" w:line="259" w:lineRule="auto"/>
                          <w:ind w:left="0" w:firstLine="0"/>
                          <w:jc w:val="left"/>
                        </w:pPr>
                        <w:r>
                          <w:rPr>
                            <w:rFonts w:cs="Arial" w:hAnsi="Arial" w:eastAsia="Arial" w:ascii="Arial"/>
                            <w:b w:val="1"/>
                            <w:i w:val="1"/>
                            <w:sz w:val="18"/>
                          </w:rPr>
                          <w:t xml:space="preserve"> </w:t>
                        </w:r>
                      </w:p>
                    </w:txbxContent>
                  </v:textbox>
                </v:rect>
                <v:shape id="Shape 17435" style="position:absolute;width:9880;height:2381;left:6388;top:8578;" coordsize="988060,238125" path="m0,238125l988060,238125l988060,0l0,0x">
                  <v:stroke weight="0.75pt" endcap="round" joinstyle="miter" miterlimit="8" on="true" color="#000000"/>
                  <v:fill on="false" color="#000000" opacity="0"/>
                </v:shape>
                <v:rect id="Rectangle 17436" style="position:absolute;width:1785;height:1581;left:10670;top:9348;" filled="f" stroked="f">
                  <v:textbox inset="0,0,0,0">
                    <w:txbxContent>
                      <w:p>
                        <w:pPr>
                          <w:spacing w:before="0" w:after="160" w:line="259" w:lineRule="auto"/>
                          <w:ind w:left="0" w:firstLine="0"/>
                          <w:jc w:val="left"/>
                        </w:pPr>
                        <w:r>
                          <w:rPr>
                            <w:rFonts w:cs="Arial" w:hAnsi="Arial" w:eastAsia="Arial" w:ascii="Arial"/>
                            <w:b w:val="1"/>
                            <w:i w:val="1"/>
                            <w:sz w:val="20"/>
                          </w:rPr>
                          <w:t xml:space="preserve">Оi</w:t>
                        </w:r>
                      </w:p>
                    </w:txbxContent>
                  </v:textbox>
                </v:rect>
                <v:rect id="Rectangle 17437" style="position:absolute;width:467;height:1875;left:12011;top:9124;"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shape id="Shape 17439" style="position:absolute;width:21120;height:6153;left:768;top:12141;" coordsize="2112010,615315" path="m1056005,0l0,307721l1056005,615315l2112010,307721x">
                  <v:stroke weight="0.75pt" endcap="round" joinstyle="miter" miterlimit="8" on="true" color="#000000"/>
                  <v:fill on="false" color="#000000" opacity="0"/>
                </v:shape>
                <v:rect id="Rectangle 17440" style="position:absolute;width:9320;height:1875;left:6083;top:15281;" filled="f" stroked="f">
                  <v:textbox inset="0,0,0,0">
                    <w:txbxContent>
                      <w:p>
                        <w:pPr>
                          <w:spacing w:before="0" w:after="160" w:line="259" w:lineRule="auto"/>
                          <w:ind w:left="0" w:firstLine="0"/>
                          <w:jc w:val="left"/>
                        </w:pPr>
                        <w:r>
                          <w:rPr>
                            <w:rFonts w:cs="Arial" w:hAnsi="Arial" w:eastAsia="Arial" w:ascii="Arial"/>
                            <w:b w:val="1"/>
                            <w:i w:val="1"/>
                            <w:sz w:val="20"/>
                          </w:rPr>
                          <w:t xml:space="preserve">D(Xi, X) = 1 </w:t>
                        </w:r>
                      </w:p>
                    </w:txbxContent>
                  </v:textbox>
                </v:rect>
                <v:rect id="Rectangle 17441" style="position:absolute;width:467;height:1875;left:13108;top:15281;" filled="f" stroked="f">
                  <v:textbox inset="0,0,0,0">
                    <w:txbxContent>
                      <w:p>
                        <w:pPr>
                          <w:spacing w:before="0" w:after="160" w:line="259" w:lineRule="auto"/>
                          <w:ind w:left="0" w:firstLine="0"/>
                          <w:jc w:val="left"/>
                        </w:pPr>
                        <w:r>
                          <w:rPr>
                            <w:rFonts w:cs="Arial" w:hAnsi="Arial" w:eastAsia="Arial" w:ascii="Arial"/>
                            <w:b w:val="1"/>
                            <w:i w:val="1"/>
                            <w:sz w:val="20"/>
                          </w:rPr>
                          <w:t xml:space="preserve"> </w:t>
                        </w:r>
                      </w:p>
                    </w:txbxContent>
                  </v:textbox>
                </v:rect>
                <v:shape id="Shape 17443" style="position:absolute;width:10255;height:2057;left:6388;top:29756;" coordsize="1025525,205740" path="m0,205740l1025525,205740l1025525,0l0,0x">
                  <v:stroke weight="0.75pt" endcap="round" joinstyle="miter" miterlimit="8" on="true" color="#000000"/>
                  <v:fill on="false" color="#000000" opacity="0"/>
                </v:shape>
                <v:rect id="Rectangle 17444" style="position:absolute;width:3536;height:1514;left:9923;top:30303;" filled="f" stroked="f">
                  <v:textbox inset="0,0,0,0">
                    <w:txbxContent>
                      <w:p>
                        <w:pPr>
                          <w:spacing w:before="0" w:after="160" w:line="259" w:lineRule="auto"/>
                          <w:ind w:left="0" w:firstLine="0"/>
                          <w:jc w:val="left"/>
                        </w:pPr>
                        <w:r>
                          <w:rPr>
                            <w:rFonts w:cs="Arial" w:hAnsi="Arial" w:eastAsia="Arial" w:ascii="Arial"/>
                            <w:b w:val="1"/>
                            <w:i w:val="1"/>
                            <w:sz w:val="16"/>
                          </w:rPr>
                          <w:t xml:space="preserve">i:=i + </w:t>
                        </w:r>
                      </w:p>
                    </w:txbxContent>
                  </v:textbox>
                </v:rect>
                <v:rect id="Rectangle 17445" style="position:absolute;width:688;height:1514;left:12590;top:30303;" filled="f" stroked="f">
                  <v:textbox inset="0,0,0,0">
                    <w:txbxContent>
                      <w:p>
                        <w:pPr>
                          <w:spacing w:before="0" w:after="160" w:line="259" w:lineRule="auto"/>
                          <w:ind w:left="0" w:firstLine="0"/>
                          <w:jc w:val="left"/>
                        </w:pPr>
                        <w:r>
                          <w:rPr>
                            <w:rFonts w:cs="Calibri" w:hAnsi="Calibri" w:eastAsia="Calibri" w:ascii="Calibri"/>
                            <w:b w:val="1"/>
                            <w:sz w:val="16"/>
                          </w:rPr>
                          <w:t xml:space="preserve">1</w:t>
                        </w:r>
                      </w:p>
                    </w:txbxContent>
                  </v:textbox>
                </v:rect>
                <v:rect id="Rectangle 17446" style="position:absolute;width:377;height:1514;left:13139;top:30303;" filled="f" stroked="f">
                  <v:textbox inset="0,0,0,0">
                    <w:txbxContent>
                      <w:p>
                        <w:pPr>
                          <w:spacing w:before="0" w:after="160" w:line="259" w:lineRule="auto"/>
                          <w:ind w:left="0" w:firstLine="0"/>
                          <w:jc w:val="left"/>
                        </w:pPr>
                        <w:r>
                          <w:rPr>
                            <w:rFonts w:cs="Arial" w:hAnsi="Arial" w:eastAsia="Arial" w:ascii="Arial"/>
                            <w:b w:val="1"/>
                            <w:i w:val="1"/>
                            <w:sz w:val="16"/>
                          </w:rPr>
                          <w:t xml:space="preserve"> </w:t>
                        </w:r>
                      </w:p>
                    </w:txbxContent>
                  </v:textbox>
                </v:rect>
                <v:shape id="Shape 17447" style="position:absolute;width:0;height:2298;left:11366;top:18338;" coordsize="0,229870" path="m0,0l0,229870">
                  <v:stroke weight="0.75pt" endcap="flat" joinstyle="round" on="true" color="#000000"/>
                  <v:fill on="false" color="#000000" opacity="0"/>
                </v:shape>
                <v:shape id="Shape 17448" style="position:absolute;width:0;height:1879;left:11106;top:6699;" coordsize="0,187960" path="m0,0l0,187960">
                  <v:stroke weight="0.75pt" endcap="flat" joinstyle="round" on="true" color="#000000"/>
                  <v:fill on="false" color="#000000" opacity="0"/>
                </v:shape>
                <v:shape id="Shape 17449" style="position:absolute;width:0;height:1739;left:11461;top:31769;" coordsize="0,173990" path="m0,0l0,173990">
                  <v:stroke weight="0.75pt" endcap="flat" joinstyle="round" on="true" color="#000000"/>
                  <v:fill on="false" color="#000000" opacity="0"/>
                </v:shape>
                <v:shape id="Shape 17450" style="position:absolute;width:11449;height:0;left:0;top:33502;" coordsize="1144905,0" path="m1144905,0l0,0">
                  <v:stroke weight="0.75pt" endcap="flat" joinstyle="round" on="true" color="#000000"/>
                  <v:fill on="false" color="#000000" opacity="0"/>
                </v:shape>
                <v:shape id="Shape 17451" style="position:absolute;width:0;height:25996;left:120;top:7505;" coordsize="0,2599690" path="m0,2599690l0,0">
                  <v:stroke weight="0.75pt" endcap="flat" joinstyle="round" on="true" color="#000000"/>
                  <v:fill on="false" color="#000000" opacity="0"/>
                </v:shape>
                <v:shape id="Shape 17452" style="position:absolute;width:10998;height:762;left:177;top:7124;" coordsize="1099820,76200" path="m1023620,0l1099820,38100l1023620,76200l1023620,44450l0,44450l0,31750l1023620,31750l1023620,0x">
                  <v:stroke weight="0pt" endcap="flat" joinstyle="round" on="false" color="#000000" opacity="0"/>
                  <v:fill on="true" color="#000000"/>
                </v:shape>
                <v:shape id="Shape 17453" style="position:absolute;width:3295;height:0;left:21824;top:15284;" coordsize="329565,0" path="m0,0l329565,0">
                  <v:stroke weight="0.75pt" endcap="flat" joinstyle="round" on="true" color="#000000"/>
                  <v:fill on="false" color="#000000" opacity="0"/>
                </v:shape>
                <v:shape id="Shape 17454" style="position:absolute;width:0;height:20421;left:25139;top:15284;" coordsize="0,2042160" path="m0,0l0,2042160">
                  <v:stroke weight="0.75pt" endcap="flat" joinstyle="round" on="true" color="#000000"/>
                  <v:fill on="false" color="#000000" opacity="0"/>
                </v:shape>
                <v:shape id="Shape 17455" style="position:absolute;width:13957;height:0;left:11201;top:35775;" coordsize="1395730,0" path="m1395730,0l0,0">
                  <v:stroke weight="0.75pt" endcap="flat" joinstyle="round" on="true" color="#000000"/>
                  <v:fill on="false" color="#000000" opacity="0"/>
                </v:shape>
                <v:shape id="Shape 17456" style="position:absolute;width:0;height:1739;left:11461;top:31769;" coordsize="0,173990" path="m0,0l0,173990">
                  <v:stroke weight="0.75pt" endcap="flat" joinstyle="round" on="true" color="#000000"/>
                  <v:fill on="false" color="#000000" opacity="0"/>
                </v:shape>
                <v:shape id="Shape 17457" style="position:absolute;width:0;height:1752;left:11214;top:35775;" coordsize="0,175260" path="m0,0l0,175260">
                  <v:stroke weight="0.75pt" endcap="flat" joinstyle="round" on="true" color="#000000"/>
                  <v:fill on="false" color="#000000" opacity="0"/>
                </v:shape>
                <v:shape id="Shape 17458" style="position:absolute;width:9702;height:2197;left:6388;top:37528;" coordsize="970280,219710" path="m36576,0l933704,0c953897,0,970280,16383,970280,36576l970280,183134c970280,203327,953897,219710,933704,219710l36576,219710c16383,219710,0,203327,0,183134l0,36576c0,16383,16383,0,36576,0x">
                  <v:stroke weight="0pt" endcap="flat" joinstyle="round" on="false" color="#000000" opacity="0"/>
                  <v:fill on="true" color="#ffffff"/>
                </v:shape>
                <v:shape id="Shape 17459" style="position:absolute;width:9702;height:2197;left:6388;top:37528;" coordsize="970280,219710" path="m36576,0c16383,0,0,16383,0,36576l0,183134c0,203327,16383,219710,36576,219710l933704,219710c953897,219710,970280,203327,970280,183134l970280,36576c970280,16383,953897,0,933704,0x">
                  <v:stroke weight="0.75pt" endcap="round" joinstyle="round" on="true" color="#000000"/>
                  <v:fill on="false" color="#000000" opacity="0"/>
                </v:shape>
                <v:rect id="Rectangle 17460" style="position:absolute;width:4099;height:1276;left:9695;top:38318;" filled="f" stroked="f">
                  <v:textbox inset="0,0,0,0">
                    <w:txbxContent>
                      <w:p>
                        <w:pPr>
                          <w:spacing w:before="0" w:after="160" w:line="259" w:lineRule="auto"/>
                          <w:ind w:left="0" w:firstLine="0"/>
                          <w:jc w:val="left"/>
                        </w:pPr>
                        <w:r>
                          <w:rPr>
                            <w:rFonts w:cs="Arial" w:hAnsi="Arial" w:eastAsia="Arial" w:ascii="Arial"/>
                            <w:b w:val="1"/>
                            <w:i w:val="1"/>
                            <w:sz w:val="16"/>
                          </w:rPr>
                          <w:t xml:space="preserve">Конец</w:t>
                        </w:r>
                      </w:p>
                    </w:txbxContent>
                  </v:textbox>
                </v:rect>
                <v:rect id="Rectangle 17461" style="position:absolute;width:377;height:1514;left:12773;top:38137;" filled="f" stroked="f">
                  <v:textbox inset="0,0,0,0">
                    <w:txbxContent>
                      <w:p>
                        <w:pPr>
                          <w:spacing w:before="0" w:after="160" w:line="259" w:lineRule="auto"/>
                          <w:ind w:left="0" w:firstLine="0"/>
                          <w:jc w:val="left"/>
                        </w:pPr>
                        <w:r>
                          <w:rPr>
                            <w:rFonts w:cs="Arial" w:hAnsi="Arial" w:eastAsia="Arial" w:ascii="Arial"/>
                            <w:b w:val="1"/>
                            <w:i w:val="1"/>
                            <w:sz w:val="16"/>
                          </w:rPr>
                          <w:t xml:space="preserve"> </w:t>
                        </w:r>
                      </w:p>
                    </w:txbxContent>
                  </v:textbox>
                </v:rect>
                <v:shape id="Shape 17462" style="position:absolute;width:0;height:1257;left:11315;top:10928;" coordsize="0,125730" path="m0,0l0,125730">
                  <v:stroke weight="0.75pt" endcap="flat" joinstyle="round" on="true" color="#000000"/>
                  <v:fill on="false" color="#000000" opacity="0"/>
                </v:shape>
                <v:shape id="Shape 17463" style="position:absolute;width:0;height:1746;left:11449;top:27876;" coordsize="0,174625" path="m0,0l0,174625">
                  <v:stroke weight="0.75pt" endcap="flat" joinstyle="round" on="true" color="#000000"/>
                  <v:fill on="false" color="#000000" opacity="0"/>
                </v:shape>
                <v:shape id="Shape 17464" style="position:absolute;width:0;height:2260;left:11449;top:23056;" coordsize="0,226060" path="m0,0l0,226060">
                  <v:stroke weight="0.75pt" endcap="flat" joinstyle="round" on="true" color="#000000"/>
                  <v:fill on="false" color="#000000" opacity="0"/>
                </v:shape>
              </v:group>
            </w:pict>
          </mc:Fallback>
        </mc:AlternateContent>
      </w:r>
    </w:p>
    <w:p w:rsidR="002C0F56" w:rsidRDefault="00E67C6E">
      <w:pPr>
        <w:spacing w:after="5" w:line="271" w:lineRule="auto"/>
        <w:ind w:left="1381" w:right="396" w:hanging="10"/>
        <w:jc w:val="left"/>
      </w:pPr>
      <w:r>
        <w:rPr>
          <w:b/>
          <w:sz w:val="24"/>
        </w:rPr>
        <w:t>Рис. 6. Блок-</w:t>
      </w:r>
      <w:r>
        <w:rPr>
          <w:b/>
          <w:sz w:val="24"/>
        </w:rPr>
        <w:t xml:space="preserve">схема алгоритма обновления знаний </w:t>
      </w:r>
    </w:p>
    <w:p w:rsidR="002C0F56" w:rsidRDefault="00E67C6E">
      <w:pPr>
        <w:spacing w:after="0" w:line="259" w:lineRule="auto"/>
        <w:ind w:left="4150" w:firstLine="0"/>
        <w:jc w:val="center"/>
      </w:pPr>
      <w:r>
        <w:t xml:space="preserve"> </w:t>
      </w:r>
    </w:p>
    <w:p w:rsidR="002C0F56" w:rsidRDefault="00E67C6E">
      <w:pPr>
        <w:spacing w:after="5" w:line="268" w:lineRule="auto"/>
        <w:ind w:left="165" w:right="868" w:firstLine="554"/>
        <w:jc w:val="left"/>
      </w:pPr>
      <w:r>
        <w:t>Разработанные в данном подразделе алгоритм приобретения знаний (обучения), алгоритм запоминания, а также алгоритм обновления знаний («повторения») могут быть использованы для повышения эффективности обучения в системе «</w:t>
      </w:r>
      <w:r>
        <w:t xml:space="preserve">преподаватель – ученик» а также для создания современных компьютерных обучающих программ.  Список литературы: </w:t>
      </w:r>
    </w:p>
    <w:p w:rsidR="002C0F56" w:rsidRDefault="00E67C6E">
      <w:pPr>
        <w:numPr>
          <w:ilvl w:val="0"/>
          <w:numId w:val="43"/>
        </w:numPr>
        <w:ind w:right="870"/>
      </w:pPr>
      <w:r>
        <w:t>Булкин В.И. Использование метода компараторной идентификации знаний для создания компьютерных обучающих программ // Искусственный интеллект. – До</w:t>
      </w:r>
      <w:r>
        <w:t xml:space="preserve">нецк: ДГИИИ, 2005.–№1.–С. 17 – 25. </w:t>
      </w:r>
    </w:p>
    <w:p w:rsidR="002C0F56" w:rsidRDefault="00E67C6E">
      <w:pPr>
        <w:numPr>
          <w:ilvl w:val="0"/>
          <w:numId w:val="43"/>
        </w:numPr>
        <w:ind w:right="870"/>
      </w:pPr>
      <w:r>
        <w:t xml:space="preserve">Принципы построения адаптивных аналоговых систем обучения и контроля знаний: Учеб. пособие / Бобков А.И., Далматов С.Б., Преснякова Г.В., Шашин Г.В. – Л.: Лен. инст. авиац. приборостроения, 1987. – 80 с. </w:t>
      </w:r>
    </w:p>
    <w:p w:rsidR="002C0F56" w:rsidRDefault="00E67C6E">
      <w:pPr>
        <w:numPr>
          <w:ilvl w:val="0"/>
          <w:numId w:val="43"/>
        </w:numPr>
        <w:ind w:right="870"/>
      </w:pPr>
      <w:r>
        <w:t>Антофий Н.Н. Мо</w:t>
      </w:r>
      <w:r>
        <w:t xml:space="preserve">дели и методы информационной поддержки в компьютеризованных системах обучения: Дис. … канд. техн. наук: 05.13.06. – Херсон, 2003. – 193 с. </w:t>
      </w:r>
    </w:p>
    <w:p w:rsidR="002C0F56" w:rsidRDefault="00E67C6E">
      <w:pPr>
        <w:numPr>
          <w:ilvl w:val="0"/>
          <w:numId w:val="43"/>
        </w:numPr>
        <w:ind w:right="870"/>
      </w:pPr>
      <w:r>
        <w:t>Диалоговые системы и представление знаний / Кокорева Л.В., Перевозчикова О.Л., Ющенко Е.Л.; АН Украины. Ин-т киберне</w:t>
      </w:r>
      <w:r>
        <w:t xml:space="preserve">тики. – Киев: </w:t>
      </w:r>
    </w:p>
    <w:p w:rsidR="002C0F56" w:rsidRDefault="00E67C6E">
      <w:pPr>
        <w:ind w:left="165" w:right="302" w:firstLine="0"/>
      </w:pPr>
      <w:r>
        <w:t xml:space="preserve">Наук. Думка, 1992. – 448 с. </w:t>
      </w:r>
    </w:p>
    <w:p w:rsidR="002C0F56" w:rsidRDefault="00E67C6E">
      <w:pPr>
        <w:spacing w:after="25" w:line="259" w:lineRule="auto"/>
        <w:ind w:left="10" w:right="856" w:hanging="10"/>
        <w:jc w:val="right"/>
      </w:pPr>
      <w:r>
        <w:rPr>
          <w:b/>
        </w:rPr>
        <w:lastRenderedPageBreak/>
        <w:t xml:space="preserve">Войтович Я.Ю. </w:t>
      </w:r>
    </w:p>
    <w:p w:rsidR="002C0F56" w:rsidRDefault="00E67C6E">
      <w:pPr>
        <w:spacing w:after="11" w:line="270" w:lineRule="auto"/>
        <w:ind w:left="10" w:right="862" w:hanging="10"/>
        <w:jc w:val="right"/>
      </w:pPr>
      <w:r>
        <w:t xml:space="preserve">Научный руководитель: Гулягина О.С., к.э.н. </w:t>
      </w:r>
    </w:p>
    <w:p w:rsidR="002C0F56" w:rsidRDefault="00E67C6E">
      <w:pPr>
        <w:spacing w:after="0" w:line="267" w:lineRule="auto"/>
        <w:ind w:left="905" w:right="860" w:hanging="10"/>
        <w:jc w:val="right"/>
      </w:pPr>
      <w:r>
        <w:rPr>
          <w:i/>
        </w:rPr>
        <w:t xml:space="preserve">Полоцкий государственный университет </w:t>
      </w:r>
    </w:p>
    <w:p w:rsidR="002C0F56" w:rsidRDefault="00E67C6E">
      <w:pPr>
        <w:spacing w:after="30" w:line="259" w:lineRule="auto"/>
        <w:ind w:left="744" w:firstLine="0"/>
        <w:jc w:val="left"/>
      </w:pPr>
      <w:r>
        <w:t xml:space="preserve"> </w:t>
      </w:r>
    </w:p>
    <w:p w:rsidR="002C0F56" w:rsidRDefault="00E67C6E">
      <w:pPr>
        <w:pStyle w:val="1"/>
        <w:spacing w:after="15" w:line="271" w:lineRule="auto"/>
        <w:ind w:left="201" w:right="0"/>
        <w:jc w:val="left"/>
      </w:pPr>
      <w:r>
        <w:t>НОВЕЙШИЕЛОГИСТИЧЕСКИЕ ТЕХНОЛОГИИ НА СКЛАДЕ: КРОСС-</w:t>
      </w:r>
    </w:p>
    <w:p w:rsidR="002C0F56" w:rsidRDefault="00E67C6E">
      <w:pPr>
        <w:pStyle w:val="1"/>
        <w:ind w:left="700" w:right="1379"/>
      </w:pPr>
      <w:r>
        <w:t xml:space="preserve">ДОКИНГ И ПИК-БАЙ-ЛАЙН </w:t>
      </w:r>
    </w:p>
    <w:p w:rsidR="002C0F56" w:rsidRDefault="00E67C6E">
      <w:pPr>
        <w:spacing w:after="0" w:line="259" w:lineRule="auto"/>
        <w:ind w:left="744" w:firstLine="0"/>
        <w:jc w:val="left"/>
      </w:pPr>
      <w:r>
        <w:t xml:space="preserve"> </w:t>
      </w:r>
    </w:p>
    <w:p w:rsidR="002C0F56" w:rsidRDefault="00E67C6E">
      <w:pPr>
        <w:ind w:left="165" w:right="869"/>
      </w:pPr>
      <w:r>
        <w:t>В условиях динамичного развития рынка, повышения уровня конкуренции на всех уровнях продвижения продукции, успеха добиваются те организации, которые способны постоянно повышать эффективность своей деятельност за счет снижения логистических издержек при зад</w:t>
      </w:r>
      <w:r>
        <w:t xml:space="preserve">анном уровне обслуживания, либо за счёт повышения уровня обслуживания при заданном уровне логистических издержек. Существенной статьёй логистических издержек являются затраты на складирование  и хранение запасов. Их снижению способствует совершенствования </w:t>
      </w:r>
      <w:r>
        <w:t xml:space="preserve">логистических технологий на складе. Одной з таких относительно новых  является кросс-докинг. </w:t>
      </w:r>
    </w:p>
    <w:p w:rsidR="002C0F56" w:rsidRDefault="00E67C6E">
      <w:pPr>
        <w:ind w:left="165" w:right="872"/>
      </w:pPr>
      <w:r>
        <w:t>Технология «кросс-докинг» является одним из перспективных направлений на рынке логистических услуг, поскольку её внедрение позволяет исключить хранение товаров на</w:t>
      </w:r>
      <w:r>
        <w:t xml:space="preserve"> складе внутри цепи поставок и максимально точно по времени согласовать доставку товаров грузополучателю. В индустрии грузовых перевозок США она применяется с 1930 г. и постоянно используется при доставке сборных грузов. </w:t>
      </w:r>
    </w:p>
    <w:p w:rsidR="002C0F56" w:rsidRDefault="00E67C6E">
      <w:pPr>
        <w:ind w:left="165" w:right="867"/>
      </w:pPr>
      <w:r>
        <w:t>В трактовке Дыбской В.В. мы встреч</w:t>
      </w:r>
      <w:r>
        <w:t xml:space="preserve">аем формулировку«кросс-докинг» как процесса. И тогда это звучит так, «кросс-докинг» - это процесс приёмки и отгрузки товаров и грузов через склад напрямую, без размещения в зоне долговременного хранения. </w:t>
      </w:r>
    </w:p>
    <w:p w:rsidR="002C0F56" w:rsidRDefault="00E67C6E">
      <w:pPr>
        <w:ind w:left="165" w:right="869"/>
      </w:pPr>
      <w:r>
        <w:t>У других авторов таких как: Зайцев Е.И., Сергеев В.</w:t>
      </w:r>
      <w:r>
        <w:t>И., Стерлигова А.Н.,мы встречаем формулировку«кросс-докинг» как логистической операции, и тогда «кросс-докинг» считается логистической операцией внутри цепочки поставок, при которой отгрузка товара на склад и его последующая доставка получателю согласованы</w:t>
      </w:r>
      <w:r>
        <w:t xml:space="preserve"> по времени таким образом, чтобы исключить хранение товара, сократить временной интервал между выгрузкой на склад и отгрузкой со склада с целью доставки груза от поставщика продавцу за максимально короткий срок. То есть такое складирование можно назвать «с</w:t>
      </w:r>
      <w:r>
        <w:t xml:space="preserve">квозным» [2]. </w:t>
      </w:r>
    </w:p>
    <w:p w:rsidR="002C0F56" w:rsidRDefault="00E67C6E">
      <w:pPr>
        <w:spacing w:after="58"/>
        <w:ind w:left="165" w:right="302"/>
      </w:pPr>
      <w:r>
        <w:t xml:space="preserve">Кросс-докинг происходит в один или два этапа:одноэтапный кросс-докинг  идвухэтапный кросс-докинг </w:t>
      </w:r>
    </w:p>
    <w:p w:rsidR="002C0F56" w:rsidRDefault="00E67C6E">
      <w:pPr>
        <w:numPr>
          <w:ilvl w:val="0"/>
          <w:numId w:val="44"/>
        </w:numPr>
        <w:ind w:right="302"/>
      </w:pPr>
      <w:r>
        <w:t xml:space="preserve">одноэтапный кросс-докинг – груз проходит через склад в качестве неизменного отдельного заказа; </w:t>
      </w:r>
    </w:p>
    <w:p w:rsidR="002C0F56" w:rsidRDefault="00E67C6E">
      <w:pPr>
        <w:numPr>
          <w:ilvl w:val="0"/>
          <w:numId w:val="44"/>
        </w:numPr>
        <w:ind w:right="302"/>
      </w:pPr>
      <w:r>
        <w:lastRenderedPageBreak/>
        <w:t>двухэтапный кросс-докинг – отгруженная партия т</w:t>
      </w:r>
      <w:r>
        <w:t xml:space="preserve">овара подвергается переоформлению, и товар на складе может быть разделен на группы. </w:t>
      </w:r>
    </w:p>
    <w:p w:rsidR="002C0F56" w:rsidRDefault="00E67C6E">
      <w:pPr>
        <w:ind w:left="165" w:right="302"/>
      </w:pPr>
      <w:r>
        <w:t xml:space="preserve">При использовании одноэтапного кросс-докинга получатель адресует товар определенному грузополучателю и груз проходит через склад в качестве отдельного неизменного заказа. </w:t>
      </w:r>
      <w:r>
        <w:t xml:space="preserve">На каждой поступившей части одного заказа указан номер заказа и грузополучатель, которому заказ должен быть переправлен, а также перечень находящегося внутри складского места товара, поставщик и режим хранения (транспортировки); </w:t>
      </w:r>
    </w:p>
    <w:p w:rsidR="002C0F56" w:rsidRDefault="00E67C6E">
      <w:pPr>
        <w:spacing w:after="0"/>
        <w:ind w:left="165" w:right="869"/>
      </w:pPr>
      <w:r>
        <w:t xml:space="preserve">Двухэтапный кросс-докинг  </w:t>
      </w:r>
      <w:r>
        <w:t>предполагает, что партия товара, отгруженная поставщиком на склад в качестве логистической единицы, будет переформирована. При этом товар, в соответствии с требованиями Заказчика, на складе может быть поделен на отдельные заказы (каждый из которых доставля</w:t>
      </w:r>
      <w:r>
        <w:t xml:space="preserve">ется отдельно взятому грузополучателю) и собран в единый блок (складское место) вместе с другими частями этого же заказа. </w:t>
      </w:r>
    </w:p>
    <w:p w:rsidR="002C0F56" w:rsidRDefault="00E67C6E">
      <w:pPr>
        <w:ind w:left="165" w:right="869"/>
      </w:pPr>
      <w:r>
        <w:t>Отдельно стоит отметить технологические различия складских зданий при «кросс-</w:t>
      </w:r>
      <w:r>
        <w:t>докинге» и традиционном складе. Главное отличие заключается в том, что при организации склада «кросс-докинга» необходимо стремиться к наибольшей длине здания для размещения большего числа секционных ворот,aв случае традиционного склада к большей площади ск</w:t>
      </w:r>
      <w:r>
        <w:t>лада для обеспечения его максимальной вместимости. Потребность в «длинных» складах для кросс-докинга приводит к необходимости строительства зданий различных конфигураций (H, I, L, T ,U-образных), таких, как приведены на рисунке 1. Для определенного числа с</w:t>
      </w:r>
      <w:r>
        <w:t xml:space="preserve">екционных ворот выгоден конкретный тип здания. Например, тип «I» оптимален при количестве ворот меньшем, чем 150, а тип «Н» – при наличии более 300 ворот. </w:t>
      </w:r>
    </w:p>
    <w:p w:rsidR="002C0F56" w:rsidRDefault="00E67C6E">
      <w:pPr>
        <w:spacing w:after="0" w:line="259" w:lineRule="auto"/>
        <w:ind w:left="2047" w:firstLine="0"/>
        <w:jc w:val="left"/>
      </w:pPr>
      <w:r>
        <w:rPr>
          <w:noProof/>
        </w:rPr>
        <w:drawing>
          <wp:inline distT="0" distB="0" distL="0" distR="0">
            <wp:extent cx="3571240" cy="2618105"/>
            <wp:effectExtent l="0" t="0" r="0" b="0"/>
            <wp:docPr id="17635" name="Picture 17635"/>
            <wp:cNvGraphicFramePr/>
            <a:graphic xmlns:a="http://schemas.openxmlformats.org/drawingml/2006/main">
              <a:graphicData uri="http://schemas.openxmlformats.org/drawingml/2006/picture">
                <pic:pic xmlns:pic="http://schemas.openxmlformats.org/drawingml/2006/picture">
                  <pic:nvPicPr>
                    <pic:cNvPr id="17635" name="Picture 17635"/>
                    <pic:cNvPicPr/>
                  </pic:nvPicPr>
                  <pic:blipFill>
                    <a:blip r:embed="rId344"/>
                    <a:stretch>
                      <a:fillRect/>
                    </a:stretch>
                  </pic:blipFill>
                  <pic:spPr>
                    <a:xfrm>
                      <a:off x="0" y="0"/>
                      <a:ext cx="3571240" cy="2618105"/>
                    </a:xfrm>
                    <a:prstGeom prst="rect">
                      <a:avLst/>
                    </a:prstGeom>
                  </pic:spPr>
                </pic:pic>
              </a:graphicData>
            </a:graphic>
          </wp:inline>
        </w:drawing>
      </w:r>
    </w:p>
    <w:p w:rsidR="002C0F56" w:rsidRDefault="00E67C6E">
      <w:pPr>
        <w:spacing w:after="0" w:line="259" w:lineRule="auto"/>
        <w:ind w:left="744" w:right="3016"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5" w:line="271" w:lineRule="auto"/>
        <w:ind w:left="2509" w:right="396" w:hanging="10"/>
        <w:jc w:val="left"/>
      </w:pPr>
      <w:r>
        <w:rPr>
          <w:b/>
          <w:sz w:val="24"/>
        </w:rPr>
        <w:lastRenderedPageBreak/>
        <w:t xml:space="preserve">Рис. 1. Различные конфигурации «кросс-докинга» </w:t>
      </w:r>
    </w:p>
    <w:p w:rsidR="002C0F56" w:rsidRDefault="00E67C6E">
      <w:pPr>
        <w:spacing w:after="0" w:line="259" w:lineRule="auto"/>
        <w:ind w:left="744" w:firstLine="0"/>
        <w:jc w:val="left"/>
      </w:pPr>
      <w:r>
        <w:t xml:space="preserve"> </w:t>
      </w:r>
    </w:p>
    <w:p w:rsidR="002C0F56" w:rsidRDefault="00E67C6E">
      <w:pPr>
        <w:spacing w:after="16"/>
        <w:ind w:left="165" w:right="989"/>
      </w:pPr>
      <w:r>
        <w:t>С целью сокращения затрат на организацию логистической системы необходимо осуществлять координацию товарного и транспортного потоков, то есть количество транспорта, осуществляющего доставку товара на склад и к потребителю, должно быть минимальным. Сравнива</w:t>
      </w:r>
      <w:r>
        <w:t xml:space="preserve">я между собой традиционный склад и склад «кросс-докинга», следует отметить, что при одинаковом товаропотоке в случае «кросс-докинга» количество задействованного автотранспорта за счет дробления поставок на более мелкие партии увеличивается [3]. </w:t>
      </w:r>
    </w:p>
    <w:p w:rsidR="002C0F56" w:rsidRDefault="00E67C6E">
      <w:pPr>
        <w:spacing w:after="0"/>
        <w:ind w:left="165" w:right="866"/>
      </w:pPr>
      <w:r>
        <w:t>Разновидно</w:t>
      </w:r>
      <w:r>
        <w:t xml:space="preserve">стью кросс-докинга является технология pick-by-line ("подбор по линии"), которая позволяет разные товары, прибывшие от разных отправителей в адрес одного получателя, не размещать в отдельных ячейках на складе и затем перед отгрузкой не собирать специально </w:t>
      </w:r>
      <w:r>
        <w:t>заказ, а сразу консолидировать товары одного получателя в одной ячейке (как правило, на первом ярусе) до полного паллета, затем сформированный паллет поднимается на второй и третий ярусы. Когда подходит момент отгрузки, товар, собранный в одном заказе и на</w:t>
      </w:r>
      <w:r>
        <w:t>ходящийся в одном месте, быстрее подготавливается к погрузке в транспортные средства. Достаточно много времени на складе идет на оформление документов, при технологии pick-by-line документы подготавливаются по мере сборки грузовых мест, что тоже сказываетс</w:t>
      </w:r>
      <w:r>
        <w:t xml:space="preserve">я положительно на времени выполнения заказа. </w:t>
      </w:r>
    </w:p>
    <w:p w:rsidR="002C0F56" w:rsidRDefault="00E67C6E">
      <w:pPr>
        <w:ind w:left="165" w:right="302"/>
      </w:pPr>
      <w:r>
        <w:t xml:space="preserve">Обслуживание по данной схеме комплектации представлено следующими этапами: </w:t>
      </w:r>
    </w:p>
    <w:p w:rsidR="002C0F56" w:rsidRDefault="00E67C6E">
      <w:pPr>
        <w:numPr>
          <w:ilvl w:val="0"/>
          <w:numId w:val="45"/>
        </w:numPr>
        <w:ind w:right="588"/>
      </w:pPr>
      <w:r>
        <w:t xml:space="preserve">Подготовка консолидационной зоны, то есть ее разграничение и укладка поддона; </w:t>
      </w:r>
    </w:p>
    <w:p w:rsidR="002C0F56" w:rsidRDefault="00E67C6E">
      <w:pPr>
        <w:numPr>
          <w:ilvl w:val="0"/>
          <w:numId w:val="45"/>
        </w:numPr>
        <w:spacing w:after="10"/>
        <w:ind w:right="588"/>
      </w:pPr>
      <w:r>
        <w:t>Разгрузка паллетов с поступающими товарами по точкам бу</w:t>
      </w:r>
      <w:r>
        <w:t xml:space="preserve">дущей транспортировки в соответствии с требуемыми количествами и числом товарных позиций. </w:t>
      </w:r>
    </w:p>
    <w:p w:rsidR="002C0F56" w:rsidRDefault="00E67C6E">
      <w:pPr>
        <w:ind w:left="165" w:right="866"/>
      </w:pPr>
      <w:r>
        <w:t>Данная схема позволяет работать без ошибок даже при отсутствии автоматизированной системы складского учета. Главным ограничением ее использования является соответствие количества единовременно обслуживаемых розничных точек, объемов разовой поставки и числа</w:t>
      </w:r>
      <w:r>
        <w:t xml:space="preserve"> товарных позиций с общей площадью склада. </w:t>
      </w:r>
    </w:p>
    <w:p w:rsidR="002C0F56" w:rsidRDefault="00E67C6E">
      <w:pPr>
        <w:ind w:left="165" w:right="867" w:firstLine="0"/>
      </w:pPr>
      <w:r>
        <w:t>Для эффективной работы операция Pick-by-line требует нормального наполнения. То есть поддон каждой розничной точки должен быть заполнен не ниже определенного уровня, обеспечивающего эффективность работы данной си</w:t>
      </w:r>
      <w:r>
        <w:t xml:space="preserve">стемы. Заполнение должно происходить в минимальные сроки. Идеально сразу при первичной разгрузке (получении) товара на склад. </w:t>
      </w:r>
    </w:p>
    <w:p w:rsidR="002C0F56" w:rsidRDefault="00E67C6E">
      <w:pPr>
        <w:spacing w:after="11"/>
        <w:ind w:left="165" w:right="873"/>
      </w:pPr>
      <w:r>
        <w:lastRenderedPageBreak/>
        <w:t xml:space="preserve">Операция Pick-by-line прекрасно работает там, где отгрузки производятся без остатка, то есть идет работа со скоропортящимися или </w:t>
      </w:r>
      <w:r>
        <w:t xml:space="preserve">товарами группы С (наименее ценными), которые доставляются без хранения на складе. </w:t>
      </w:r>
    </w:p>
    <w:p w:rsidR="002C0F56" w:rsidRDefault="00E67C6E">
      <w:pPr>
        <w:spacing w:after="0"/>
        <w:ind w:left="165" w:right="870"/>
      </w:pPr>
      <w:r>
        <w:t>Таким образом, можно сделать вывод, что внедрение рассмотренных решений позволит преобразовать склады из места по физическому хранению и перемещению грузов в структуре сете</w:t>
      </w:r>
      <w:r>
        <w:t xml:space="preserve">вой компании в центры по рационализации товарных потоков, готовые к реализации дробных ассортиментных позиций и быстрому распределению партий по торговым точкам заранее подобранным транспортом [4]. </w:t>
      </w:r>
    </w:p>
    <w:p w:rsidR="002C0F56" w:rsidRDefault="00E67C6E">
      <w:pPr>
        <w:ind w:left="165" w:right="302"/>
      </w:pPr>
      <w:r>
        <w:t>Рассмотрим достоинства и недостатки двух технологий, пред</w:t>
      </w:r>
      <w:r>
        <w:t xml:space="preserve">ставленные в таблице 1. </w:t>
      </w:r>
    </w:p>
    <w:p w:rsidR="002C0F56" w:rsidRDefault="00E67C6E">
      <w:pPr>
        <w:spacing w:after="0" w:line="259" w:lineRule="auto"/>
        <w:ind w:left="744" w:firstLine="0"/>
        <w:jc w:val="left"/>
      </w:pPr>
      <w:r>
        <w:t xml:space="preserve"> </w:t>
      </w:r>
    </w:p>
    <w:p w:rsidR="002C0F56" w:rsidRDefault="00E67C6E">
      <w:pPr>
        <w:spacing w:after="5" w:line="271" w:lineRule="auto"/>
        <w:ind w:left="672" w:right="396" w:hanging="10"/>
        <w:jc w:val="left"/>
      </w:pPr>
      <w:r>
        <w:rPr>
          <w:i/>
          <w:sz w:val="24"/>
        </w:rPr>
        <w:t>Таблица 1</w:t>
      </w:r>
      <w:r>
        <w:rPr>
          <w:sz w:val="24"/>
        </w:rPr>
        <w:t xml:space="preserve"> – </w:t>
      </w:r>
      <w:r>
        <w:rPr>
          <w:b/>
          <w:sz w:val="24"/>
        </w:rPr>
        <w:t xml:space="preserve">Недостатки и преимущества технологий кросс-докинг и пик-бай-лайн </w:t>
      </w:r>
    </w:p>
    <w:p w:rsidR="002C0F56" w:rsidRDefault="00E67C6E">
      <w:pPr>
        <w:spacing w:after="65" w:line="259" w:lineRule="auto"/>
        <w:ind w:left="60" w:firstLine="0"/>
        <w:jc w:val="left"/>
      </w:pPr>
      <w:r>
        <w:rPr>
          <w:noProof/>
        </w:rPr>
        <w:drawing>
          <wp:inline distT="0" distB="0" distL="0" distR="0">
            <wp:extent cx="6269736" cy="4447033"/>
            <wp:effectExtent l="0" t="0" r="0" b="0"/>
            <wp:docPr id="689292" name="Picture 689292"/>
            <wp:cNvGraphicFramePr/>
            <a:graphic xmlns:a="http://schemas.openxmlformats.org/drawingml/2006/main">
              <a:graphicData uri="http://schemas.openxmlformats.org/drawingml/2006/picture">
                <pic:pic xmlns:pic="http://schemas.openxmlformats.org/drawingml/2006/picture">
                  <pic:nvPicPr>
                    <pic:cNvPr id="689292" name="Picture 689292"/>
                    <pic:cNvPicPr/>
                  </pic:nvPicPr>
                  <pic:blipFill>
                    <a:blip r:embed="rId345"/>
                    <a:stretch>
                      <a:fillRect/>
                    </a:stretch>
                  </pic:blipFill>
                  <pic:spPr>
                    <a:xfrm>
                      <a:off x="0" y="0"/>
                      <a:ext cx="6269736" cy="4447033"/>
                    </a:xfrm>
                    <a:prstGeom prst="rect">
                      <a:avLst/>
                    </a:prstGeom>
                  </pic:spPr>
                </pic:pic>
              </a:graphicData>
            </a:graphic>
          </wp:inline>
        </w:drawing>
      </w:r>
    </w:p>
    <w:p w:rsidR="002C0F56" w:rsidRDefault="00E67C6E">
      <w:pPr>
        <w:ind w:left="165" w:right="866"/>
      </w:pPr>
      <w:r>
        <w:t>Подводя итоги, можно сказать ещё раз, что кросс-докинг — это перемещениезаказов (поставок) скомплектованныхзаказчиком для каждого магазина. Пик-бай-л</w:t>
      </w:r>
      <w:r>
        <w:t xml:space="preserve">айн (pick-by-line) — этораспределение заказа, консолидированного на основе заказов магазинов,поставленного поставщиком. </w:t>
      </w:r>
      <w:r>
        <w:lastRenderedPageBreak/>
        <w:t>Поступившие из магазинов заказы производитель консолидирует, делает одну поставку,которая затем распределяется в соответствии с заказами</w:t>
      </w:r>
      <w:r>
        <w:t>.</w:t>
      </w:r>
      <w:r>
        <w:rPr>
          <w:b/>
        </w:rPr>
        <w:t xml:space="preserve"> </w:t>
      </w:r>
    </w:p>
    <w:p w:rsidR="002C0F56" w:rsidRDefault="00E67C6E">
      <w:pPr>
        <w:spacing w:after="11"/>
        <w:ind w:left="165" w:right="867"/>
      </w:pPr>
      <w:r>
        <w:t xml:space="preserve">Одним из основных условий применения технологии «кросс-докинг» выступает эффективное информационное обеспечение - информация о приходах и расходах организована в форме электронного документооборота </w:t>
      </w:r>
    </w:p>
    <w:p w:rsidR="002C0F56" w:rsidRDefault="00E67C6E">
      <w:pPr>
        <w:spacing w:after="12"/>
        <w:ind w:left="165" w:right="302" w:firstLine="0"/>
      </w:pPr>
      <w:r>
        <w:t xml:space="preserve">[5]. </w:t>
      </w:r>
    </w:p>
    <w:p w:rsidR="002C0F56" w:rsidRDefault="00E67C6E">
      <w:pPr>
        <w:ind w:left="165" w:right="866"/>
      </w:pPr>
      <w:r>
        <w:t>Обе эти технологии относятся к прямым поставкам.</w:t>
      </w:r>
      <w:r>
        <w:t xml:space="preserve"> Товар в обоих случаях не хранится в распределительном центре, поэтому компания-ритейлер не может влиять на количество страхового запаса, как она это может делать при стеллажном хранении товара в распределительном центре. Есть принципиальное отличие постав</w:t>
      </w:r>
      <w:r>
        <w:t xml:space="preserve">ок по пик-бай-лайну и кросс-докингу: при кросс-докинге собственность товара от поставщика переходит на магазин с момента отгрузки товара [6]. </w:t>
      </w:r>
    </w:p>
    <w:p w:rsidR="002C0F56" w:rsidRDefault="00E67C6E">
      <w:pPr>
        <w:spacing w:after="0"/>
        <w:ind w:left="165" w:right="302"/>
      </w:pPr>
      <w:r>
        <w:t>На Западе, в связи с развитием торговых сетей,все более широкое распространениеприобретает использование технологий работы склада по принципу «точно в срок». Имеются целые торговые сети, у которых распределительные центры, работают с использованием техноло</w:t>
      </w:r>
      <w:r>
        <w:t>гий кроссдокинга и пик-бай-лайна, и они достаточно эффективны и успешны. В Республике Беларусь рассмотренные сквозные технологии работы склада лишь изучаются и применяются в единичных случаях. В тоже время происходит формирование и дальнейшее развитие круп</w:t>
      </w:r>
      <w:r>
        <w:t>ных розничных торговых структур, работающих по технологии торговых сетей, что сопровождается значительным ростом товаропотока, а также увеличением необходимых складских площадей. Следовательно, можно утверждать, что пришло время адаптации современных заруб</w:t>
      </w:r>
      <w:r>
        <w:t xml:space="preserve">ежных технологий в организации складской деятельности на предприятиях Беларуси. </w:t>
      </w:r>
    </w:p>
    <w:p w:rsidR="002C0F56" w:rsidRDefault="00E67C6E">
      <w:pPr>
        <w:spacing w:after="25" w:line="259" w:lineRule="auto"/>
        <w:ind w:left="0" w:right="55" w:firstLine="0"/>
        <w:jc w:val="center"/>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46"/>
        </w:numPr>
        <w:ind w:right="583"/>
      </w:pPr>
      <w:r>
        <w:t xml:space="preserve">Дыбская В.В. Управление складированием в цепях поставок. – М.: Издательство «Альфа-пресс», 2009. -720 с. </w:t>
      </w:r>
    </w:p>
    <w:p w:rsidR="002C0F56" w:rsidRDefault="00E67C6E">
      <w:pPr>
        <w:numPr>
          <w:ilvl w:val="0"/>
          <w:numId w:val="46"/>
        </w:numPr>
        <w:ind w:right="583"/>
      </w:pPr>
      <w:r>
        <w:t>Кросс-докинг, его склад, логистика.- [Электронн</w:t>
      </w:r>
      <w:r>
        <w:t>ый ресурс] -Режим доступа: http://logistim.ru/gruzoperevozki/chto-takoe-kross-doking-ego-skladlogistika-sxema-i-cena/ - Дата доступа: 03.03.2016</w:t>
      </w:r>
      <w:r>
        <w:rPr>
          <w:b/>
        </w:rPr>
        <w:t xml:space="preserve"> </w:t>
      </w:r>
    </w:p>
    <w:p w:rsidR="002C0F56" w:rsidRDefault="00E67C6E">
      <w:pPr>
        <w:numPr>
          <w:ilvl w:val="0"/>
          <w:numId w:val="46"/>
        </w:numPr>
        <w:ind w:right="583"/>
      </w:pPr>
      <w:r>
        <w:t>Кросс-докинг или складское хранение: как оптимизировать товародвижение предприятия.- [Электронный ресурс] -Реж</w:t>
      </w:r>
      <w:r>
        <w:t xml:space="preserve">им доступа: </w:t>
      </w:r>
    </w:p>
    <w:p w:rsidR="002C0F56" w:rsidRDefault="00E67C6E">
      <w:pPr>
        <w:ind w:left="165" w:right="302" w:firstLine="0"/>
      </w:pPr>
      <w:r>
        <w:t>http://rosinvest.com/page/kross-doking-ili-skladskoe-hranenie-kak-optimizirovattovarodvizhenie-predprijatija/ - Дата доступа: 10.03.2017</w:t>
      </w:r>
      <w:r>
        <w:rPr>
          <w:b/>
        </w:rPr>
        <w:t xml:space="preserve"> </w:t>
      </w:r>
    </w:p>
    <w:p w:rsidR="002C0F56" w:rsidRDefault="00E67C6E">
      <w:pPr>
        <w:numPr>
          <w:ilvl w:val="0"/>
          <w:numId w:val="46"/>
        </w:numPr>
        <w:ind w:right="583"/>
      </w:pPr>
      <w:r>
        <w:t xml:space="preserve">Наполитано Н. Pick-by-line - новая технология кросс-докинга// Склад и техника - №2, 2008 </w:t>
      </w:r>
      <w:r>
        <w:rPr>
          <w:sz w:val="24"/>
        </w:rPr>
        <w:t>5.</w:t>
      </w:r>
      <w:r>
        <w:rPr>
          <w:rFonts w:ascii="Arial" w:eastAsia="Arial" w:hAnsi="Arial" w:cs="Arial"/>
          <w:sz w:val="24"/>
        </w:rPr>
        <w:t xml:space="preserve"> </w:t>
      </w:r>
      <w:r>
        <w:t xml:space="preserve">Кросс-докинг </w:t>
      </w:r>
      <w:r>
        <w:t xml:space="preserve">– не панацея? - [Электронный ресурс] -Режим доступа: </w:t>
      </w:r>
    </w:p>
    <w:p w:rsidR="002C0F56" w:rsidRDefault="00E67C6E">
      <w:pPr>
        <w:spacing w:after="14"/>
        <w:ind w:left="165" w:right="865" w:firstLine="0"/>
      </w:pPr>
      <w:r>
        <w:lastRenderedPageBreak/>
        <w:t>https://www.lobanov-logist.ru/library/all_articles/55649/ - Дата доступа: 10.03.2017</w:t>
      </w:r>
      <w:r>
        <w:rPr>
          <w:b/>
        </w:rPr>
        <w:t xml:space="preserve"> </w:t>
      </w:r>
      <w:r>
        <w:rPr>
          <w:sz w:val="24"/>
        </w:rPr>
        <w:t>6.</w:t>
      </w:r>
      <w:r>
        <w:rPr>
          <w:rFonts w:ascii="Arial" w:eastAsia="Arial" w:hAnsi="Arial" w:cs="Arial"/>
          <w:sz w:val="24"/>
        </w:rPr>
        <w:t xml:space="preserve"> </w:t>
      </w:r>
      <w:r>
        <w:t>Фигуровский Ю. Все о складе: логистика, складская техника и технологии. Pick-by-line – «подбор по линии.- [Электро</w:t>
      </w:r>
      <w:r>
        <w:t>нный ресурс] -Режим доступа: http://www.skladforum.ru/articles/1694/ - Дата доступа: 10.03.2017</w:t>
      </w:r>
      <w:r>
        <w:rPr>
          <w:b/>
        </w:rPr>
        <w:t xml:space="preserve">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spacing w:after="5" w:line="270" w:lineRule="auto"/>
        <w:ind w:left="7177" w:right="107" w:hanging="10"/>
        <w:jc w:val="center"/>
      </w:pPr>
      <w:r>
        <w:rPr>
          <w:b/>
        </w:rPr>
        <w:t xml:space="preserve">Войтович Ю.С. Арсенович А.А. </w:t>
      </w:r>
    </w:p>
    <w:p w:rsidR="002C0F56" w:rsidRDefault="00E67C6E">
      <w:pPr>
        <w:spacing w:after="5" w:line="269" w:lineRule="auto"/>
        <w:ind w:left="4751" w:firstLine="468"/>
        <w:jc w:val="left"/>
      </w:pPr>
      <w:r>
        <w:t xml:space="preserve">Научный руководитель:Кулакова Н.Л.   </w:t>
      </w:r>
      <w:r>
        <w:rPr>
          <w:i/>
        </w:rPr>
        <w:t xml:space="preserve">Полесский государственный университет </w:t>
      </w:r>
    </w:p>
    <w:p w:rsidR="002C0F56" w:rsidRDefault="00E67C6E">
      <w:pPr>
        <w:spacing w:after="0" w:line="259" w:lineRule="auto"/>
        <w:ind w:left="180" w:firstLine="0"/>
        <w:jc w:val="left"/>
      </w:pPr>
      <w:r>
        <w:rPr>
          <w:b/>
        </w:rPr>
        <w:t xml:space="preserve"> </w:t>
      </w:r>
    </w:p>
    <w:p w:rsidR="002C0F56" w:rsidRDefault="00E67C6E">
      <w:pPr>
        <w:pStyle w:val="1"/>
        <w:ind w:left="700" w:right="1376"/>
      </w:pPr>
      <w:r>
        <w:t xml:space="preserve">СОСТОЯНИЕ И ИСПОЛЬЗОВАНИЕ ВОДНЫХ РЕСУРСОВ В </w:t>
      </w:r>
    </w:p>
    <w:p w:rsidR="002C0F56" w:rsidRDefault="00E67C6E">
      <w:pPr>
        <w:pStyle w:val="1"/>
        <w:ind w:left="700" w:right="1376"/>
      </w:pPr>
      <w:r>
        <w:t xml:space="preserve">РЕСПУБЛИКЕ БЕЛАРУСЬ </w:t>
      </w:r>
    </w:p>
    <w:p w:rsidR="002C0F56" w:rsidRDefault="00E67C6E">
      <w:pPr>
        <w:spacing w:after="25" w:line="259" w:lineRule="auto"/>
        <w:ind w:left="0" w:right="617" w:firstLine="0"/>
        <w:jc w:val="center"/>
      </w:pPr>
      <w:r>
        <w:rPr>
          <w:b/>
        </w:rPr>
        <w:t xml:space="preserve"> </w:t>
      </w:r>
    </w:p>
    <w:p w:rsidR="002C0F56" w:rsidRDefault="00E67C6E">
      <w:pPr>
        <w:ind w:left="165" w:right="869"/>
      </w:pPr>
      <w:r>
        <w:t xml:space="preserve">В Республике Беларусь имеется достаточное количество как поверхностных, так и подземных возобновляемых водных ресурсов, используемых для удовлетворения  потребностей населения в воде. </w:t>
      </w:r>
    </w:p>
    <w:p w:rsidR="002C0F56" w:rsidRDefault="00E67C6E">
      <w:pPr>
        <w:ind w:left="165" w:right="302"/>
      </w:pPr>
      <w:r>
        <w:t>Всего в республике насчитывается 20800 рек, 1080</w:t>
      </w:r>
      <w:r>
        <w:t xml:space="preserve">0 озер и более 9000 болот общей протяженностью 90600 км.  </w:t>
      </w:r>
    </w:p>
    <w:p w:rsidR="002C0F56" w:rsidRDefault="00E67C6E">
      <w:pPr>
        <w:ind w:left="165" w:right="868"/>
      </w:pPr>
      <w:r>
        <w:t>В Беларуси сооружено 145 искусственных водохранилищ. Особое значение имеет Вилейское водохранилище (75 км</w:t>
      </w:r>
      <w:r>
        <w:rPr>
          <w:vertAlign w:val="superscript"/>
        </w:rPr>
        <w:t>2</w:t>
      </w:r>
      <w:r>
        <w:t>), которое сопоставимо с озером Нарочь. А также разведано 243 месторождения и участка подзе</w:t>
      </w:r>
      <w:r>
        <w:t>мных вод, по которым утверждены запасы подземных вод в количестве 6643,72 тыс. м</w:t>
      </w:r>
      <w:r>
        <w:rPr>
          <w:vertAlign w:val="superscript"/>
        </w:rPr>
        <w:t>3</w:t>
      </w:r>
      <w:r>
        <w:t xml:space="preserve">/сут [1]. </w:t>
      </w:r>
    </w:p>
    <w:p w:rsidR="002C0F56" w:rsidRDefault="00E67C6E">
      <w:pPr>
        <w:ind w:left="165" w:right="302"/>
      </w:pPr>
      <w:r>
        <w:t xml:space="preserve">Рассмотрим основные направления использования водных ресурсов за 2015 год в Республике Беларусь (рис. 1).  </w:t>
      </w:r>
    </w:p>
    <w:p w:rsidR="002C0F56" w:rsidRDefault="00E67C6E">
      <w:pPr>
        <w:spacing w:after="0" w:line="259" w:lineRule="auto"/>
        <w:ind w:left="747" w:right="1618" w:firstLine="0"/>
        <w:jc w:val="left"/>
      </w:pPr>
      <w:r>
        <w:t xml:space="preserve"> </w:t>
      </w:r>
    </w:p>
    <w:p w:rsidR="002C0F56" w:rsidRDefault="00E67C6E">
      <w:pPr>
        <w:spacing w:after="0" w:line="259" w:lineRule="auto"/>
        <w:ind w:left="0" w:right="1546" w:firstLine="0"/>
        <w:jc w:val="right"/>
      </w:pPr>
      <w:r>
        <w:rPr>
          <w:noProof/>
        </w:rPr>
        <w:drawing>
          <wp:inline distT="0" distB="0" distL="0" distR="0">
            <wp:extent cx="4809490" cy="2398395"/>
            <wp:effectExtent l="0" t="0" r="0" b="0"/>
            <wp:docPr id="18473" name="Picture 18473"/>
            <wp:cNvGraphicFramePr/>
            <a:graphic xmlns:a="http://schemas.openxmlformats.org/drawingml/2006/main">
              <a:graphicData uri="http://schemas.openxmlformats.org/drawingml/2006/picture">
                <pic:pic xmlns:pic="http://schemas.openxmlformats.org/drawingml/2006/picture">
                  <pic:nvPicPr>
                    <pic:cNvPr id="18473" name="Picture 18473"/>
                    <pic:cNvPicPr/>
                  </pic:nvPicPr>
                  <pic:blipFill>
                    <a:blip r:embed="rId346"/>
                    <a:stretch>
                      <a:fillRect/>
                    </a:stretch>
                  </pic:blipFill>
                  <pic:spPr>
                    <a:xfrm>
                      <a:off x="0" y="0"/>
                      <a:ext cx="4809490" cy="2398395"/>
                    </a:xfrm>
                    <a:prstGeom prst="rect">
                      <a:avLst/>
                    </a:prstGeom>
                  </pic:spPr>
                </pic:pic>
              </a:graphicData>
            </a:graphic>
          </wp:inline>
        </w:drawing>
      </w:r>
      <w:r>
        <w:t xml:space="preserve"> </w:t>
      </w:r>
    </w:p>
    <w:p w:rsidR="002C0F56" w:rsidRDefault="00E67C6E">
      <w:pPr>
        <w:spacing w:after="5" w:line="271" w:lineRule="auto"/>
        <w:ind w:left="1645" w:right="396" w:hanging="10"/>
        <w:jc w:val="left"/>
      </w:pPr>
      <w:r>
        <w:rPr>
          <w:b/>
          <w:sz w:val="24"/>
        </w:rPr>
        <w:t xml:space="preserve">Рис.1 Структура водопотребления в Республике Беларусь за 2015г. </w:t>
      </w:r>
    </w:p>
    <w:p w:rsidR="002C0F56" w:rsidRDefault="00E67C6E">
      <w:pPr>
        <w:spacing w:after="0" w:line="259" w:lineRule="auto"/>
        <w:ind w:left="0" w:right="50" w:firstLine="0"/>
        <w:jc w:val="center"/>
      </w:pPr>
      <w:r>
        <w:lastRenderedPageBreak/>
        <w:t xml:space="preserve"> </w:t>
      </w:r>
    </w:p>
    <w:p w:rsidR="002C0F56" w:rsidRDefault="00E67C6E">
      <w:pPr>
        <w:spacing w:after="9"/>
        <w:ind w:left="165" w:right="866"/>
      </w:pPr>
      <w:r>
        <w:t>Как показывает диаграмма, наибольший удельный вес водопотребления приходится на хозяйственно-питьевые нужды (37,3%) [2]. Обеспечение жителей качественной питьевой водой является приоритетно</w:t>
      </w:r>
      <w:r>
        <w:t>й социальной и экологической проблемой Республики Беларусь, решение которой направлено на достижение главной цели – улучшение и сохранение здоровья населения и в целом – безопасности нации.Уровень потребления чистой воды на душу населения в нашей стране зн</w:t>
      </w:r>
      <w:r>
        <w:t xml:space="preserve">ачительно превышает среднеевропейский. 206 литров воды приходится на одного белоруса в сутки, в то время как на жителя Европы — 120—180 литров. </w:t>
      </w:r>
    </w:p>
    <w:p w:rsidR="002C0F56" w:rsidRDefault="00E67C6E">
      <w:pPr>
        <w:spacing w:after="0"/>
        <w:ind w:left="165" w:right="868"/>
      </w:pPr>
      <w:r>
        <w:t>Большим расходованием воды сопровождаются производственные процессы на промышленных предприятиях. При этом пред</w:t>
      </w:r>
      <w:r>
        <w:t>приятия отдельных отраслей промышленности и энергохозяйства потребляют количество воды, нередко значительно превосходящее коммунальное водопотребление крупных городов. От количества и качества используемой воды и организации водоснабжения промышленного пре</w:t>
      </w:r>
      <w:r>
        <w:t xml:space="preserve">дприятия в значительной мере зависят качество и себестоимость выпускаемой продукции. </w:t>
      </w:r>
    </w:p>
    <w:p w:rsidR="002C0F56" w:rsidRDefault="00E67C6E">
      <w:pPr>
        <w:ind w:left="165" w:right="871"/>
      </w:pPr>
      <w:r>
        <w:t>Кроме обеспечения водой населения и промышленности, огромное значение имеет сельскохозяйственное водоснабжение, для животноводства и искусственного орошения земель в целя</w:t>
      </w:r>
      <w:r>
        <w:t xml:space="preserve">х успешного выращивания сельскохозяйственных культур и получения высоких урожаев.  </w:t>
      </w:r>
    </w:p>
    <w:p w:rsidR="002C0F56" w:rsidRDefault="00E67C6E">
      <w:pPr>
        <w:ind w:left="165" w:right="302"/>
      </w:pPr>
      <w:r>
        <w:t xml:space="preserve">Для потребления воды человеком, необходима её очистка. Динамика водных объектов по степени очистки представлена в таблице 1. </w:t>
      </w:r>
    </w:p>
    <w:p w:rsidR="002C0F56" w:rsidRDefault="00E67C6E">
      <w:pPr>
        <w:spacing w:after="0" w:line="259" w:lineRule="auto"/>
        <w:ind w:left="747" w:firstLine="0"/>
        <w:jc w:val="left"/>
      </w:pPr>
      <w:r>
        <w:t xml:space="preserve"> </w:t>
      </w:r>
    </w:p>
    <w:p w:rsidR="002C0F56" w:rsidRDefault="00E67C6E">
      <w:pPr>
        <w:spacing w:after="5" w:line="271" w:lineRule="auto"/>
        <w:ind w:left="3923" w:right="396" w:hanging="2797"/>
        <w:jc w:val="left"/>
      </w:pPr>
      <w:r>
        <w:rPr>
          <w:i/>
          <w:sz w:val="24"/>
        </w:rPr>
        <w:t xml:space="preserve">Таблица 1 – </w:t>
      </w:r>
      <w:r>
        <w:rPr>
          <w:b/>
          <w:sz w:val="24"/>
        </w:rPr>
        <w:t>Характеристика степени очистки в</w:t>
      </w:r>
      <w:r>
        <w:rPr>
          <w:b/>
          <w:sz w:val="24"/>
        </w:rPr>
        <w:t>одных стоков за период 2011- 2015гг., млн. куб. м.</w:t>
      </w:r>
      <w:r>
        <w:rPr>
          <w:i/>
          <w:sz w:val="24"/>
        </w:rPr>
        <w:t xml:space="preserve"> </w:t>
      </w:r>
    </w:p>
    <w:tbl>
      <w:tblPr>
        <w:tblStyle w:val="TableGrid"/>
        <w:tblW w:w="8930" w:type="dxa"/>
        <w:tblInd w:w="536" w:type="dxa"/>
        <w:tblCellMar>
          <w:top w:w="38" w:type="dxa"/>
          <w:left w:w="110" w:type="dxa"/>
          <w:bottom w:w="0" w:type="dxa"/>
          <w:right w:w="115" w:type="dxa"/>
        </w:tblCellMar>
        <w:tblLook w:val="04A0" w:firstRow="1" w:lastRow="0" w:firstColumn="1" w:lastColumn="0" w:noHBand="0" w:noVBand="1"/>
      </w:tblPr>
      <w:tblGrid>
        <w:gridCol w:w="2646"/>
        <w:gridCol w:w="1244"/>
        <w:gridCol w:w="1274"/>
        <w:gridCol w:w="1214"/>
        <w:gridCol w:w="1336"/>
        <w:gridCol w:w="1216"/>
      </w:tblGrid>
      <w:tr w:rsidR="002C0F56">
        <w:trPr>
          <w:trHeight w:val="310"/>
        </w:trPr>
        <w:tc>
          <w:tcPr>
            <w:tcW w:w="23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66" w:firstLine="0"/>
              <w:jc w:val="left"/>
            </w:pPr>
            <w:r>
              <w:rPr>
                <w:sz w:val="24"/>
              </w:rPr>
              <w:t xml:space="preserve">  </w:t>
            </w:r>
          </w:p>
        </w:tc>
        <w:tc>
          <w:tcPr>
            <w:tcW w:w="1309" w:type="dxa"/>
            <w:tcBorders>
              <w:top w:val="single" w:sz="4" w:space="0" w:color="000000"/>
              <w:left w:val="single" w:sz="4" w:space="0" w:color="000000"/>
              <w:bottom w:val="single" w:sz="4" w:space="0" w:color="000000"/>
              <w:right w:val="single" w:sz="6" w:space="0" w:color="000000"/>
            </w:tcBorders>
          </w:tcPr>
          <w:p w:rsidR="002C0F56" w:rsidRDefault="00E67C6E">
            <w:pPr>
              <w:spacing w:after="0" w:line="259" w:lineRule="auto"/>
              <w:ind w:left="13" w:firstLine="0"/>
              <w:jc w:val="center"/>
            </w:pPr>
            <w:r>
              <w:rPr>
                <w:sz w:val="24"/>
              </w:rPr>
              <w:t xml:space="preserve">2011г. </w:t>
            </w:r>
          </w:p>
        </w:tc>
        <w:tc>
          <w:tcPr>
            <w:tcW w:w="1344" w:type="dxa"/>
            <w:tcBorders>
              <w:top w:val="single" w:sz="4" w:space="0" w:color="000000"/>
              <w:left w:val="single" w:sz="6"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2012г. </w:t>
            </w:r>
          </w:p>
        </w:tc>
        <w:tc>
          <w:tcPr>
            <w:tcW w:w="12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2013г. </w:t>
            </w:r>
          </w:p>
        </w:tc>
        <w:tc>
          <w:tcPr>
            <w:tcW w:w="14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center"/>
            </w:pPr>
            <w:r>
              <w:rPr>
                <w:sz w:val="24"/>
              </w:rPr>
              <w:t xml:space="preserve">2014г. </w:t>
            </w:r>
          </w:p>
        </w:tc>
        <w:tc>
          <w:tcPr>
            <w:tcW w:w="12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2015г. </w:t>
            </w:r>
          </w:p>
        </w:tc>
      </w:tr>
      <w:tr w:rsidR="002C0F56">
        <w:trPr>
          <w:trHeight w:val="562"/>
        </w:trPr>
        <w:tc>
          <w:tcPr>
            <w:tcW w:w="23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не требующие очистки </w:t>
            </w:r>
          </w:p>
        </w:tc>
        <w:tc>
          <w:tcPr>
            <w:tcW w:w="1309" w:type="dxa"/>
            <w:tcBorders>
              <w:top w:val="single" w:sz="4" w:space="0" w:color="000000"/>
              <w:left w:val="single" w:sz="4" w:space="0" w:color="000000"/>
              <w:bottom w:val="single" w:sz="4" w:space="0" w:color="000000"/>
              <w:right w:val="single" w:sz="6" w:space="0" w:color="000000"/>
            </w:tcBorders>
            <w:vAlign w:val="center"/>
          </w:tcPr>
          <w:p w:rsidR="002C0F56" w:rsidRDefault="00E67C6E">
            <w:pPr>
              <w:spacing w:after="0" w:line="259" w:lineRule="auto"/>
              <w:ind w:left="3" w:firstLine="0"/>
              <w:jc w:val="center"/>
            </w:pPr>
            <w:r>
              <w:rPr>
                <w:sz w:val="24"/>
              </w:rPr>
              <w:t xml:space="preserve">332 </w:t>
            </w:r>
          </w:p>
        </w:tc>
        <w:tc>
          <w:tcPr>
            <w:tcW w:w="1344" w:type="dxa"/>
            <w:tcBorders>
              <w:top w:val="single" w:sz="4" w:space="0" w:color="000000"/>
              <w:left w:val="single" w:sz="6"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345 </w:t>
            </w:r>
          </w:p>
        </w:tc>
        <w:tc>
          <w:tcPr>
            <w:tcW w:w="127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 w:firstLine="0"/>
              <w:jc w:val="center"/>
            </w:pPr>
            <w:r>
              <w:rPr>
                <w:sz w:val="24"/>
              </w:rPr>
              <w:t xml:space="preserve">317 </w:t>
            </w:r>
          </w:p>
        </w:tc>
        <w:tc>
          <w:tcPr>
            <w:tcW w:w="141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center"/>
            </w:pPr>
            <w:r>
              <w:rPr>
                <w:sz w:val="24"/>
              </w:rPr>
              <w:t xml:space="preserve">316 </w:t>
            </w:r>
          </w:p>
        </w:tc>
        <w:tc>
          <w:tcPr>
            <w:tcW w:w="127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sz w:val="24"/>
              </w:rPr>
              <w:t xml:space="preserve">246 </w:t>
            </w:r>
          </w:p>
        </w:tc>
      </w:tr>
      <w:tr w:rsidR="002C0F56">
        <w:trPr>
          <w:trHeight w:val="562"/>
        </w:trPr>
        <w:tc>
          <w:tcPr>
            <w:tcW w:w="23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нормативноочищенных </w:t>
            </w:r>
          </w:p>
        </w:tc>
        <w:tc>
          <w:tcPr>
            <w:tcW w:w="1309" w:type="dxa"/>
            <w:tcBorders>
              <w:top w:val="single" w:sz="4" w:space="0" w:color="000000"/>
              <w:left w:val="single" w:sz="4" w:space="0" w:color="000000"/>
              <w:bottom w:val="single" w:sz="4" w:space="0" w:color="000000"/>
              <w:right w:val="single" w:sz="6" w:space="0" w:color="000000"/>
            </w:tcBorders>
            <w:vAlign w:val="center"/>
          </w:tcPr>
          <w:p w:rsidR="002C0F56" w:rsidRDefault="00E67C6E">
            <w:pPr>
              <w:spacing w:after="0" w:line="259" w:lineRule="auto"/>
              <w:ind w:left="3" w:firstLine="0"/>
              <w:jc w:val="center"/>
            </w:pPr>
            <w:r>
              <w:rPr>
                <w:sz w:val="24"/>
              </w:rPr>
              <w:t xml:space="preserve">662 </w:t>
            </w:r>
          </w:p>
        </w:tc>
        <w:tc>
          <w:tcPr>
            <w:tcW w:w="1344" w:type="dxa"/>
            <w:tcBorders>
              <w:top w:val="single" w:sz="4" w:space="0" w:color="000000"/>
              <w:left w:val="single" w:sz="6"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666 </w:t>
            </w:r>
          </w:p>
        </w:tc>
        <w:tc>
          <w:tcPr>
            <w:tcW w:w="127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 w:firstLine="0"/>
              <w:jc w:val="center"/>
            </w:pPr>
            <w:r>
              <w:rPr>
                <w:sz w:val="24"/>
              </w:rPr>
              <w:t xml:space="preserve">654 </w:t>
            </w:r>
          </w:p>
        </w:tc>
        <w:tc>
          <w:tcPr>
            <w:tcW w:w="141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center"/>
            </w:pPr>
            <w:r>
              <w:rPr>
                <w:sz w:val="24"/>
              </w:rPr>
              <w:t xml:space="preserve">635 </w:t>
            </w:r>
          </w:p>
        </w:tc>
        <w:tc>
          <w:tcPr>
            <w:tcW w:w="127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sz w:val="24"/>
              </w:rPr>
              <w:t xml:space="preserve">618 </w:t>
            </w:r>
          </w:p>
        </w:tc>
      </w:tr>
      <w:tr w:rsidR="002C0F56">
        <w:trPr>
          <w:trHeight w:val="564"/>
        </w:trPr>
        <w:tc>
          <w:tcPr>
            <w:tcW w:w="23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недостаточно очищенных </w:t>
            </w:r>
          </w:p>
        </w:tc>
        <w:tc>
          <w:tcPr>
            <w:tcW w:w="1309" w:type="dxa"/>
            <w:tcBorders>
              <w:top w:val="single" w:sz="4" w:space="0" w:color="000000"/>
              <w:left w:val="single" w:sz="4" w:space="0" w:color="000000"/>
              <w:bottom w:val="single" w:sz="4" w:space="0" w:color="000000"/>
              <w:right w:val="single" w:sz="6" w:space="0" w:color="000000"/>
            </w:tcBorders>
            <w:vAlign w:val="center"/>
          </w:tcPr>
          <w:p w:rsidR="002C0F56" w:rsidRDefault="00E67C6E">
            <w:pPr>
              <w:spacing w:after="0" w:line="259" w:lineRule="auto"/>
              <w:ind w:left="3" w:firstLine="0"/>
              <w:jc w:val="center"/>
            </w:pPr>
            <w:r>
              <w:rPr>
                <w:sz w:val="24"/>
              </w:rPr>
              <w:t xml:space="preserve">6 </w:t>
            </w:r>
          </w:p>
        </w:tc>
        <w:tc>
          <w:tcPr>
            <w:tcW w:w="1344" w:type="dxa"/>
            <w:tcBorders>
              <w:top w:val="single" w:sz="4" w:space="0" w:color="000000"/>
              <w:left w:val="single" w:sz="6"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3 </w:t>
            </w:r>
          </w:p>
        </w:tc>
        <w:tc>
          <w:tcPr>
            <w:tcW w:w="127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 w:firstLine="0"/>
              <w:jc w:val="center"/>
            </w:pPr>
            <w:r>
              <w:rPr>
                <w:sz w:val="24"/>
              </w:rPr>
              <w:t xml:space="preserve">3 </w:t>
            </w:r>
          </w:p>
        </w:tc>
        <w:tc>
          <w:tcPr>
            <w:tcW w:w="141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center"/>
            </w:pPr>
            <w:r>
              <w:rPr>
                <w:sz w:val="24"/>
              </w:rPr>
              <w:t xml:space="preserve">3 </w:t>
            </w:r>
          </w:p>
        </w:tc>
        <w:tc>
          <w:tcPr>
            <w:tcW w:w="127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sz w:val="24"/>
              </w:rPr>
              <w:t xml:space="preserve">6 </w:t>
            </w:r>
          </w:p>
        </w:tc>
      </w:tr>
    </w:tbl>
    <w:p w:rsidR="002C0F56" w:rsidRDefault="00E67C6E">
      <w:pPr>
        <w:spacing w:after="0" w:line="259" w:lineRule="auto"/>
        <w:ind w:left="747" w:firstLine="0"/>
        <w:jc w:val="left"/>
      </w:pPr>
      <w:r>
        <w:t xml:space="preserve"> </w:t>
      </w:r>
    </w:p>
    <w:p w:rsidR="002C0F56" w:rsidRDefault="00E67C6E">
      <w:pPr>
        <w:spacing w:after="62"/>
        <w:ind w:left="165" w:right="873"/>
      </w:pPr>
      <w:r>
        <w:t xml:space="preserve">Качество воды пригодных водных объектов формируется под влиянием комплекса факторов природного и антропогенного происхождения. К группе факторов антропогенного воздействия относятся: </w:t>
      </w:r>
    </w:p>
    <w:p w:rsidR="002C0F56" w:rsidRDefault="00E67C6E">
      <w:pPr>
        <w:numPr>
          <w:ilvl w:val="0"/>
          <w:numId w:val="47"/>
        </w:numPr>
        <w:spacing w:after="12"/>
        <w:ind w:right="302"/>
      </w:pPr>
      <w:r>
        <w:t xml:space="preserve">сброс коммунально-бытовых и производственных сточных вод; </w:t>
      </w:r>
    </w:p>
    <w:p w:rsidR="002C0F56" w:rsidRDefault="00E67C6E">
      <w:pPr>
        <w:numPr>
          <w:ilvl w:val="0"/>
          <w:numId w:val="47"/>
        </w:numPr>
        <w:spacing w:after="12"/>
        <w:ind w:right="302"/>
      </w:pPr>
      <w:r>
        <w:t xml:space="preserve">вынос </w:t>
      </w:r>
      <w:r>
        <w:tab/>
        <w:t>загряз</w:t>
      </w:r>
      <w:r>
        <w:t xml:space="preserve">няющих </w:t>
      </w:r>
      <w:r>
        <w:tab/>
        <w:t xml:space="preserve">веществ </w:t>
      </w:r>
      <w:r>
        <w:tab/>
        <w:t xml:space="preserve">поверхностным </w:t>
      </w:r>
      <w:r>
        <w:tab/>
        <w:t xml:space="preserve">стоком </w:t>
      </w:r>
      <w:r>
        <w:tab/>
        <w:t xml:space="preserve">с </w:t>
      </w:r>
    </w:p>
    <w:p w:rsidR="002C0F56" w:rsidRDefault="00E67C6E">
      <w:pPr>
        <w:spacing w:after="62"/>
        <w:ind w:left="165" w:right="302" w:firstLine="0"/>
      </w:pPr>
      <w:r>
        <w:lastRenderedPageBreak/>
        <w:t xml:space="preserve">урбанизированных и сельскохозяйственных территорий; </w:t>
      </w:r>
    </w:p>
    <w:p w:rsidR="002C0F56" w:rsidRDefault="00E67C6E">
      <w:pPr>
        <w:numPr>
          <w:ilvl w:val="0"/>
          <w:numId w:val="47"/>
        </w:numPr>
        <w:ind w:right="302"/>
      </w:pPr>
      <w:r>
        <w:t xml:space="preserve">поступление загрязняющих веществ от рассредоточенных на водосборной площади бассейнов рек животноводческих комплексов, складов хранения ядохимикатов, </w:t>
      </w:r>
      <w:r>
        <w:t xml:space="preserve">минеральных удобрений, нефтепродуктов и других </w:t>
      </w:r>
    </w:p>
    <w:p w:rsidR="002C0F56" w:rsidRDefault="00E67C6E">
      <w:pPr>
        <w:spacing w:after="62"/>
        <w:ind w:left="165" w:right="302" w:firstLine="0"/>
      </w:pPr>
      <w:r>
        <w:t xml:space="preserve">экологически опасных объектов; </w:t>
      </w:r>
    </w:p>
    <w:p w:rsidR="002C0F56" w:rsidRDefault="00E67C6E">
      <w:pPr>
        <w:numPr>
          <w:ilvl w:val="0"/>
          <w:numId w:val="47"/>
        </w:numPr>
        <w:spacing w:after="12"/>
        <w:ind w:right="302"/>
      </w:pPr>
      <w:r>
        <w:t xml:space="preserve">выпадение загрязненных атмосферных осадков; </w:t>
      </w:r>
    </w:p>
    <w:p w:rsidR="002C0F56" w:rsidRDefault="00E67C6E">
      <w:pPr>
        <w:numPr>
          <w:ilvl w:val="0"/>
          <w:numId w:val="47"/>
        </w:numPr>
        <w:ind w:right="302"/>
      </w:pPr>
      <w:r>
        <w:t xml:space="preserve">трансграничный перенос загрязняющих веществ водным и воздушным путём. </w:t>
      </w:r>
    </w:p>
    <w:p w:rsidR="002C0F56" w:rsidRDefault="00E67C6E">
      <w:pPr>
        <w:ind w:left="165" w:right="867"/>
      </w:pPr>
      <w:r>
        <w:t>Данные таблицы показывают, что с каждым годом в Республике Б</w:t>
      </w:r>
      <w:r>
        <w:t>еларусь становится меньше водных объектов, не требующих очистки. По сравнению с 2011г. в 2015г. их число уменьшилось на 25,9%, нормативно – очищенных – на 6,6%. Число недостаточно очищенных объектов колеблется примерно на одном уровне, но с 2014г. по 2015г</w:t>
      </w:r>
      <w:r>
        <w:t xml:space="preserve">. этот показатель увеличился на 3 единицы [3]. </w:t>
      </w:r>
    </w:p>
    <w:p w:rsidR="002C0F56" w:rsidRDefault="00E67C6E">
      <w:pPr>
        <w:spacing w:after="5"/>
        <w:ind w:left="165" w:right="869"/>
      </w:pPr>
      <w:r>
        <w:t>Подземные воды в республике являются высококачественными, удовлетворяющие требованиям стандартов качества питьевых вод, широко распространены в Беларуси. Подземные воды характеризуются благоприятными условиям</w:t>
      </w:r>
      <w:r>
        <w:t xml:space="preserve">и формирования естественных ресурсов, обеспеченных инфильтрацией атмосферных осадков. Рассмотрим ресурсы подземных вод в Республике Беларусь по областям (таблица 2). </w:t>
      </w:r>
    </w:p>
    <w:p w:rsidR="002C0F56" w:rsidRDefault="00E67C6E">
      <w:pPr>
        <w:spacing w:after="6"/>
        <w:ind w:left="165" w:right="867"/>
      </w:pPr>
      <w:r>
        <w:t>Следует отметить, что наибольший удельный вес подземных естественных вод приходиться на М</w:t>
      </w:r>
      <w:r>
        <w:t>инскую, Витебскую и Гродненскую область, с разведанными запасами более 40-50 тыс. м</w:t>
      </w:r>
      <w:r>
        <w:rPr>
          <w:vertAlign w:val="superscript"/>
        </w:rPr>
        <w:t>3</w:t>
      </w:r>
      <w:r>
        <w:t xml:space="preserve">/сут. Соответственно 26%, 21,1% и 16,4%.   </w:t>
      </w:r>
    </w:p>
    <w:p w:rsidR="002C0F56" w:rsidRDefault="00E67C6E">
      <w:pPr>
        <w:spacing w:after="0"/>
        <w:ind w:left="165" w:right="865"/>
      </w:pPr>
      <w:r>
        <w:t>Таким образом, на основании проведенного исследования можно сделать вывод, что Республика Беларусь располагает достаточном объём</w:t>
      </w:r>
      <w:r>
        <w:t xml:space="preserve">ом водных ресурсов, необходимых для удовлетворения нужд населения. Основным источником водных ресурсов республики являются средние и крупные реки, вдоль которых концентрируется население и промышленность. </w:t>
      </w:r>
    </w:p>
    <w:p w:rsidR="002C0F56" w:rsidRDefault="00E67C6E">
      <w:pPr>
        <w:spacing w:after="0" w:line="259" w:lineRule="auto"/>
        <w:ind w:left="747" w:firstLine="0"/>
        <w:jc w:val="left"/>
      </w:pPr>
      <w:r>
        <w:t xml:space="preserve"> </w:t>
      </w:r>
    </w:p>
    <w:p w:rsidR="002C0F56" w:rsidRDefault="00E67C6E">
      <w:pPr>
        <w:spacing w:after="5" w:line="271" w:lineRule="auto"/>
        <w:ind w:left="3865" w:right="396" w:hanging="3005"/>
        <w:jc w:val="left"/>
      </w:pPr>
      <w:r>
        <w:rPr>
          <w:i/>
          <w:sz w:val="24"/>
        </w:rPr>
        <w:t xml:space="preserve">Таблица 2 – </w:t>
      </w:r>
      <w:r>
        <w:rPr>
          <w:b/>
          <w:sz w:val="24"/>
        </w:rPr>
        <w:t>Ресурсы подземных естественных вод в</w:t>
      </w:r>
      <w:r>
        <w:rPr>
          <w:b/>
          <w:sz w:val="24"/>
        </w:rPr>
        <w:t xml:space="preserve"> границах административных областей, тыс. м</w:t>
      </w:r>
      <w:r>
        <w:rPr>
          <w:b/>
          <w:sz w:val="24"/>
          <w:vertAlign w:val="superscript"/>
        </w:rPr>
        <w:t>3</w:t>
      </w:r>
      <w:r>
        <w:rPr>
          <w:b/>
          <w:sz w:val="24"/>
        </w:rPr>
        <w:t xml:space="preserve">/сут </w:t>
      </w:r>
    </w:p>
    <w:tbl>
      <w:tblPr>
        <w:tblStyle w:val="TableGrid"/>
        <w:tblW w:w="9573" w:type="dxa"/>
        <w:tblInd w:w="72" w:type="dxa"/>
        <w:tblCellMar>
          <w:top w:w="14" w:type="dxa"/>
          <w:left w:w="675" w:type="dxa"/>
          <w:bottom w:w="0" w:type="dxa"/>
          <w:right w:w="115" w:type="dxa"/>
        </w:tblCellMar>
        <w:tblLook w:val="04A0" w:firstRow="1" w:lastRow="0" w:firstColumn="1" w:lastColumn="0" w:noHBand="0" w:noVBand="1"/>
      </w:tblPr>
      <w:tblGrid>
        <w:gridCol w:w="4787"/>
        <w:gridCol w:w="4786"/>
      </w:tblGrid>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center"/>
            </w:pPr>
            <w:r>
              <w:rPr>
                <w:sz w:val="24"/>
              </w:rPr>
              <w:t xml:space="preserve">Области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 w:firstLine="0"/>
              <w:jc w:val="center"/>
            </w:pPr>
            <w:r>
              <w:rPr>
                <w:sz w:val="24"/>
              </w:rPr>
              <w:t xml:space="preserve">Ресурсы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Брестская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4339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Витебская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9198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Гомельская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5284 </w:t>
            </w:r>
          </w:p>
        </w:tc>
      </w:tr>
      <w:tr w:rsidR="002C0F56">
        <w:trPr>
          <w:trHeight w:val="288"/>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Гродненская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7158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Минская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11327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Могилевская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6254 </w:t>
            </w:r>
          </w:p>
        </w:tc>
      </w:tr>
      <w:tr w:rsidR="002C0F56">
        <w:trPr>
          <w:trHeight w:val="338"/>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По Беларуси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43560 </w:t>
            </w:r>
          </w:p>
        </w:tc>
      </w:tr>
    </w:tbl>
    <w:p w:rsidR="002C0F56" w:rsidRDefault="00E67C6E">
      <w:pPr>
        <w:spacing w:after="25" w:line="259" w:lineRule="auto"/>
        <w:ind w:left="747" w:firstLine="0"/>
        <w:jc w:val="left"/>
      </w:pPr>
      <w:r>
        <w:lastRenderedPageBreak/>
        <w:t xml:space="preserve"> </w:t>
      </w:r>
    </w:p>
    <w:p w:rsidR="002C0F56" w:rsidRDefault="00E67C6E">
      <w:pPr>
        <w:spacing w:after="15"/>
        <w:ind w:left="165" w:right="862"/>
      </w:pPr>
      <w:r>
        <w:t>В соответствии с Национальной стратегией устойчивого социальноэкономического развития Республики Беларусь на период до 2020 г. (НСУР2020) стратегическая цель в области сохранения водного потенциала страны состоит в повышении эффективности использования и у</w:t>
      </w:r>
      <w:r>
        <w:t>лучшении качества водных ресурсов, сбалансированных с потребностями общества и возможным изменением климата. Для реализации главных направлений управления водными ресурсами необходимо совершенствовать систему платного водопользования на основе эколого-экон</w:t>
      </w:r>
      <w:r>
        <w:t xml:space="preserve">омической оценки водных ресурсов; осуществлять внедрение прогрессивных энерго- и ресурсосберегающих технологий, обеспечивающих снижение удельного водопотребления и объема отведения сточных вод. </w:t>
      </w:r>
    </w:p>
    <w:p w:rsidR="002C0F56" w:rsidRDefault="00E67C6E">
      <w:pPr>
        <w:spacing w:after="95" w:line="259" w:lineRule="auto"/>
        <w:ind w:left="747" w:firstLine="0"/>
        <w:jc w:val="left"/>
      </w:pPr>
      <w:r>
        <w:rPr>
          <w:rFonts w:ascii="Tahoma" w:eastAsia="Tahoma" w:hAnsi="Tahoma" w:cs="Tahoma"/>
          <w:sz w:val="20"/>
        </w:rP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48"/>
        </w:numPr>
        <w:ind w:right="302"/>
      </w:pPr>
      <w:r>
        <w:t>Белорусский национальный технический ун</w:t>
      </w:r>
      <w:r>
        <w:t xml:space="preserve">иверситет [Электронный ресурс] / Водные ресурсы Республики Беларусь и их оценка. Режим </w:t>
      </w:r>
    </w:p>
    <w:p w:rsidR="002C0F56" w:rsidRDefault="00E67C6E">
      <w:pPr>
        <w:ind w:left="165" w:right="302" w:firstLine="0"/>
      </w:pPr>
      <w:r>
        <w:t xml:space="preserve">доступа:http://www.mybntu.com/general/ecology/vodnye-resursy-respublikibelarus-i-ix-ocenka.html. Дата доступа: 15.04.2017. </w:t>
      </w:r>
    </w:p>
    <w:p w:rsidR="002C0F56" w:rsidRDefault="00E67C6E">
      <w:pPr>
        <w:numPr>
          <w:ilvl w:val="0"/>
          <w:numId w:val="48"/>
        </w:numPr>
        <w:ind w:right="302"/>
      </w:pPr>
      <w:r>
        <w:t>Национальный статистический комитет [Электро</w:t>
      </w:r>
      <w:r>
        <w:t>нный ресурс] / Водопотребление:</w:t>
      </w:r>
      <w:r>
        <w:rPr>
          <w:color w:val="FFFFFF"/>
        </w:rPr>
        <w:t>_</w:t>
      </w:r>
      <w:r>
        <w:t xml:space="preserve">http://www.belstat.gov.by/ofitsialnayastatistika/makroekonomika-i-okruzhayushchaya-sreda/okruzhayuschayasreda/sovmestnaya-sistema-ekologicheskoi-informatsii2/c-vodnye-resursy/c-3vodopotreblenie/. Датадоступа: 18.04.2017. </w:t>
      </w:r>
    </w:p>
    <w:p w:rsidR="002C0F56" w:rsidRDefault="00E67C6E">
      <w:pPr>
        <w:numPr>
          <w:ilvl w:val="0"/>
          <w:numId w:val="48"/>
        </w:numPr>
        <w:ind w:right="302"/>
      </w:pPr>
      <w:r>
        <w:t>Пр</w:t>
      </w:r>
      <w:r>
        <w:t xml:space="preserve">облемы оценки ресурсов пресных подземных вод на территории </w:t>
      </w:r>
    </w:p>
    <w:p w:rsidR="002C0F56" w:rsidRDefault="00E67C6E">
      <w:pPr>
        <w:tabs>
          <w:tab w:val="center" w:pos="3153"/>
          <w:tab w:val="center" w:pos="5499"/>
          <w:tab w:val="center" w:pos="7386"/>
          <w:tab w:val="center" w:pos="9306"/>
        </w:tabs>
        <w:ind w:left="0" w:firstLine="0"/>
        <w:jc w:val="left"/>
      </w:pPr>
      <w:r>
        <w:t xml:space="preserve">Беларуси </w:t>
      </w:r>
      <w:r>
        <w:tab/>
        <w:t xml:space="preserve">[Электронный </w:t>
      </w:r>
      <w:r>
        <w:tab/>
        <w:t xml:space="preserve">ресурс]. </w:t>
      </w:r>
      <w:r>
        <w:tab/>
        <w:t xml:space="preserve">Режим </w:t>
      </w:r>
      <w:r>
        <w:tab/>
        <w:t xml:space="preserve">доступа: </w:t>
      </w:r>
    </w:p>
    <w:p w:rsidR="002C0F56" w:rsidRDefault="00E67C6E">
      <w:pPr>
        <w:ind w:left="165" w:right="302" w:firstLine="0"/>
      </w:pPr>
      <w:r>
        <w:t xml:space="preserve">http://elib.bsu.by/bitstream/123456789/113139/1. Дата доступа: 18.04.2017 </w:t>
      </w:r>
      <w:r>
        <w:rPr>
          <w:b/>
        </w:rPr>
        <w:t xml:space="preserve">Воронина А.В. </w:t>
      </w:r>
    </w:p>
    <w:p w:rsidR="002C0F56" w:rsidRDefault="00E67C6E">
      <w:pPr>
        <w:spacing w:after="11" w:line="270" w:lineRule="auto"/>
        <w:ind w:left="10" w:right="862" w:hanging="10"/>
        <w:jc w:val="right"/>
      </w:pPr>
      <w:r>
        <w:t xml:space="preserve">Научный руководитель: Разуваева Е. Б. </w:t>
      </w:r>
    </w:p>
    <w:p w:rsidR="002C0F56" w:rsidRDefault="00E67C6E">
      <w:pPr>
        <w:spacing w:after="0" w:line="267" w:lineRule="auto"/>
        <w:ind w:left="905" w:right="860" w:hanging="10"/>
        <w:jc w:val="right"/>
      </w:pPr>
      <w:r>
        <w:rPr>
          <w:i/>
        </w:rPr>
        <w:t xml:space="preserve">Стерлитамакский филиал Башкирского государственного университета </w:t>
      </w:r>
    </w:p>
    <w:p w:rsidR="002C0F56" w:rsidRDefault="00E67C6E">
      <w:pPr>
        <w:spacing w:after="0" w:line="259" w:lineRule="auto"/>
        <w:ind w:left="744" w:firstLine="0"/>
        <w:jc w:val="left"/>
      </w:pPr>
      <w:r>
        <w:rPr>
          <w:i/>
        </w:rPr>
        <w:t xml:space="preserve"> </w:t>
      </w:r>
    </w:p>
    <w:p w:rsidR="002C0F56" w:rsidRDefault="00E67C6E">
      <w:pPr>
        <w:pStyle w:val="1"/>
        <w:ind w:left="700" w:right="1378"/>
      </w:pPr>
      <w:r>
        <w:t xml:space="preserve">ИСТОРИЧЕСКИ СЛОЖИВШИЕСЯ ЭТАПЫ СТАНОВЛЕНИЯ </w:t>
      </w:r>
    </w:p>
    <w:p w:rsidR="002C0F56" w:rsidRDefault="00E67C6E">
      <w:pPr>
        <w:pStyle w:val="1"/>
        <w:ind w:left="700" w:right="1378"/>
      </w:pPr>
      <w:r>
        <w:t xml:space="preserve">СТАТИСТИЧЕСКИХ МЕТОДОВ </w:t>
      </w:r>
    </w:p>
    <w:p w:rsidR="002C0F56" w:rsidRDefault="00E67C6E">
      <w:pPr>
        <w:spacing w:after="0" w:line="259" w:lineRule="auto"/>
        <w:ind w:left="744" w:firstLine="0"/>
        <w:jc w:val="left"/>
      </w:pPr>
      <w:r>
        <w:t xml:space="preserve"> </w:t>
      </w:r>
    </w:p>
    <w:p w:rsidR="002C0F56" w:rsidRDefault="00E67C6E">
      <w:pPr>
        <w:spacing w:after="7"/>
        <w:ind w:left="165" w:right="867"/>
      </w:pPr>
      <w:r>
        <w:t>Статистические методы широко и успешно применяются практически во всех отраслях народного хозяйства и научных исследова</w:t>
      </w:r>
      <w:r>
        <w:t>ний. Без статистических методов невозможно выполнить анализ данных как на уровне предприятия, так и на макроуровне. К статистическим методам относят - статистическое наблюдение, расчеты средних величин, ряды динамики, сводка и группировка экономических пок</w:t>
      </w:r>
      <w:r>
        <w:t xml:space="preserve">азателей по определенным признакам, расчет индексов, </w:t>
      </w:r>
      <w:r>
        <w:lastRenderedPageBreak/>
        <w:t xml:space="preserve">графические методы и др. Но интерес представляет информация о истории становления этих методов. </w:t>
      </w:r>
    </w:p>
    <w:p w:rsidR="002C0F56" w:rsidRDefault="00E67C6E">
      <w:pPr>
        <w:ind w:left="165" w:right="870"/>
      </w:pPr>
      <w:r>
        <w:t>Самая ранняя из известных нам статистических работ входит в Библию. В Ветхий Завет включена Четвертая книг</w:t>
      </w:r>
      <w:r>
        <w:t>а Моисеева под названием «Числа». Глава 1 этой книги посвящена переписи военнообязанных. Древность исследования проявляется только в том, что стандартные описания результатов учета военнообязанных по коленам выражены словами. Сейчас мы представили бы резул</w:t>
      </w:r>
      <w:r>
        <w:t xml:space="preserve">ьтаты в виде таблицы, которые постоянно составляют органы государственной статистики в настоящее время. Так, при сравнении с деятельностью Росстата описанное в Библии исследование является вполне современным по своим задачам и методам. </w:t>
      </w:r>
    </w:p>
    <w:p w:rsidR="002C0F56" w:rsidRDefault="00E67C6E">
      <w:pPr>
        <w:spacing w:after="3"/>
        <w:ind w:left="165" w:right="866"/>
      </w:pPr>
      <w:r>
        <w:t>Впервые термин «ста</w:t>
      </w:r>
      <w:r>
        <w:t>тистик» мы находим в художественной литературе – в «Гамлете» Шекспира. Смысл слова - знать, придворные. В течении следующих 400 с небольшим лет термин «статистика» понимали и понимают по-разному. Вначале под статистикой понимали описание экономического и п</w:t>
      </w:r>
      <w:r>
        <w:t>олитического состояния государства или его части. Однако постепенно термин «статистика» стал использоваться более широко. В ХХ в. статистику часто рассматривают прежде всего, как самостоятельную научную дисциплину. «Статистика есть совокупность методов и п</w:t>
      </w:r>
      <w:r>
        <w:t>ринципов, согласно которым проводится сбор, анализ, сравнение, представление и интерпретация числовых данных».  Термин «статистика» употребляют еще в двух смыслах. Во-первых, в обиходе под «статистикой» часто понимают набор количественных данных о каком-ли</w:t>
      </w:r>
      <w:r>
        <w:t xml:space="preserve">бо явлении или процессе. Во-вторых, специалисты в области статистических методов называют «статистикой» функцию от результатов наблюдений, используемую для оценивания характеристик параметров распределений и проверки гипотез. </w:t>
      </w:r>
    </w:p>
    <w:p w:rsidR="002C0F56" w:rsidRDefault="00E67C6E">
      <w:pPr>
        <w:ind w:left="165" w:right="871"/>
      </w:pPr>
      <w:r>
        <w:t xml:space="preserve">Чтобы подойти к современному </w:t>
      </w:r>
      <w:r>
        <w:t xml:space="preserve">состоянию, в частности, разъяснить широко используемый термин «прикладная статистика», кратко рассмотрим историю реальных статистических работ.  </w:t>
      </w:r>
    </w:p>
    <w:p w:rsidR="002C0F56" w:rsidRDefault="00E67C6E">
      <w:pPr>
        <w:spacing w:after="0"/>
        <w:ind w:left="165" w:right="873"/>
      </w:pPr>
      <w:r>
        <w:t>Сразу после возникновения теории вероятностей (Паскаль, Ферма, 17 век) вероятностные модели стали использоваться при обработке статистических данных. Например, изучалась частота рождения мальчиков и девочек, было установлено отличие вероятности рождения ма</w:t>
      </w:r>
      <w:r>
        <w:t xml:space="preserve">льчика от 1/2 и т.д. Имеется достаточно много публикаций по истории теории вероятностей с описанием раннего этапа развития статистических методов исследований, к лучшим из них относится очерк [1].  </w:t>
      </w:r>
    </w:p>
    <w:p w:rsidR="002C0F56" w:rsidRDefault="00E67C6E">
      <w:pPr>
        <w:spacing w:after="2"/>
        <w:ind w:left="165" w:right="871"/>
      </w:pPr>
      <w:r>
        <w:t xml:space="preserve">В 1794 г. К.Гаусс разработал метод наименьших квадратов, </w:t>
      </w:r>
      <w:r>
        <w:t xml:space="preserve">один из наиболее популярных ныне статистических методов, и применил его при расчете орбиты астероида Церера - для борьбы с ошибками астрономических </w:t>
      </w:r>
      <w:r>
        <w:lastRenderedPageBreak/>
        <w:t xml:space="preserve">наблюдений [2]. В Х1Х веке заметный вклад в развитие практической статистики внес бельгиец Кетле, на основе </w:t>
      </w:r>
      <w:r>
        <w:t xml:space="preserve">анализа большого числа реальных данных показавший устойчивость относительных статистических показателей, таких, как доля самоубийств среди всех смертей [3].  </w:t>
      </w:r>
    </w:p>
    <w:p w:rsidR="002C0F56" w:rsidRDefault="00E67C6E">
      <w:pPr>
        <w:spacing w:after="0"/>
        <w:ind w:left="165" w:right="865"/>
      </w:pPr>
      <w:r>
        <w:t>Современный этап развития статистических методов можно отсчитывать с 1900 г., когда англичанин К.</w:t>
      </w:r>
      <w:r>
        <w:t xml:space="preserve"> Пирсон основал журнал «</w:t>
      </w:r>
      <w:r>
        <w:rPr>
          <w:i/>
        </w:rPr>
        <w:t>Biometrika</w:t>
      </w:r>
      <w:r>
        <w:t>». Первая треть ХХ в. прошла под знаком параметрической статистики. Изучались методы, основанные на анализе данных из параметрических семейств распределений, описываемых кривыми семейства Пирсона. В те годы были предложены</w:t>
      </w:r>
      <w:r>
        <w:t xml:space="preserve"> метод максимального правдоподобия, дисперсионный анализ, сформулированы основные идеи планирования эксперимента. С математической точки зрения параметрическая статистика дает интересные теоретические схемы, на основе которых удается построить развитую тео</w:t>
      </w:r>
      <w:r>
        <w:t>рию.  Критика параметрической статистики вытекает из ее оторванности от практики статистической работы. Как правило, нельзя указать каких- либо веских причин, по которым распределение результатов конкретных наблюдений непременно должно входить в то или ино</w:t>
      </w:r>
      <w:r>
        <w:t xml:space="preserve">е параметрическое семейство. Однако эта теория до сих пор остается основой преподавания статистических методов и продолжает использоваться основной массой прикладников, использующих статистические методы в различных отраслях народного хозяйства и областях </w:t>
      </w:r>
      <w:r>
        <w:t xml:space="preserve">науки, но далеких от новых достижений в статистической науке. </w:t>
      </w:r>
    </w:p>
    <w:p w:rsidR="002C0F56" w:rsidRDefault="00E67C6E">
      <w:pPr>
        <w:spacing w:after="12"/>
        <w:ind w:left="165" w:right="866"/>
      </w:pPr>
      <w:r>
        <w:t>Статистические методы, которые не основаны на нереалистическом предположении о том, что рассматриваемые выборки взяты из распределений, описываемых одним параметром или небольшим числом парамет</w:t>
      </w:r>
      <w:r>
        <w:t>ров (2 – 4), называют непараметрическими. Примерами являются критерии Колмогорова,  Смирнова,  Реньи, Вилкоксона,   омега-квадрат [4], предназначенные для проверки гипотез согласия и однородности и разработанные в 30-е – 40- е годах ХХ в. История непарамет</w:t>
      </w:r>
      <w:r>
        <w:t xml:space="preserve">рических коэффициентов корреляции Спирмена и Кендалла уходит корнями в работы начала ХХ в. В 50-х годах с известной работы Н.В. Смирнова началась разработка методов непараметрического оценивания плотности. </w:t>
      </w:r>
    </w:p>
    <w:p w:rsidR="002C0F56" w:rsidRDefault="00E67C6E">
      <w:pPr>
        <w:ind w:left="165" w:right="302"/>
      </w:pPr>
      <w:r>
        <w:t xml:space="preserve">Во второй половине ХХ в. появились новые области </w:t>
      </w:r>
      <w:r>
        <w:t xml:space="preserve">статистических методов – робастная статистика, компьютерное статистическое моделирование, статистика нечисловых и интервальных данных. Эти области активно развиваются и в настоящее время. </w:t>
      </w:r>
    </w:p>
    <w:p w:rsidR="002C0F56" w:rsidRDefault="00E67C6E">
      <w:pPr>
        <w:ind w:left="165" w:right="302"/>
      </w:pPr>
      <w:r>
        <w:t>Иные причины привели к появлению и распространению прикладной стати</w:t>
      </w:r>
      <w:r>
        <w:t xml:space="preserve">стики.  </w:t>
      </w:r>
    </w:p>
    <w:p w:rsidR="002C0F56" w:rsidRDefault="00E67C6E">
      <w:pPr>
        <w:spacing w:after="7"/>
        <w:ind w:left="165" w:right="866"/>
      </w:pPr>
      <w:r>
        <w:t xml:space="preserve">В нашей стране термин «прикладная статистика» вошел в широкое употребление в 1981 г. после выхода массовым тиражом сборника </w:t>
      </w:r>
      <w:r>
        <w:lastRenderedPageBreak/>
        <w:t>«Современные проблемы кибернетики (прикладная статистика)». В этом сборнике обосновывалась трехкомпонентная структура прикл</w:t>
      </w:r>
      <w:r>
        <w:t xml:space="preserve">адной статистики [5]. Во-первых, в нее входят ориентированные на прикладную деятельность статистические методы анализа данных. Однако прикладную статистику нельзя целиком относить к математике. Она включает в себя две внематематические области. Во-первых, </w:t>
      </w:r>
      <w:r>
        <w:t>методологию организации статистического исследования: как планировать исследование, как собирать данные, как подготавливать данные к обработке, какие вероятностно-статистические модели использовать, какие статистические методы выбирать для обработки данных</w:t>
      </w:r>
      <w:r>
        <w:t xml:space="preserve">, как представлять результаты. Во-вторых, организацию компьютерной обработки данных, в том числе разработку и использование баз данных и электронных таблиц, статистических программных продуктов, например, диалоговых систем анализа данных. </w:t>
      </w:r>
    </w:p>
    <w:p w:rsidR="002C0F56" w:rsidRDefault="00E67C6E">
      <w:pPr>
        <w:spacing w:after="0"/>
        <w:ind w:left="165" w:right="871"/>
      </w:pPr>
      <w:r>
        <w:t>В настоящее врем</w:t>
      </w:r>
      <w:r>
        <w:t>я статистическая обработка данных проводится с помощью соответствующих программных продуктов. Разрыв между математической и прикладной статистикой проявляется, в частности, в том, что большинство методов, включенных в статистические пакеты программ, даже н</w:t>
      </w:r>
      <w:r>
        <w:t xml:space="preserve">е упоминается в учебниках по математической статистике.  </w:t>
      </w:r>
    </w:p>
    <w:p w:rsidR="002C0F56" w:rsidRDefault="00E67C6E">
      <w:pPr>
        <w:spacing w:after="3"/>
        <w:ind w:left="165" w:right="872"/>
      </w:pPr>
      <w:r>
        <w:t>Методы прикладной статистики используются в зарубежных и отечественных экономических и технических исследованиях, работах по управлению, в медицине, социологии, психологии, истории, геологии и други</w:t>
      </w:r>
      <w:r>
        <w:t xml:space="preserve">х областях. Их применение дает заметный экономический эффект.  </w:t>
      </w:r>
    </w:p>
    <w:p w:rsidR="002C0F56" w:rsidRDefault="00E67C6E">
      <w:pPr>
        <w:spacing w:after="0"/>
        <w:ind w:left="165" w:right="870"/>
      </w:pPr>
      <w:r>
        <w:t>Своеобразие исторического пути России привело к тому, что в нашей стране нет специализированного научного журнала по статистическим методам. Однако необходимо констатировать, что для большинст</w:t>
      </w:r>
      <w:r>
        <w:t xml:space="preserve">ва менеджеров, экономистов и инженеров, прикладная статистика и другие статистические методы являются пока экзотикой. Это объясняется тем, что в высших учебных заведениях современным статистическим методам почти не учат.  </w:t>
      </w:r>
    </w:p>
    <w:p w:rsidR="002C0F56" w:rsidRDefault="00E67C6E">
      <w:pPr>
        <w:spacing w:after="0"/>
        <w:ind w:left="165" w:right="888"/>
      </w:pPr>
      <w:r>
        <w:t>На сегодняшний день в вузовских п</w:t>
      </w:r>
      <w:r>
        <w:t>рограммах обычно есть два курса, связанных со статистическими методами. Один из них – «Теория вероятностей и математическая статистика». Этот небольшой курс обычно читают специалисты с математических кафедр. Они успевают дать лишь общее представление об ос</w:t>
      </w:r>
      <w:r>
        <w:t>новных понятиях математической статистики первой половины ХХ в. Кроме того, внимание математиков обычно сосредоточено на внутриматематических проблемах, их больше интересует доказательства теорем, а не применение современных статистических методов в задача</w:t>
      </w:r>
      <w:r>
        <w:t xml:space="preserve">х экономики и менеджмента. Другой курс </w:t>
      </w:r>
    </w:p>
    <w:p w:rsidR="002C0F56" w:rsidRDefault="00E67C6E">
      <w:pPr>
        <w:spacing w:after="10"/>
        <w:ind w:left="165" w:right="874"/>
      </w:pPr>
      <w:r>
        <w:lastRenderedPageBreak/>
        <w:t xml:space="preserve">– «Статистика», входящий в стандартный блок экономических дисциплин. Фактически он является введением в прикладную статистику и содержит первые начала эконометрических методов. </w:t>
      </w:r>
    </w:p>
    <w:p w:rsidR="002C0F56" w:rsidRDefault="00E67C6E">
      <w:pPr>
        <w:spacing w:after="10"/>
        <w:ind w:left="165" w:right="874"/>
      </w:pPr>
      <w:r>
        <w:t>Статистические методы как учебный пред</w:t>
      </w:r>
      <w:r>
        <w:t xml:space="preserve">мет опираются на два названных вводных курса. Она призвана вооружить специалиста современным статистическим инструментарием. </w:t>
      </w:r>
    </w:p>
    <w:p w:rsidR="002C0F56" w:rsidRDefault="00E67C6E">
      <w:pPr>
        <w:spacing w:after="5" w:line="268" w:lineRule="auto"/>
        <w:ind w:left="165" w:right="868" w:firstLine="554"/>
        <w:jc w:val="left"/>
      </w:pPr>
      <w:r>
        <w:t>В завершение можно сказать, что развитие статистических методов активно продолжается и в настоящее время. В XXI в. выявлена и сформулирована новая парадигма математической статистики [6], развивается статистика нечисловых данных [7], включая теорию классиф</w:t>
      </w:r>
      <w:r>
        <w:t xml:space="preserve">икации и статистику интервальных данных, развита системная нечеткая интервальная математика и на ее основе – теория когнитивных функций и т.д. Список литературы: </w:t>
      </w:r>
    </w:p>
    <w:p w:rsidR="002C0F56" w:rsidRDefault="00E67C6E">
      <w:pPr>
        <w:numPr>
          <w:ilvl w:val="0"/>
          <w:numId w:val="49"/>
        </w:numPr>
        <w:ind w:right="539"/>
      </w:pPr>
      <w:r>
        <w:t xml:space="preserve">Гнеденко Б.В. Очерк по истории теории вероятностей. – М.:УРСС, 2001. – 88 с. </w:t>
      </w:r>
    </w:p>
    <w:p w:rsidR="002C0F56" w:rsidRDefault="00E67C6E">
      <w:pPr>
        <w:numPr>
          <w:ilvl w:val="0"/>
          <w:numId w:val="49"/>
        </w:numPr>
        <w:ind w:right="539"/>
      </w:pPr>
      <w:r>
        <w:t>Клейн Ф. Лекции</w:t>
      </w:r>
      <w:r>
        <w:t xml:space="preserve"> о развитии математики в ХIХ столетии. Часть I. – М.Л.: Объединенное научно-техническое издательство НКТП СССР, 1937. – 432 с. </w:t>
      </w:r>
    </w:p>
    <w:p w:rsidR="002C0F56" w:rsidRDefault="00E67C6E">
      <w:pPr>
        <w:numPr>
          <w:ilvl w:val="0"/>
          <w:numId w:val="49"/>
        </w:numPr>
        <w:ind w:right="539"/>
      </w:pPr>
      <w:r>
        <w:t xml:space="preserve">Плошко Б.Г., Елисеева И.И. История статистики: Учебное пособие. – М.: Финансы и статистика. 1990. – 295 с. </w:t>
      </w:r>
    </w:p>
    <w:p w:rsidR="002C0F56" w:rsidRDefault="00E67C6E">
      <w:pPr>
        <w:numPr>
          <w:ilvl w:val="0"/>
          <w:numId w:val="49"/>
        </w:numPr>
        <w:ind w:right="539"/>
      </w:pPr>
      <w:r>
        <w:t xml:space="preserve">Большев Л.Н., Смирнов Н.В. Таблицы математической статистики. –  М.: Наука, 1965 (1-е изд.), 1968 (2-е изд.), 1983 (3-е изд.). </w:t>
      </w:r>
    </w:p>
    <w:p w:rsidR="002C0F56" w:rsidRDefault="00E67C6E">
      <w:pPr>
        <w:numPr>
          <w:ilvl w:val="0"/>
          <w:numId w:val="49"/>
        </w:numPr>
        <w:ind w:right="539"/>
      </w:pPr>
      <w:r>
        <w:t>Орлов А.И. О развитии прикладной статистики. - В сб.: Современные проблемы кибернетики (прикладная статистика). – М.: Знание, 19</w:t>
      </w:r>
      <w:r>
        <w:t xml:space="preserve">81. – С.3-14. </w:t>
      </w:r>
    </w:p>
    <w:p w:rsidR="002C0F56" w:rsidRDefault="00E67C6E">
      <w:pPr>
        <w:numPr>
          <w:ilvl w:val="0"/>
          <w:numId w:val="49"/>
        </w:numPr>
        <w:spacing w:after="9"/>
        <w:ind w:right="539"/>
      </w:pPr>
      <w:r>
        <w:t>Орлов А.И. Основные черты новой парадигмы математической статистики // Политематический сетевой электронный научный журнал Кубанского государственного аграрного университета (Научный журнал КубГАУ) [Электронный ресурс]. – http://ej.kubagro.r</w:t>
      </w:r>
      <w:r>
        <w:t>u/2013/06/pdf/13.pdf. 7.</w:t>
      </w:r>
      <w:r>
        <w:rPr>
          <w:rFonts w:ascii="Arial" w:eastAsia="Arial" w:hAnsi="Arial" w:cs="Arial"/>
        </w:rPr>
        <w:t xml:space="preserve"> </w:t>
      </w:r>
      <w:r>
        <w:t xml:space="preserve">Орлов А.И. О развитии статистики объектов нечисловой природы / А.И. Орлов // Политематический сетевой электронный научный журнал Кубанского государственного аграрного университета (Научный журнал КубГАУ) </w:t>
      </w:r>
    </w:p>
    <w:p w:rsidR="002C0F56" w:rsidRDefault="00E67C6E">
      <w:pPr>
        <w:spacing w:after="12"/>
        <w:ind w:left="165" w:right="302" w:firstLine="0"/>
      </w:pPr>
      <w:r>
        <w:t>[Электронный ресурс]. –htt</w:t>
      </w:r>
      <w:r>
        <w:t xml:space="preserve">p://ej.kubagro.ru/2013/09/pdf/19.pdf </w:t>
      </w:r>
    </w:p>
    <w:p w:rsidR="002C0F56" w:rsidRDefault="00E67C6E">
      <w:pPr>
        <w:spacing w:after="28" w:line="259" w:lineRule="auto"/>
        <w:ind w:left="744" w:firstLine="0"/>
        <w:jc w:val="left"/>
      </w:pPr>
      <w:r>
        <w:t xml:space="preserve"> </w:t>
      </w:r>
    </w:p>
    <w:p w:rsidR="002C0F56" w:rsidRDefault="00E67C6E">
      <w:pPr>
        <w:pStyle w:val="1"/>
        <w:spacing w:after="85" w:line="259" w:lineRule="auto"/>
        <w:ind w:right="856"/>
        <w:jc w:val="right"/>
      </w:pPr>
      <w:r>
        <w:t xml:space="preserve">Воянец М.В. </w:t>
      </w:r>
      <w:r>
        <w:rPr>
          <w:b w:val="0"/>
        </w:rPr>
        <w:t xml:space="preserve">Научный руководитель: </w:t>
      </w:r>
      <w:r>
        <w:rPr>
          <w:sz w:val="32"/>
        </w:rPr>
        <w:t xml:space="preserve">Куликовская Е.В.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32" w:line="259" w:lineRule="auto"/>
        <w:ind w:left="744" w:firstLine="0"/>
        <w:jc w:val="left"/>
      </w:pPr>
      <w:r>
        <w:t xml:space="preserve"> </w:t>
      </w:r>
    </w:p>
    <w:p w:rsidR="002C0F56" w:rsidRDefault="00E67C6E">
      <w:pPr>
        <w:pStyle w:val="1"/>
        <w:ind w:left="700" w:right="1379"/>
      </w:pPr>
      <w:r>
        <w:lastRenderedPageBreak/>
        <w:t xml:space="preserve">ОПТИМИЗАЦИЯ УПРАВЛЕНИЯ ЗАТРАТАМИ ПРЕДПРИЯТИЯ </w:t>
      </w:r>
    </w:p>
    <w:p w:rsidR="002C0F56" w:rsidRDefault="00E67C6E">
      <w:pPr>
        <w:spacing w:after="0"/>
        <w:ind w:left="165" w:right="872"/>
      </w:pPr>
      <w:r>
        <w:t>Современные тенденции развития экономических отношений, обусловленные нестабильностью финансовых рынков и усилением конкуренции, существенным образом влияют на выбор методов борьбы за повышение доходности компаний. В качестве конкурентного преимущества мно</w:t>
      </w:r>
      <w:r>
        <w:t xml:space="preserve">гие коммерческие организации выбирают стратегию сосредоточения на издержках, что требует применения принципиально новых подходов к управлению. </w:t>
      </w:r>
    </w:p>
    <w:p w:rsidR="002C0F56" w:rsidRDefault="00E67C6E">
      <w:pPr>
        <w:ind w:left="165" w:right="873"/>
      </w:pPr>
      <w:r>
        <w:t>Управление затратами как средство достижения высокого экономического результата включает в себя их учет и контро</w:t>
      </w:r>
      <w:r>
        <w:t xml:space="preserve">ль, калькулирование и бюджетирование — процессы, которые осуществляются в тесной интеграции и взаимообусловленности [1, с.8]. </w:t>
      </w:r>
    </w:p>
    <w:p w:rsidR="002C0F56" w:rsidRDefault="00E67C6E">
      <w:pPr>
        <w:ind w:left="165" w:right="870"/>
      </w:pPr>
      <w:r>
        <w:t xml:space="preserve">Практически перед каждым предприятием стоит задача получить максимальную прибыль для своих акционеров и собственников. Решить ее </w:t>
      </w:r>
      <w:r>
        <w:t xml:space="preserve">можно двумя способами: наращивать объемы продаж либо сокращать затраты. Принимая во внимание жесткую конкуренцию на рынке и ограниченный спрос, второй вариант представляется более предпочтительным. </w:t>
      </w:r>
    </w:p>
    <w:p w:rsidR="002C0F56" w:rsidRDefault="00E67C6E">
      <w:pPr>
        <w:ind w:left="165" w:right="871"/>
      </w:pPr>
      <w:r>
        <w:t>Цель любой оптимизации – повышение эффективности работы о</w:t>
      </w:r>
      <w:r>
        <w:t xml:space="preserve">рганизации, а не просто снижение затрат. Сокращение затрат неотделимо от понятия «рентабельность затрат». </w:t>
      </w:r>
    </w:p>
    <w:p w:rsidR="002C0F56" w:rsidRDefault="00E67C6E">
      <w:pPr>
        <w:ind w:left="744" w:right="302" w:firstLine="0"/>
      </w:pPr>
      <w:r>
        <w:t xml:space="preserve">Существует три основных модели повышения эффективности затрат: </w:t>
      </w:r>
    </w:p>
    <w:p w:rsidR="002C0F56" w:rsidRDefault="00E67C6E">
      <w:pPr>
        <w:ind w:left="165" w:right="866"/>
      </w:pPr>
      <w:r>
        <w:t>−</w:t>
      </w:r>
      <w:r>
        <w:rPr>
          <w:rFonts w:ascii="Arial" w:eastAsia="Arial" w:hAnsi="Arial" w:cs="Arial"/>
        </w:rPr>
        <w:t xml:space="preserve"> </w:t>
      </w:r>
      <w:r>
        <w:t>«чистое» снижение затрат – снижение издержек за счет избавления от непроизводительн</w:t>
      </w:r>
      <w:r>
        <w:t xml:space="preserve">ых затрат. Основная экономия идет за счет постоянных затрат. Эффективно в случае «ожирения» компании; </w:t>
      </w:r>
    </w:p>
    <w:p w:rsidR="002C0F56" w:rsidRDefault="00E67C6E">
      <w:pPr>
        <w:ind w:left="165" w:right="867"/>
      </w:pPr>
      <w:r>
        <w:t>−</w:t>
      </w:r>
      <w:r>
        <w:rPr>
          <w:rFonts w:ascii="Arial" w:eastAsia="Arial" w:hAnsi="Arial" w:cs="Arial"/>
        </w:rPr>
        <w:t xml:space="preserve"> </w:t>
      </w:r>
      <w:r>
        <w:t xml:space="preserve">«интенсификация» затрат – происходит некоторое увеличение издержек, но при этом более существенно увеличивается и выручка от реализации продукции. Как </w:t>
      </w:r>
      <w:r>
        <w:t xml:space="preserve">правило, это происходит при внедрении нового оборудования, технологий, которые увеличивают производительность оборудования, а следовательно, и выручку. Эффективно для развивающихся компаний на развивающихся рынках; </w:t>
      </w:r>
    </w:p>
    <w:p w:rsidR="002C0F56" w:rsidRDefault="00E67C6E">
      <w:pPr>
        <w:spacing w:after="0"/>
        <w:ind w:left="165" w:right="868"/>
      </w:pPr>
      <w:r>
        <w:t>−</w:t>
      </w:r>
      <w:r>
        <w:rPr>
          <w:rFonts w:ascii="Arial" w:eastAsia="Arial" w:hAnsi="Arial" w:cs="Arial"/>
        </w:rPr>
        <w:t xml:space="preserve"> </w:t>
      </w:r>
      <w:r>
        <w:t>«фиксация» затрат – когда при увеличен</w:t>
      </w:r>
      <w:r>
        <w:t>ии выручки от реализации продукции затраты не увеличиваются. Как правило, это либо увеличение цены на продукцию, либо равноценное увеличение производительных затрат и снижение непроизводительных. Эффективно для «выносливых» компаний, т. е. использующих бер</w:t>
      </w:r>
      <w:r>
        <w:t xml:space="preserve">ежливое производство [2]. </w:t>
      </w:r>
    </w:p>
    <w:p w:rsidR="002C0F56" w:rsidRDefault="00E67C6E">
      <w:pPr>
        <w:spacing w:after="3"/>
        <w:ind w:left="165" w:right="868"/>
      </w:pPr>
      <w:r>
        <w:t>В реализации современных методов управления затратами белорусская практика рыночного периода существенно отстала от западной. В связи с этим возникает необходимость рассмотрения методов, составляющих ядро систем управления затрат</w:t>
      </w:r>
      <w:r>
        <w:t xml:space="preserve">ами на современном промышленном предприятии. </w:t>
      </w:r>
    </w:p>
    <w:p w:rsidR="002C0F56" w:rsidRDefault="00E67C6E">
      <w:pPr>
        <w:ind w:left="165" w:right="302"/>
      </w:pPr>
      <w:r>
        <w:lastRenderedPageBreak/>
        <w:t xml:space="preserve">Практика выработала ряд методов, которые используются для оптимизации затрат: </w:t>
      </w:r>
    </w:p>
    <w:p w:rsidR="002C0F56" w:rsidRDefault="00E67C6E">
      <w:pPr>
        <w:numPr>
          <w:ilvl w:val="0"/>
          <w:numId w:val="50"/>
        </w:numPr>
        <w:spacing w:after="12"/>
        <w:ind w:left="1598" w:right="302" w:hanging="854"/>
      </w:pPr>
      <w:r>
        <w:t xml:space="preserve">Метод применения носителей затрат. </w:t>
      </w:r>
    </w:p>
    <w:p w:rsidR="002C0F56" w:rsidRDefault="00E67C6E">
      <w:pPr>
        <w:spacing w:after="0"/>
        <w:ind w:left="165" w:right="872"/>
      </w:pPr>
      <w:r>
        <w:t>При использовании данного метода рассматриваются носители затрат, причины и факторы, влияющие н</w:t>
      </w:r>
      <w:r>
        <w:t xml:space="preserve">а величину затрат. Является наиболее простым методом. Анализ носителей затрат позволяет обосновать управленческие решения и проводить оптимизацию затрат. Поэтому подобные вопросы следует адресовать руководителям структурных подразделений предприятия.   </w:t>
      </w:r>
    </w:p>
    <w:p w:rsidR="002C0F56" w:rsidRDefault="00E67C6E">
      <w:pPr>
        <w:numPr>
          <w:ilvl w:val="0"/>
          <w:numId w:val="50"/>
        </w:numPr>
        <w:spacing w:after="12"/>
        <w:ind w:left="1598" w:right="302" w:hanging="854"/>
      </w:pPr>
      <w:r>
        <w:t>Пр</w:t>
      </w:r>
      <w:r>
        <w:t xml:space="preserve">именение закона Парето. </w:t>
      </w:r>
    </w:p>
    <w:p w:rsidR="002C0F56" w:rsidRDefault="00E67C6E">
      <w:pPr>
        <w:ind w:left="165" w:right="865"/>
      </w:pPr>
      <w:r>
        <w:t>В процессе применения этого метода выявляются наиболее важные, значимые статьи затрат, так как только по ним можно получить существенную экономию. Затем применяется закон Парето (правило 80/20): для получения 80% эффекта достаточно выявить и оптимизировать</w:t>
      </w:r>
      <w:r>
        <w:t xml:space="preserve"> статьи затрат составляющие наибольший удельный вес (20%). То есть для получения существенной экономии необходимо оптимизировать весомые затраты. </w:t>
      </w:r>
    </w:p>
    <w:p w:rsidR="002C0F56" w:rsidRDefault="00E67C6E">
      <w:pPr>
        <w:numPr>
          <w:ilvl w:val="0"/>
          <w:numId w:val="50"/>
        </w:numPr>
        <w:ind w:left="1598" w:right="302" w:hanging="854"/>
      </w:pPr>
      <w:r>
        <w:t xml:space="preserve">Сравнение затрат, построение диаграмм, бенчмаркинг. </w:t>
      </w:r>
    </w:p>
    <w:p w:rsidR="002C0F56" w:rsidRDefault="00E67C6E">
      <w:pPr>
        <w:ind w:left="165" w:right="302"/>
      </w:pPr>
      <w:r>
        <w:t>Бенчмаркинг (Benchmarking) – система оценки деятельности</w:t>
      </w:r>
      <w:r>
        <w:t xml:space="preserve"> предприятия при помощи сравнения с каким-либо подходящим аналогом. </w:t>
      </w:r>
    </w:p>
    <w:p w:rsidR="002C0F56" w:rsidRDefault="00E67C6E">
      <w:pPr>
        <w:spacing w:after="2"/>
        <w:ind w:left="165" w:right="872"/>
      </w:pPr>
      <w:r>
        <w:t>Анализ тенденций по диаграмме затрат предполагает изучение изменений затрат в прежние периоды, выявление важных и существенных затрат, их отклонений, причин и последующую разработку мер п</w:t>
      </w:r>
      <w:r>
        <w:t xml:space="preserve">о устранению причин возникновения отклонений. </w:t>
      </w:r>
    </w:p>
    <w:p w:rsidR="002C0F56" w:rsidRDefault="00E67C6E">
      <w:pPr>
        <w:numPr>
          <w:ilvl w:val="0"/>
          <w:numId w:val="50"/>
        </w:numPr>
        <w:spacing w:after="12"/>
        <w:ind w:left="1598" w:right="302" w:hanging="854"/>
      </w:pPr>
      <w:r>
        <w:t xml:space="preserve">АВС-метод (Activity Based Costing). </w:t>
      </w:r>
    </w:p>
    <w:p w:rsidR="002C0F56" w:rsidRDefault="00E67C6E">
      <w:pPr>
        <w:spacing w:after="0"/>
        <w:ind w:left="165" w:right="873"/>
      </w:pPr>
      <w:r>
        <w:t>Метод АВС позволяет предприятию с высокой степенью достоверности определять стоимость и производительность операций, оценивать эффективность использования ресурсов и вычисл</w:t>
      </w:r>
      <w:r>
        <w:t xml:space="preserve">ять себестоимость продукции (работ, услуг). Часто данные, полученные таким методом, радикально отличаются от результатов традиционных методов калькуляции. </w:t>
      </w:r>
    </w:p>
    <w:p w:rsidR="002C0F56" w:rsidRDefault="00E67C6E">
      <w:pPr>
        <w:ind w:left="165" w:right="302"/>
      </w:pPr>
      <w:r>
        <w:t xml:space="preserve">При методе АВС объектом учета, калькуляции и анализа являются продукты, процессы, клиенты, сегменты </w:t>
      </w:r>
      <w:r>
        <w:t xml:space="preserve">рынка и каналы сбыта. </w:t>
      </w:r>
    </w:p>
    <w:p w:rsidR="002C0F56" w:rsidRDefault="00E67C6E">
      <w:pPr>
        <w:ind w:left="165" w:right="872"/>
      </w:pPr>
      <w:r>
        <w:t xml:space="preserve">Метод АВС позволяет принимать обоснованные решения в отношении снижения затрат, ценовой политики, товарно-ассортиментной политики и оценки стоимости операций.  </w:t>
      </w:r>
    </w:p>
    <w:p w:rsidR="002C0F56" w:rsidRDefault="00E67C6E">
      <w:pPr>
        <w:numPr>
          <w:ilvl w:val="0"/>
          <w:numId w:val="50"/>
        </w:numPr>
        <w:ind w:left="1598" w:right="302" w:hanging="854"/>
      </w:pPr>
      <w:r>
        <w:t xml:space="preserve">Таргет-костинг. </w:t>
      </w:r>
    </w:p>
    <w:p w:rsidR="002C0F56" w:rsidRDefault="00E67C6E">
      <w:pPr>
        <w:spacing w:after="8"/>
        <w:ind w:left="165" w:right="870"/>
      </w:pPr>
      <w:r>
        <w:t>Таргет-костинг (Target Costing) – формирование себестои</w:t>
      </w:r>
      <w:r>
        <w:t xml:space="preserve">мости новой продукции, исходя из планируемой рыночной цены и ожидаемой прибыльности продаж. </w:t>
      </w:r>
    </w:p>
    <w:p w:rsidR="002C0F56" w:rsidRDefault="00E67C6E">
      <w:pPr>
        <w:ind w:left="165" w:right="869"/>
      </w:pPr>
      <w:r>
        <w:t xml:space="preserve">Метод возник в Японии в 1965 г. в компании «Тойота» и предполагает способ защиты от экономических неудач, который помогает сберечь деньги до </w:t>
      </w:r>
      <w:r>
        <w:lastRenderedPageBreak/>
        <w:t>того, как они будут по</w:t>
      </w:r>
      <w:r>
        <w:t>трачены. Используется в инновационных отраслях, производственных предприятиях, где постоянно разрабатываются новые модели и виды продукции, в сфере обслуживания и на неприбыльных предприятиях. Выгодно применять на предприятиях с  широкой номенклатурой прод</w:t>
      </w:r>
      <w:r>
        <w:t>укции и мелко-серийном производстве 6)</w:t>
      </w:r>
      <w:r>
        <w:rPr>
          <w:rFonts w:ascii="Arial" w:eastAsia="Arial" w:hAnsi="Arial" w:cs="Arial"/>
        </w:rPr>
        <w:t xml:space="preserve"> </w:t>
      </w:r>
      <w:r>
        <w:t xml:space="preserve">Кайзен-костинг. </w:t>
      </w:r>
    </w:p>
    <w:p w:rsidR="002C0F56" w:rsidRDefault="00E67C6E">
      <w:pPr>
        <w:ind w:left="165" w:right="868"/>
      </w:pPr>
      <w:r>
        <w:t xml:space="preserve">Кайзен-костинг (Kaizen Costing) – усовершенствование маленькими шагами, постепенное и непрерывное снижение себестоимости как результат специальной программы предприятия. </w:t>
      </w:r>
    </w:p>
    <w:p w:rsidR="002C0F56" w:rsidRDefault="00E67C6E">
      <w:pPr>
        <w:ind w:left="165" w:right="869"/>
      </w:pPr>
      <w:r>
        <w:t>Концепция кайзен, как и тарге</w:t>
      </w:r>
      <w:r>
        <w:t xml:space="preserve">т-костинг, имеет японское происхождение и означает «совершенствование». Основа концепции – сокращение времени, расходуемого на операции, не добавляющие «ценности» конечному продукту. К таким операциям относятся хранение, накопление, перемещение и т. д. </w:t>
      </w:r>
    </w:p>
    <w:p w:rsidR="002C0F56" w:rsidRDefault="00E67C6E">
      <w:pPr>
        <w:spacing w:after="5"/>
        <w:ind w:left="165" w:right="865"/>
      </w:pPr>
      <w:r>
        <w:t xml:space="preserve">В </w:t>
      </w:r>
      <w:r>
        <w:t>отличие от таргет-костинга, кайзен-костинг применяется на этапе производства продукции, меняются методы, технологии производства уже существующего продукта. Использование этого метода возможно в любой отрасли в совокупности с другими методами оптимизации з</w:t>
      </w:r>
      <w:r>
        <w:t xml:space="preserve">атрат. Применяется для оптимизации затрат действующего производства либо если таргет-костинг не дал результатов через 3 месяца. </w:t>
      </w:r>
    </w:p>
    <w:p w:rsidR="002C0F56" w:rsidRDefault="00E67C6E">
      <w:pPr>
        <w:ind w:left="165" w:right="872"/>
      </w:pPr>
      <w:r>
        <w:t xml:space="preserve">Для переменных затрат мероприятия определяются для каждой единицы продукции. Постоянные затраты регулируются целиком по предприятию в рамках управления по целям [3]. </w:t>
      </w:r>
    </w:p>
    <w:p w:rsidR="002C0F56" w:rsidRDefault="00E67C6E">
      <w:pPr>
        <w:spacing w:after="0"/>
        <w:ind w:left="165" w:right="862"/>
      </w:pPr>
      <w:r>
        <w:t xml:space="preserve">Таким образом, оптимизация управления затратами – </w:t>
      </w:r>
      <w:r>
        <w:t>важнейший элемент системы управления затратами. Без оптимизации затрат не возможно достижение конкурентоспособности и выживание компании в условиях быстро меняющейся среды. Неотъемлемым элементом оптимизации является раз- работка мероприятий, которые помог</w:t>
      </w:r>
      <w:r>
        <w:t xml:space="preserve">ают оценить эффективность использования всех ресурсов предприятия, выявить резервы снижения затрат на производстве, собрать информацию для подготовки планов и принятия рациональных управленческих решений в области оптимизации затрат.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51"/>
        </w:numPr>
        <w:ind w:right="302"/>
      </w:pPr>
      <w:r>
        <w:t xml:space="preserve">Кузьмина М.С. Управление затратами предприятия (организации) : </w:t>
      </w:r>
    </w:p>
    <w:p w:rsidR="002C0F56" w:rsidRDefault="00E67C6E">
      <w:pPr>
        <w:ind w:left="165" w:right="672" w:firstLine="0"/>
      </w:pPr>
      <w:r>
        <w:t xml:space="preserve">учебное пособие / М.С. Кузьмина, Б.Ж. Акимова. — М. : КНОРУС, 2015. — 320 с </w:t>
      </w:r>
    </w:p>
    <w:p w:rsidR="002C0F56" w:rsidRDefault="00E67C6E">
      <w:pPr>
        <w:numPr>
          <w:ilvl w:val="0"/>
          <w:numId w:val="51"/>
        </w:numPr>
        <w:ind w:right="302"/>
      </w:pPr>
      <w:r>
        <w:t>Гагарский В.А. Управленческое консультирование и организационное развитие [Электронный ресурс] / Сокращение издерж</w:t>
      </w:r>
      <w:r>
        <w:t xml:space="preserve">ек компании. – Москва, 2014.– Режим доступа: </w:t>
      </w:r>
      <w:hyperlink r:id="rId347">
        <w:r>
          <w:t>http://gagarskiy.narod.ru/</w:t>
        </w:r>
      </w:hyperlink>
      <w:hyperlink r:id="rId348">
        <w:r>
          <w:t>.</w:t>
        </w:r>
      </w:hyperlink>
      <w:r>
        <w:t xml:space="preserve">  – Дата доступа: 15.04.2017. </w:t>
      </w:r>
    </w:p>
    <w:p w:rsidR="002C0F56" w:rsidRDefault="00E67C6E">
      <w:pPr>
        <w:numPr>
          <w:ilvl w:val="0"/>
          <w:numId w:val="51"/>
        </w:numPr>
        <w:ind w:right="302"/>
      </w:pPr>
      <w:r>
        <w:t>Сысо Т.Н. Оптимизация управления затратами предприятия / Т.Н.</w:t>
      </w:r>
      <w:r>
        <w:t xml:space="preserve"> Сысо </w:t>
      </w:r>
    </w:p>
    <w:p w:rsidR="002C0F56" w:rsidRDefault="00E67C6E">
      <w:pPr>
        <w:spacing w:after="12"/>
        <w:ind w:left="165" w:right="302" w:firstLine="0"/>
      </w:pPr>
      <w:r>
        <w:lastRenderedPageBreak/>
        <w:t xml:space="preserve">// Вестник Омского университета. Серия «Экономика». 2011. № 4. С.135–143. </w:t>
      </w:r>
    </w:p>
    <w:p w:rsidR="002C0F56" w:rsidRDefault="00E67C6E">
      <w:pPr>
        <w:spacing w:after="28" w:line="259" w:lineRule="auto"/>
        <w:ind w:left="744" w:firstLine="0"/>
        <w:jc w:val="left"/>
      </w:pPr>
      <w:r>
        <w:rPr>
          <w:b/>
        </w:rPr>
        <w:t xml:space="preserve"> </w:t>
      </w:r>
    </w:p>
    <w:p w:rsidR="002C0F56" w:rsidRDefault="00E67C6E">
      <w:pPr>
        <w:pStyle w:val="1"/>
        <w:spacing w:after="25" w:line="259" w:lineRule="auto"/>
        <w:ind w:right="856"/>
        <w:jc w:val="right"/>
      </w:pPr>
      <w:r>
        <w:t xml:space="preserve">Гайсина З.А. </w:t>
      </w:r>
      <w:r>
        <w:rPr>
          <w:b w:val="0"/>
        </w:rPr>
        <w:t xml:space="preserve">Научный руководитель: ст.преп. Муканов А. Х. </w:t>
      </w:r>
    </w:p>
    <w:p w:rsidR="002C0F56" w:rsidRDefault="00E67C6E">
      <w:pPr>
        <w:spacing w:after="0" w:line="267" w:lineRule="auto"/>
        <w:ind w:left="905" w:right="860" w:hanging="10"/>
        <w:jc w:val="right"/>
      </w:pPr>
      <w:r>
        <w:rPr>
          <w:i/>
        </w:rPr>
        <w:t xml:space="preserve">Евразийский Национальный университет им. Л.Н.Гумилёва </w:t>
      </w:r>
    </w:p>
    <w:p w:rsidR="002C0F56" w:rsidRDefault="00E67C6E">
      <w:pPr>
        <w:spacing w:after="0" w:line="259" w:lineRule="auto"/>
        <w:ind w:left="744" w:firstLine="0"/>
        <w:jc w:val="left"/>
      </w:pPr>
      <w:r>
        <w:rPr>
          <w:b/>
        </w:rPr>
        <w:t xml:space="preserve"> </w:t>
      </w:r>
    </w:p>
    <w:p w:rsidR="002C0F56" w:rsidRDefault="00E67C6E">
      <w:pPr>
        <w:pStyle w:val="1"/>
        <w:ind w:left="700" w:right="1377"/>
      </w:pPr>
      <w:r>
        <w:t>СТАТИСТИЧЕСКОЕ ИССЛЕДОВАНИЕ ЖЕНСКОЙ БЕЗРАБОТИЦЫ В РОССИИ</w:t>
      </w:r>
      <w:r>
        <w:t xml:space="preserve"> </w:t>
      </w:r>
    </w:p>
    <w:p w:rsidR="002C0F56" w:rsidRDefault="00E67C6E">
      <w:pPr>
        <w:spacing w:after="0" w:line="259" w:lineRule="auto"/>
        <w:ind w:left="744" w:firstLine="0"/>
        <w:jc w:val="left"/>
      </w:pPr>
      <w:r>
        <w:t xml:space="preserve"> </w:t>
      </w:r>
    </w:p>
    <w:p w:rsidR="002C0F56" w:rsidRDefault="00E67C6E">
      <w:pPr>
        <w:spacing w:after="0"/>
        <w:ind w:left="165" w:right="868"/>
      </w:pPr>
      <w:r>
        <w:t xml:space="preserve">Начиная с конца ХХ века, в России проводились реформы, затрагивающие почти все сферы жизни общества. В начале этого реформирования проявлялись многие проблемы, в том числе безработица[1].   Неоднократно было отмечено, что женщины более чувствительны к </w:t>
      </w:r>
      <w:r>
        <w:t>изменениям на рынке труда. Например, в работе Мальцевой И.О. «Занятость в России» проведен анализ безработицы в нашей стране, в том числе и по гендерному признаку. В статье приведено сравнение динамики занятости женщин и мужчин, в результате, которого сдел</w:t>
      </w:r>
      <w:r>
        <w:t>ан вывод, что «предложение труда женщин в большей степени, нежели чем у мужчин, реагирует на изменения, происходящие на рынке труда»[2].  Поэтому мне стало интересно проанализировать уровень женской безработицы в России, выявить факторы, влияющие на этот н</w:t>
      </w:r>
      <w:r>
        <w:t xml:space="preserve">его и определить различия воздействия причин на мужское и женское трудоустройство. </w:t>
      </w:r>
    </w:p>
    <w:p w:rsidR="002C0F56" w:rsidRDefault="00E67C6E">
      <w:pPr>
        <w:spacing w:after="0"/>
        <w:ind w:left="165" w:right="869"/>
      </w:pPr>
      <w:r>
        <w:t>Для проведения анализа женской безработицы были рассмотрены такие показатели как доля женщин, зарегистрированных в службе занятости, продолжительность пребывания на учете в</w:t>
      </w:r>
      <w:r>
        <w:t xml:space="preserve"> службе занятости, уровень занятости в зависимости от возраста и другие. Так же был проведен сравнительный анализ некоторых приведенных показателей для мужчин и женщин для выявления различий их положения на рынке труда. </w:t>
      </w:r>
    </w:p>
    <w:p w:rsidR="002C0F56" w:rsidRDefault="00E67C6E">
      <w:pPr>
        <w:spacing w:after="2"/>
        <w:ind w:left="165" w:right="870"/>
      </w:pPr>
      <w:r>
        <w:t>Анализ безработицы показал, что сре</w:t>
      </w:r>
      <w:r>
        <w:t>дняя продолжительность пребывания женщин на учете в службе занятости составляет 6 месяцев, мужчин – 4 месяца. Такое различие может быть вызвано уверенностью большинства замужних женщин в стабильности благодаря материальному обеспечению других членов семьи.</w:t>
      </w:r>
      <w:r>
        <w:t xml:space="preserve"> Также многие женщины решают оставаться на учете в службе занятости, чтобы посвятить себя семье без потери трудового стажа, пособий и других привилегий. </w:t>
      </w:r>
    </w:p>
    <w:p w:rsidR="002C0F56" w:rsidRDefault="00E67C6E">
      <w:pPr>
        <w:ind w:left="165" w:right="302"/>
      </w:pPr>
      <w:r>
        <w:t>По данным, взятым с официального сайта Росстата, мы можем проанализировать, как менялся уровень безраб</w:t>
      </w:r>
      <w:r>
        <w:t xml:space="preserve">отицы мужчин и женщин в </w:t>
      </w:r>
    </w:p>
    <w:p w:rsidR="002C0F56" w:rsidRDefault="00E67C6E">
      <w:pPr>
        <w:spacing w:after="12"/>
        <w:ind w:left="165" w:right="302" w:firstLine="0"/>
      </w:pPr>
      <w:r>
        <w:t xml:space="preserve">России за последние 8 лет и сделать прогноз на ближайшие два года </w:t>
      </w:r>
    </w:p>
    <w:p w:rsidR="002C0F56" w:rsidRDefault="00E67C6E">
      <w:pPr>
        <w:spacing w:after="0" w:line="259" w:lineRule="auto"/>
        <w:ind w:left="0" w:right="1805" w:firstLine="0"/>
        <w:jc w:val="right"/>
      </w:pPr>
      <w:r>
        <w:rPr>
          <w:noProof/>
        </w:rPr>
        <w:lastRenderedPageBreak/>
        <w:drawing>
          <wp:inline distT="0" distB="0" distL="0" distR="0">
            <wp:extent cx="5121910" cy="1969135"/>
            <wp:effectExtent l="0" t="0" r="0" b="0"/>
            <wp:docPr id="19940" name="Picture 19940"/>
            <wp:cNvGraphicFramePr/>
            <a:graphic xmlns:a="http://schemas.openxmlformats.org/drawingml/2006/main">
              <a:graphicData uri="http://schemas.openxmlformats.org/drawingml/2006/picture">
                <pic:pic xmlns:pic="http://schemas.openxmlformats.org/drawingml/2006/picture">
                  <pic:nvPicPr>
                    <pic:cNvPr id="19940" name="Picture 19940"/>
                    <pic:cNvPicPr/>
                  </pic:nvPicPr>
                  <pic:blipFill>
                    <a:blip r:embed="rId349"/>
                    <a:stretch>
                      <a:fillRect/>
                    </a:stretch>
                  </pic:blipFill>
                  <pic:spPr>
                    <a:xfrm>
                      <a:off x="0" y="0"/>
                      <a:ext cx="5121910" cy="1969135"/>
                    </a:xfrm>
                    <a:prstGeom prst="rect">
                      <a:avLst/>
                    </a:prstGeom>
                  </pic:spPr>
                </pic:pic>
              </a:graphicData>
            </a:graphic>
          </wp:inline>
        </w:drawing>
      </w:r>
      <w:r>
        <w:t xml:space="preserve"> </w:t>
      </w:r>
    </w:p>
    <w:p w:rsidR="002C0F56" w:rsidRDefault="00E67C6E">
      <w:pPr>
        <w:spacing w:after="5" w:line="271" w:lineRule="auto"/>
        <w:ind w:left="2525" w:right="396" w:hanging="1759"/>
        <w:jc w:val="left"/>
      </w:pPr>
      <w:r>
        <w:rPr>
          <w:b/>
          <w:sz w:val="24"/>
        </w:rPr>
        <w:t xml:space="preserve">Рис. 1. Динамика уровня безработицы среди мужчин и женщин в период с 2005 по 2013 год и прогноз на 2014 г. и 2015 г., в %[3]. </w:t>
      </w:r>
    </w:p>
    <w:p w:rsidR="002C0F56" w:rsidRDefault="00E67C6E">
      <w:pPr>
        <w:spacing w:after="0" w:line="259" w:lineRule="auto"/>
        <w:ind w:left="744" w:firstLine="0"/>
        <w:jc w:val="left"/>
      </w:pPr>
      <w:r>
        <w:t xml:space="preserve"> </w:t>
      </w:r>
    </w:p>
    <w:p w:rsidR="002C0F56" w:rsidRDefault="00E67C6E">
      <w:pPr>
        <w:spacing w:after="2"/>
        <w:ind w:left="165" w:right="866"/>
      </w:pPr>
      <w:r>
        <w:t>На основании данного графика можно сделать вывод, что динамика как женской, так и мужской безработицы менялась в соответствии с изменениями в экономике нашей страны. Постепенное снижение уровня безработицы с 2005 г по 2008 г объясняется периодом экономичес</w:t>
      </w:r>
      <w:r>
        <w:t>кого подъема экономики России. Во время кризиса 2008-2009 гг., согласно имеющимся данным, уровень безработицы сильно возрос, достигнув пика (8,9% у мужчин и 7,7% у женщин) в 2009[3].   С улучшением экономической ситуации в стране, данный показатель начал п</w:t>
      </w:r>
      <w:r>
        <w:t xml:space="preserve">остепенно снижаться и у мужчин, и у женщин. В соответствии с построенным мною прогнозом, эта тенденция к снижению сохранится, при условии стабильной ситуации в экономике страны. </w:t>
      </w:r>
    </w:p>
    <w:p w:rsidR="002C0F56" w:rsidRDefault="00E67C6E">
      <w:pPr>
        <w:spacing w:after="10"/>
        <w:ind w:left="165" w:right="866"/>
      </w:pPr>
      <w:r>
        <w:t>Таким образом, положение женщин на рынке труда в России сложно назвать стабил</w:t>
      </w:r>
      <w:r>
        <w:t xml:space="preserve">ьным, из-за влияния многих факторов. Уровень женской безработицы, как и мужской, зависит от экономической ситуации в стране, и, не смотря на гендерную асимметрию и женскую дискриминацию, уровень безработицы женщин остается ниже, чем у мужчин.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Список лит</w:t>
      </w:r>
      <w:r>
        <w:t xml:space="preserve">ературы: </w:t>
      </w:r>
    </w:p>
    <w:p w:rsidR="002C0F56" w:rsidRDefault="00E67C6E">
      <w:pPr>
        <w:numPr>
          <w:ilvl w:val="0"/>
          <w:numId w:val="52"/>
        </w:numPr>
        <w:ind w:right="302"/>
      </w:pPr>
      <w:r>
        <w:t xml:space="preserve">Ниворожкина Л.И. Моделирование поведения населения на рынке крупного города. Продолжительность регистрируемой безработицы. </w:t>
      </w:r>
    </w:p>
    <w:p w:rsidR="002C0F56" w:rsidRDefault="00E67C6E">
      <w:pPr>
        <w:numPr>
          <w:ilvl w:val="0"/>
          <w:numId w:val="52"/>
        </w:numPr>
        <w:ind w:right="302"/>
      </w:pPr>
      <w:r>
        <w:t>Мальцева И.О. Занятость в России. Вестник Российского мониторинга экономического положения и здоровья населения НИУ ВШЭ. М</w:t>
      </w:r>
      <w:r>
        <w:t xml:space="preserve">.,2011 </w:t>
      </w:r>
    </w:p>
    <w:p w:rsidR="002C0F56" w:rsidRDefault="00E67C6E">
      <w:pPr>
        <w:numPr>
          <w:ilvl w:val="0"/>
          <w:numId w:val="52"/>
        </w:numPr>
        <w:ind w:right="302"/>
      </w:pPr>
      <w:r>
        <w:t xml:space="preserve">Статистические </w:t>
      </w:r>
      <w:r>
        <w:tab/>
        <w:t xml:space="preserve">данные </w:t>
      </w:r>
      <w:r>
        <w:tab/>
        <w:t xml:space="preserve">Федеральной </w:t>
      </w:r>
      <w:r>
        <w:tab/>
        <w:t xml:space="preserve">службы </w:t>
      </w:r>
      <w:r>
        <w:tab/>
        <w:t xml:space="preserve">государственной </w:t>
      </w:r>
    </w:p>
    <w:p w:rsidR="002C0F56" w:rsidRDefault="00E67C6E">
      <w:pPr>
        <w:spacing w:after="12"/>
        <w:ind w:left="165" w:right="302" w:firstLine="0"/>
      </w:pPr>
      <w:r>
        <w:t xml:space="preserve">статистики (Росстат). Интернет-ресурс:http://www.gks.r </w:t>
      </w:r>
    </w:p>
    <w:p w:rsidR="002C0F56" w:rsidRDefault="00E67C6E">
      <w:pPr>
        <w:spacing w:after="0" w:line="259" w:lineRule="auto"/>
        <w:ind w:left="744" w:firstLine="0"/>
        <w:jc w:val="left"/>
      </w:pPr>
      <w:r>
        <w:t xml:space="preserve"> </w:t>
      </w:r>
    </w:p>
    <w:p w:rsidR="002C0F56" w:rsidRDefault="00E67C6E">
      <w:pPr>
        <w:spacing w:after="29" w:line="259" w:lineRule="auto"/>
        <w:ind w:left="744" w:firstLine="0"/>
        <w:jc w:val="left"/>
      </w:pPr>
      <w:r>
        <w:rPr>
          <w:b/>
        </w:rPr>
        <w:t xml:space="preserve"> </w:t>
      </w:r>
    </w:p>
    <w:p w:rsidR="002C0F56" w:rsidRDefault="00E67C6E">
      <w:pPr>
        <w:ind w:left="5147" w:right="302" w:firstLine="639"/>
      </w:pPr>
      <w:r>
        <w:rPr>
          <w:b/>
        </w:rPr>
        <w:lastRenderedPageBreak/>
        <w:t xml:space="preserve">Галабурда Т.С., Гончарук Ю.С. </w:t>
      </w:r>
      <w:r>
        <w:t xml:space="preserve">Научный руководитель: Кулакова Н.Л. </w:t>
      </w:r>
    </w:p>
    <w:p w:rsidR="002C0F56" w:rsidRDefault="00E67C6E">
      <w:pPr>
        <w:spacing w:after="0" w:line="267" w:lineRule="auto"/>
        <w:ind w:left="905" w:right="860" w:hanging="10"/>
        <w:jc w:val="right"/>
      </w:pPr>
      <w:r>
        <w:rPr>
          <w:i/>
        </w:rPr>
        <w:t>Полесский государственный университет</w:t>
      </w:r>
      <w:r>
        <w:t xml:space="preserve">  </w:t>
      </w:r>
    </w:p>
    <w:p w:rsidR="002C0F56" w:rsidRDefault="00E67C6E">
      <w:pPr>
        <w:spacing w:after="0" w:line="259" w:lineRule="auto"/>
        <w:ind w:left="744" w:firstLine="0"/>
        <w:jc w:val="left"/>
      </w:pPr>
      <w:r>
        <w:t xml:space="preserve"> </w:t>
      </w:r>
    </w:p>
    <w:p w:rsidR="002C0F56" w:rsidRDefault="00E67C6E">
      <w:pPr>
        <w:pStyle w:val="1"/>
        <w:spacing w:after="15" w:line="271" w:lineRule="auto"/>
        <w:ind w:left="375" w:right="0"/>
        <w:jc w:val="left"/>
      </w:pPr>
      <w:r>
        <w:t xml:space="preserve">ЗАГРЯЗНЕНИЕ ЗЕМЕЛЬ ПРОМЫШЛЕННЫМИ ПРЕДПРИЯТИЯМИ: </w:t>
      </w:r>
    </w:p>
    <w:p w:rsidR="002C0F56" w:rsidRDefault="00E67C6E">
      <w:pPr>
        <w:pStyle w:val="1"/>
        <w:ind w:left="700" w:right="1379"/>
      </w:pPr>
      <w:r>
        <w:t xml:space="preserve">ПРОБЛЕМЫ И ПУТИ ИХ РЕШЕНИЯ </w:t>
      </w:r>
    </w:p>
    <w:p w:rsidR="002C0F56" w:rsidRDefault="00E67C6E">
      <w:pPr>
        <w:spacing w:after="0" w:line="259" w:lineRule="auto"/>
        <w:ind w:left="744" w:firstLine="0"/>
        <w:jc w:val="left"/>
      </w:pPr>
      <w:r>
        <w:t xml:space="preserve"> </w:t>
      </w:r>
    </w:p>
    <w:p w:rsidR="002C0F56" w:rsidRDefault="00E67C6E">
      <w:pPr>
        <w:spacing w:after="0"/>
        <w:ind w:left="165" w:right="865"/>
      </w:pPr>
      <w:r>
        <w:t>Одним из значимых условий существования человечества является земля, ведь именно она является незаменимым инструментом удовлетворения различных потребностей общества.  Благодаря</w:t>
      </w:r>
      <w:r>
        <w:t xml:space="preserve"> своим специфическим особенностям, земля выступает в качестве ресурса, с помощью которого человек может получать различные материальные блага.  Земельные ресурсы создают основу для сельскохозяйственного производства, где выступают предметом и средством тру</w:t>
      </w:r>
      <w:r>
        <w:t xml:space="preserve">да. Также они являются основой для осуществления лесного хозяйства, расселения сельских жителей, строительства городских зданий, размещения индустриальных объектов, транспортных коммуникаций и других видов деятельности человека на земле. </w:t>
      </w:r>
    </w:p>
    <w:p w:rsidR="002C0F56" w:rsidRDefault="00E67C6E">
      <w:pPr>
        <w:ind w:left="165" w:right="867"/>
      </w:pPr>
      <w:r>
        <w:t>По данным Государ</w:t>
      </w:r>
      <w:r>
        <w:t>ственного земельного кадастра, на 1 января 2016 года земельный фонд Республики Беларусь составляет 20759,6 тыс. га. Из них 86% приходится на продуктивные земли, 6% - дороги, постройки и прочее и 8 % - земли, которые не используются (болота, кустарники, пес</w:t>
      </w:r>
      <w:r>
        <w:t xml:space="preserve">ки). Среди стран Европы по площади земельного фонда Беларусь занимает 14 место, что является довольно хорошим показателем. Исходя из этого, можно сделать вывод о том, что большая часть стран Европы обладает гораздо меньшими земельными ресурсами [1]. </w:t>
      </w:r>
    </w:p>
    <w:p w:rsidR="002C0F56" w:rsidRDefault="00E67C6E">
      <w:pPr>
        <w:ind w:left="165" w:right="302"/>
      </w:pPr>
      <w:r>
        <w:t>Согла</w:t>
      </w:r>
      <w:r>
        <w:t xml:space="preserve">сно Земельному кодексу Республики Беларусь, земли Республики Беларусь делятся на следующие категории [2]: </w:t>
      </w:r>
    </w:p>
    <w:p w:rsidR="002C0F56" w:rsidRDefault="00E67C6E">
      <w:pPr>
        <w:numPr>
          <w:ilvl w:val="0"/>
          <w:numId w:val="53"/>
        </w:numPr>
        <w:ind w:right="302"/>
      </w:pPr>
      <w:r>
        <w:t xml:space="preserve">земли сельскохозяйственного назначения; </w:t>
      </w:r>
    </w:p>
    <w:p w:rsidR="002C0F56" w:rsidRDefault="00E67C6E">
      <w:pPr>
        <w:numPr>
          <w:ilvl w:val="0"/>
          <w:numId w:val="53"/>
        </w:numPr>
        <w:ind w:right="302"/>
      </w:pPr>
      <w:r>
        <w:t xml:space="preserve">земли населенных пунктов, садоводческих товариществ, дачных кооперативов; </w:t>
      </w:r>
    </w:p>
    <w:p w:rsidR="002C0F56" w:rsidRDefault="00E67C6E">
      <w:pPr>
        <w:numPr>
          <w:ilvl w:val="0"/>
          <w:numId w:val="53"/>
        </w:numPr>
        <w:ind w:right="302"/>
      </w:pPr>
      <w:r>
        <w:t>земли промышленности, транспорта,</w:t>
      </w:r>
      <w:r>
        <w:t xml:space="preserve"> связи, энергетики, обороны и иного назначения; </w:t>
      </w:r>
    </w:p>
    <w:p w:rsidR="002C0F56" w:rsidRDefault="00E67C6E">
      <w:pPr>
        <w:numPr>
          <w:ilvl w:val="0"/>
          <w:numId w:val="53"/>
        </w:numPr>
        <w:ind w:right="302"/>
      </w:pPr>
      <w:r>
        <w:t xml:space="preserve">земли природоохранного, оздоровительного, рекреационного, историкокультурного назначения; </w:t>
      </w:r>
    </w:p>
    <w:p w:rsidR="002C0F56" w:rsidRDefault="00E67C6E">
      <w:pPr>
        <w:numPr>
          <w:ilvl w:val="0"/>
          <w:numId w:val="53"/>
        </w:numPr>
        <w:ind w:right="302"/>
      </w:pPr>
      <w:r>
        <w:t xml:space="preserve">земли лесного фонда; </w:t>
      </w:r>
      <w:r>
        <w:rPr>
          <w:rFonts w:ascii="Wingdings" w:eastAsia="Wingdings" w:hAnsi="Wingdings" w:cs="Wingdings"/>
        </w:rPr>
        <w:t>➢</w:t>
      </w:r>
      <w:r>
        <w:rPr>
          <w:rFonts w:ascii="Arial" w:eastAsia="Arial" w:hAnsi="Arial" w:cs="Arial"/>
        </w:rPr>
        <w:t xml:space="preserve"> </w:t>
      </w:r>
      <w:r>
        <w:t xml:space="preserve">земли водного фонда; </w:t>
      </w:r>
      <w:r>
        <w:rPr>
          <w:rFonts w:ascii="Wingdings" w:eastAsia="Wingdings" w:hAnsi="Wingdings" w:cs="Wingdings"/>
        </w:rPr>
        <w:t>➢</w:t>
      </w:r>
      <w:r>
        <w:rPr>
          <w:rFonts w:ascii="Arial" w:eastAsia="Arial" w:hAnsi="Arial" w:cs="Arial"/>
        </w:rPr>
        <w:t xml:space="preserve"> </w:t>
      </w:r>
      <w:r>
        <w:t xml:space="preserve">земли запаса. </w:t>
      </w:r>
    </w:p>
    <w:p w:rsidR="002C0F56" w:rsidRDefault="00E67C6E">
      <w:pPr>
        <w:spacing w:after="0"/>
        <w:ind w:left="165" w:right="870"/>
      </w:pPr>
      <w:r>
        <w:t>Независимо от категории земли выполняют защитные функци</w:t>
      </w:r>
      <w:r>
        <w:t xml:space="preserve">и и обусловливают устойчивость экосистем к внешнему воздействию. В процессе поступления и образования в них вредных химических веществ ухудшаются </w:t>
      </w:r>
      <w:r>
        <w:lastRenderedPageBreak/>
        <w:t>качества, которые изначально характерны природным почвам. Это приводит к пагубному воздействию на другие компо</w:t>
      </w:r>
      <w:r>
        <w:t xml:space="preserve">ненты природной среды и окружающую среду в целом, а также приводит к загрязнению грунтовых вод и наземных водоемов.  </w:t>
      </w:r>
    </w:p>
    <w:p w:rsidR="002C0F56" w:rsidRDefault="00E67C6E">
      <w:pPr>
        <w:spacing w:after="0"/>
        <w:ind w:left="165" w:right="870"/>
      </w:pPr>
      <w:r>
        <w:t>Наибольший уровень загрязнения приходится на земли промышленности, т.к. промышленные предприятия являются источниками поступления в окружа</w:t>
      </w:r>
      <w:r>
        <w:t>ющую среду широкого спектра вредных веществ. Масштабы выбросов вредных веществ от промышленных предприятий стал настолько большим, что это стало причиной повышенного внимания к проблеме загрязнения земель, а также способов снижения негативных последствий д</w:t>
      </w:r>
      <w:r>
        <w:t xml:space="preserve">о минимума. В этом и заключается актуальность данной работы. </w:t>
      </w:r>
    </w:p>
    <w:p w:rsidR="002C0F56" w:rsidRDefault="00E67C6E">
      <w:pPr>
        <w:spacing w:after="12"/>
        <w:ind w:left="744" w:right="302" w:firstLine="0"/>
      </w:pPr>
      <w:r>
        <w:t xml:space="preserve">Общая площадь земель промышленных организаций в Республике </w:t>
      </w:r>
    </w:p>
    <w:p w:rsidR="002C0F56" w:rsidRDefault="00E67C6E">
      <w:pPr>
        <w:spacing w:after="5"/>
        <w:ind w:left="165" w:right="867" w:firstLine="0"/>
      </w:pPr>
      <w:r>
        <w:t>Беларусь составляет 65,1 тыс. га. Исходя из данных, приведённых на рисунке 1, видно, что по площади промышленных земель в Республике Беларусь лидирует Минская область (34 % или 22 тыс. га), далее приблизительно на одном уровне находятся Могилёвская, Гомель</w:t>
      </w:r>
      <w:r>
        <w:t xml:space="preserve">ская, Гродненская, Брестская и Витебская области (разница между ними составляет примерно 1-5 %). Наименьшая площадь приходится на г. Минск (5 % или 3,3 тыс. га). </w:t>
      </w:r>
    </w:p>
    <w:p w:rsidR="002C0F56" w:rsidRDefault="00E67C6E">
      <w:pPr>
        <w:ind w:left="165" w:right="302"/>
      </w:pPr>
      <w:r>
        <w:t>В промышленном производстве Республики Беларусь наиболее продуктивными являются предприятия т</w:t>
      </w:r>
      <w:r>
        <w:t xml:space="preserve">аких межотраслевых комплексов, как:  </w:t>
      </w:r>
    </w:p>
    <w:p w:rsidR="002C0F56" w:rsidRDefault="00E67C6E">
      <w:pPr>
        <w:numPr>
          <w:ilvl w:val="0"/>
          <w:numId w:val="54"/>
        </w:numPr>
        <w:spacing w:after="12"/>
        <w:ind w:right="302"/>
      </w:pPr>
      <w:r>
        <w:t xml:space="preserve">топливно-энергетический </w:t>
      </w:r>
      <w:r>
        <w:tab/>
        <w:t xml:space="preserve">(ОАО </w:t>
      </w:r>
      <w:r>
        <w:tab/>
        <w:t xml:space="preserve">«Нафтан», </w:t>
      </w:r>
      <w:r>
        <w:tab/>
        <w:t xml:space="preserve">ОАО </w:t>
      </w:r>
      <w:r>
        <w:tab/>
        <w:t xml:space="preserve">«Мозырский </w:t>
      </w:r>
    </w:p>
    <w:p w:rsidR="002C0F56" w:rsidRDefault="00E67C6E">
      <w:pPr>
        <w:spacing w:after="62"/>
        <w:ind w:left="165" w:right="302" w:firstLine="0"/>
      </w:pPr>
      <w:r>
        <w:t xml:space="preserve">нефтеперерабатывающий завод»); </w:t>
      </w:r>
    </w:p>
    <w:p w:rsidR="002C0F56" w:rsidRDefault="00E67C6E">
      <w:pPr>
        <w:numPr>
          <w:ilvl w:val="0"/>
          <w:numId w:val="54"/>
        </w:numPr>
        <w:spacing w:after="63"/>
        <w:ind w:right="302"/>
      </w:pPr>
      <w:r>
        <w:t>металлурго-машиностроительный (ОАО «Могилевский металлургический завод», ОАО «Могилевский завод «Строммашина», ОАО «Белорусский</w:t>
      </w:r>
      <w:r>
        <w:t xml:space="preserve"> автомобильный завод»); </w:t>
      </w:r>
    </w:p>
    <w:p w:rsidR="002C0F56" w:rsidRDefault="00E67C6E">
      <w:pPr>
        <w:numPr>
          <w:ilvl w:val="0"/>
          <w:numId w:val="54"/>
        </w:numPr>
        <w:spacing w:after="12"/>
        <w:ind w:right="302"/>
      </w:pPr>
      <w:r>
        <w:t xml:space="preserve">химический и нефтехимический (ОАО «Могилевхимволокно», ОАО </w:t>
      </w:r>
    </w:p>
    <w:p w:rsidR="002C0F56" w:rsidRDefault="00E67C6E">
      <w:pPr>
        <w:spacing w:after="12"/>
        <w:ind w:left="165" w:right="302" w:firstLine="0"/>
      </w:pPr>
      <w:r>
        <w:t xml:space="preserve">«Минский лакокрасочный завод», ОАО «Беларуськалий»). </w:t>
      </w:r>
    </w:p>
    <w:p w:rsidR="002C0F56" w:rsidRDefault="00E67C6E">
      <w:pPr>
        <w:spacing w:after="0" w:line="259" w:lineRule="auto"/>
        <w:ind w:left="744" w:firstLine="0"/>
        <w:jc w:val="left"/>
      </w:pPr>
      <w:r>
        <w:t xml:space="preserve"> </w:t>
      </w:r>
    </w:p>
    <w:p w:rsidR="002C0F56" w:rsidRDefault="00E67C6E">
      <w:pPr>
        <w:spacing w:after="0" w:line="259" w:lineRule="auto"/>
        <w:ind w:left="744" w:right="1881" w:firstLine="0"/>
        <w:jc w:val="left"/>
      </w:pPr>
      <w:r>
        <w:t xml:space="preserve"> </w:t>
      </w:r>
    </w:p>
    <w:p w:rsidR="002C0F56" w:rsidRDefault="00E67C6E">
      <w:pPr>
        <w:spacing w:after="320" w:line="259" w:lineRule="auto"/>
        <w:ind w:left="1587" w:firstLine="0"/>
        <w:jc w:val="left"/>
      </w:pPr>
      <w:r>
        <w:rPr>
          <w:noProof/>
        </w:rPr>
        <w:lastRenderedPageBreak/>
        <w:drawing>
          <wp:inline distT="0" distB="0" distL="0" distR="0">
            <wp:extent cx="4584065" cy="2395855"/>
            <wp:effectExtent l="0" t="0" r="0" b="0"/>
            <wp:docPr id="20241" name="Picture 20241"/>
            <wp:cNvGraphicFramePr/>
            <a:graphic xmlns:a="http://schemas.openxmlformats.org/drawingml/2006/main">
              <a:graphicData uri="http://schemas.openxmlformats.org/drawingml/2006/picture">
                <pic:pic xmlns:pic="http://schemas.openxmlformats.org/drawingml/2006/picture">
                  <pic:nvPicPr>
                    <pic:cNvPr id="20241" name="Picture 20241"/>
                    <pic:cNvPicPr/>
                  </pic:nvPicPr>
                  <pic:blipFill>
                    <a:blip r:embed="rId350"/>
                    <a:stretch>
                      <a:fillRect/>
                    </a:stretch>
                  </pic:blipFill>
                  <pic:spPr>
                    <a:xfrm>
                      <a:off x="0" y="0"/>
                      <a:ext cx="4584065" cy="2395855"/>
                    </a:xfrm>
                    <a:prstGeom prst="rect">
                      <a:avLst/>
                    </a:prstGeom>
                  </pic:spPr>
                </pic:pic>
              </a:graphicData>
            </a:graphic>
          </wp:inline>
        </w:drawing>
      </w:r>
    </w:p>
    <w:p w:rsidR="002C0F56" w:rsidRDefault="00E67C6E">
      <w:pPr>
        <w:tabs>
          <w:tab w:val="center" w:pos="744"/>
          <w:tab w:val="center" w:pos="5465"/>
        </w:tabs>
        <w:spacing w:after="69" w:line="271" w:lineRule="auto"/>
        <w:ind w:left="0" w:firstLine="0"/>
        <w:jc w:val="left"/>
      </w:pPr>
      <w:r>
        <w:rPr>
          <w:rFonts w:ascii="Calibri" w:eastAsia="Calibri" w:hAnsi="Calibri" w:cs="Calibri"/>
          <w:sz w:val="22"/>
        </w:rPr>
        <w:tab/>
      </w:r>
      <w:r>
        <w:t xml:space="preserve"> </w:t>
      </w:r>
      <w:r>
        <w:tab/>
      </w:r>
      <w:r>
        <w:rPr>
          <w:b/>
          <w:sz w:val="24"/>
        </w:rPr>
        <w:t xml:space="preserve">Рис. 1. Общая площадь земель промышленных организаций </w:t>
      </w:r>
    </w:p>
    <w:p w:rsidR="002C0F56" w:rsidRDefault="00E67C6E">
      <w:pPr>
        <w:tabs>
          <w:tab w:val="center" w:pos="744"/>
          <w:tab w:val="center" w:pos="5467"/>
        </w:tabs>
        <w:spacing w:after="5" w:line="271" w:lineRule="auto"/>
        <w:ind w:left="0" w:firstLine="0"/>
        <w:jc w:val="left"/>
      </w:pPr>
      <w:r>
        <w:rPr>
          <w:rFonts w:ascii="Calibri" w:eastAsia="Calibri" w:hAnsi="Calibri" w:cs="Calibri"/>
          <w:sz w:val="22"/>
        </w:rPr>
        <w:tab/>
      </w:r>
      <w:r>
        <w:t xml:space="preserve"> </w:t>
      </w:r>
      <w:r>
        <w:tab/>
      </w:r>
      <w:r>
        <w:rPr>
          <w:sz w:val="24"/>
        </w:rPr>
        <w:t xml:space="preserve">Источник: собственная разработка на основании статистических данных [3]. </w:t>
      </w:r>
    </w:p>
    <w:p w:rsidR="002C0F56" w:rsidRDefault="00E67C6E">
      <w:pPr>
        <w:spacing w:after="0" w:line="259" w:lineRule="auto"/>
        <w:ind w:left="744" w:firstLine="0"/>
        <w:jc w:val="left"/>
      </w:pPr>
      <w:r>
        <w:t xml:space="preserve"> </w:t>
      </w:r>
    </w:p>
    <w:p w:rsidR="002C0F56" w:rsidRDefault="00E67C6E">
      <w:pPr>
        <w:spacing w:after="0"/>
        <w:ind w:left="165" w:right="868"/>
      </w:pPr>
      <w:r>
        <w:t>В рамках Национальной системы мониторинга окружающей среды  в соответствии с разработанной Министерством природных ресурсов и охраны окружающей среды Инструкцией о порядке проведен</w:t>
      </w:r>
      <w:r>
        <w:t>ия локального мониторинга окружающей среды юридическими лицами, осуществляющими хозяйственную и иную деятельность, которая оказывает вредное воздействие на окружающую среду, в том числе экологически опасную деятельность, проводится локальный мониторинг зем</w:t>
      </w:r>
      <w:r>
        <w:t xml:space="preserve">ель, объектом которого являются промплощадки промышленных предприятий.  </w:t>
      </w:r>
    </w:p>
    <w:p w:rsidR="002C0F56" w:rsidRDefault="00E67C6E">
      <w:pPr>
        <w:spacing w:after="0"/>
        <w:ind w:left="165" w:right="867"/>
      </w:pPr>
      <w:r>
        <w:t>По результатам мониторинга установлено, что преобладающим загрязняющим веществом в почвах предприятий машиностроительного комплекса является цинк и кадмий. Выявленные валовые концентр</w:t>
      </w:r>
      <w:r>
        <w:t>ации цинка изменяются в диапазоне от 0,2 до 12 ОДК. Содержание кадмия в почвах предприятий машиностроения изменяется в диапазоне от величин ниже предела обнаружения до 7,0 ОДК. Наиболее высокое содержание свинца отмечается в почвах на территории предприяти</w:t>
      </w:r>
      <w:r>
        <w:t xml:space="preserve">я по производству самоходных комбайнов, где максимальное значение элемента в десятки раз превышает допустимый уровень. Средние концентрации никеля в почвах обследованных предприятий незначительные и составляют 0,6–1,7 ОДК.  </w:t>
      </w:r>
    </w:p>
    <w:p w:rsidR="002C0F56" w:rsidRDefault="00E67C6E">
      <w:pPr>
        <w:spacing w:after="0"/>
        <w:ind w:left="165" w:right="866"/>
      </w:pPr>
      <w:r>
        <w:t>Исследованные предприятия нефтехимического межотраслевого промышленного комплекса различаются в зависимости от вида деятельности, в связи с чем характеризуются неодинаковым набором наблюдаемых загрязняющих веществ. В почвах предприятия по производству хими</w:t>
      </w:r>
      <w:r>
        <w:t xml:space="preserve">ческих волокон отмечаются повышенные по сравнение с гигиеническими нормативами концентрации нафталина, фенантрена, флуорантена, достигающие 1,5–7,5 </w:t>
      </w:r>
      <w:r>
        <w:lastRenderedPageBreak/>
        <w:t>ПДК/ОДК. В почвах предприятия по производству лаков и красок обнаружены ПХБ на уровне 1,1–5,0 ОДК. На промпл</w:t>
      </w:r>
      <w:r>
        <w:t xml:space="preserve">ощадке предприятия, специализирующегося на выпуске строительных материалов, наблюдается загрязнение отдельных участков цинком и кадмием. Свинец и мышьяк на исследованной территории не выявлены. </w:t>
      </w:r>
    </w:p>
    <w:p w:rsidR="002C0F56" w:rsidRDefault="00E67C6E">
      <w:pPr>
        <w:spacing w:after="1"/>
        <w:ind w:left="165" w:right="863"/>
      </w:pPr>
      <w:r>
        <w:t>Результаты локального мониторинга земель промышленности в сос</w:t>
      </w:r>
      <w:r>
        <w:t>таве НСМОС, позволили очертить круг проблемных вопросов, связанных не только с необходимостью доработки и уточнения нормативно-методической базы ведения мониторинга, но и с разработкой унифицированных подходов по оценке полученных результатов, а также разр</w:t>
      </w:r>
      <w:r>
        <w:t>аботкой комплекса мероприятий по рекультивации загрязненных земель, т.к. в Республике Беларусь в настоящее время отсутствуют адаптированные к местным почвенно- климатическим условиям и унифицированные мероприятия по рекультивации почв. В связи с этим, необ</w:t>
      </w:r>
      <w:r>
        <w:t>ходимо создать нормативно-методический документ, регламентирующий порядок обращения с химически загрязненными землями (включая почвы), который бы четко определил порядок работ по выявлению состояния земель, регулировал ответственность и действия землепольз</w:t>
      </w:r>
      <w:r>
        <w:t xml:space="preserve">ователей и местных органов управления по снижению экологической опасности при использовании загрязненных земель.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4" w:hanging="10"/>
        <w:jc w:val="center"/>
      </w:pPr>
      <w:r>
        <w:t xml:space="preserve">Список литературы: </w:t>
      </w:r>
    </w:p>
    <w:p w:rsidR="002C0F56" w:rsidRDefault="00E67C6E">
      <w:pPr>
        <w:numPr>
          <w:ilvl w:val="0"/>
          <w:numId w:val="55"/>
        </w:numPr>
        <w:ind w:right="874"/>
      </w:pPr>
      <w:r>
        <w:t xml:space="preserve">Государственный земельный кадастр Республики Беларусь (по состоянию на 1 января 2016 г.) Комитет по земельным ресурсам, </w:t>
      </w:r>
      <w:r>
        <w:t xml:space="preserve">геодезия и картография при СМ РБ. Минск, 2016. </w:t>
      </w:r>
    </w:p>
    <w:p w:rsidR="002C0F56" w:rsidRDefault="00E67C6E">
      <w:pPr>
        <w:numPr>
          <w:ilvl w:val="0"/>
          <w:numId w:val="55"/>
        </w:numPr>
        <w:spacing w:after="7"/>
        <w:ind w:right="874"/>
      </w:pPr>
      <w:r>
        <w:t xml:space="preserve">Кодекс Республики Беларусь о земле 425-З от 23.07.2008 г. // [Электронный ресурс].– Режим доступа: www.kodeksy-by.com.- Дата доступа: 06.04.2017 </w:t>
      </w:r>
    </w:p>
    <w:p w:rsidR="002C0F56" w:rsidRDefault="00E67C6E">
      <w:pPr>
        <w:numPr>
          <w:ilvl w:val="0"/>
          <w:numId w:val="55"/>
        </w:numPr>
        <w:spacing w:after="9"/>
        <w:ind w:right="874"/>
      </w:pPr>
      <w:r>
        <w:t xml:space="preserve">Реестр земельных ресурсов Республики Беларусь (по состоянию на 1 января 2016 года) Государственный комитет по имуществу Республики Беларусь. Минск, 2016.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Гапанович О. Г. </w:t>
      </w:r>
      <w:r>
        <w:rPr>
          <w:b w:val="0"/>
        </w:rPr>
        <w:t xml:space="preserve">Научный руководитель: Куликовская Е. В.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32" w:line="259" w:lineRule="auto"/>
        <w:ind w:left="744" w:firstLine="0"/>
        <w:jc w:val="left"/>
      </w:pPr>
      <w:r>
        <w:rPr>
          <w:i/>
        </w:rPr>
        <w:t xml:space="preserve"> </w:t>
      </w:r>
    </w:p>
    <w:p w:rsidR="002C0F56" w:rsidRDefault="00E67C6E">
      <w:pPr>
        <w:pStyle w:val="1"/>
        <w:ind w:left="700" w:right="1380"/>
      </w:pPr>
      <w:r>
        <w:t xml:space="preserve">ПРОБЛЕМА БАНКРОТСТВА В ЭКОНОМИКЕ РЕСПУБЛИКИ БЕЛАРУСЬ </w:t>
      </w:r>
    </w:p>
    <w:p w:rsidR="002C0F56" w:rsidRDefault="00E67C6E">
      <w:pPr>
        <w:spacing w:after="0" w:line="259" w:lineRule="auto"/>
        <w:ind w:left="744" w:firstLine="0"/>
        <w:jc w:val="left"/>
      </w:pPr>
      <w:r>
        <w:rPr>
          <w:i/>
        </w:rPr>
        <w:t xml:space="preserve"> </w:t>
      </w:r>
    </w:p>
    <w:p w:rsidR="002C0F56" w:rsidRDefault="00E67C6E">
      <w:pPr>
        <w:ind w:left="165" w:right="866"/>
      </w:pPr>
      <w:r>
        <w:lastRenderedPageBreak/>
        <w:t>В современной экономике Республики Беларусь проблема экономической состоятельности (банкротства) приобретает все большую актуальность у всех субъектов хозяйствования, так как снижаются показатели пла</w:t>
      </w:r>
      <w:r>
        <w:t xml:space="preserve">тежеспособности  и финансовой устойчивости предприятий страны, усиливаются процессы интернационализации хозяйственной жизни, происходит вовлечение все большего количества стран в систему международного разделения труда. </w:t>
      </w:r>
    </w:p>
    <w:p w:rsidR="002C0F56" w:rsidRDefault="00E67C6E">
      <w:pPr>
        <w:spacing w:after="0"/>
        <w:ind w:left="165" w:right="867"/>
      </w:pPr>
      <w:r>
        <w:t>В связи с актуальностью данной темы</w:t>
      </w:r>
      <w:r>
        <w:t xml:space="preserve"> необходимо рассмотреть понятия банкротства. Отметим, что банкротство представляет собой сложный процесс, который может быть охарактеризован с различных сторон: юридической, управленческой, финансовой, экономической и др. Изучению различных аспектов банкро</w:t>
      </w:r>
      <w:r>
        <w:t>тства посвящены работы западных (П.Ф. Друкера, К. Боумена, Е. Бригхема, М. Хаммера и др.), российских (А.Г. Грязновой, А.М. Ковалева, Г.П. Иванова, А.Д. Шеремета и др.) и отечественных (Г.В. Савицкая, О.Г. Кобринская, А.П. Смольский и др.) ученых-экономист</w:t>
      </w:r>
      <w:r>
        <w:t>ов. Однако, в условиях глобального финансового кризиса повышенное внимание должно быть уделено исследованию банкротства как объективного экономического явления, оказывающего не только негативное, но и позитивное влияние на трансформационные процессы на все</w:t>
      </w:r>
      <w:r>
        <w:t xml:space="preserve">х уровнях социально-экономической системы государства. В связи с этим необходимо  уточнить сущность юридического и экономического банкротства, а также обосновать классификацию причин и факторов банкротства организации исходя из его видов. </w:t>
      </w:r>
    </w:p>
    <w:p w:rsidR="002C0F56" w:rsidRDefault="00E67C6E">
      <w:pPr>
        <w:spacing w:after="15"/>
        <w:ind w:left="165" w:right="866"/>
      </w:pPr>
      <w:r>
        <w:t>Так, в соответствии с Законом Республики Беларусь ”Об экономической несостоятельности (банкротстве)“ 415-З от 13.07.2012 г. банкротство – неплатежеспособность, имеющая или приобретающая устойчивый характер, признанная решением хозяйственного суда о банкрот</w:t>
      </w:r>
      <w:r>
        <w:t xml:space="preserve">стве с ликвидацией должника – юридического лица, прекращением деятельности должника – индивидуального предпринимателя [1]. </w:t>
      </w:r>
    </w:p>
    <w:p w:rsidR="002C0F56" w:rsidRDefault="00E67C6E">
      <w:pPr>
        <w:ind w:left="165" w:right="871"/>
      </w:pPr>
      <w:r>
        <w:t>В настоящее время значительное число организаций Республики Беларусь (четверть белорусских предприятий) пребывает в кризисном состоя</w:t>
      </w:r>
      <w:r>
        <w:t xml:space="preserve">нии, около половины из них – на поздних стадиях кризиса, то есть являются потенциальными банкротами. Кроме того, наблюдается тенденция к увеличению числа убыточных и неплатежеспособных предприятий. </w:t>
      </w:r>
    </w:p>
    <w:p w:rsidR="002C0F56" w:rsidRDefault="00E67C6E">
      <w:pPr>
        <w:spacing w:after="9"/>
        <w:ind w:left="165" w:right="871"/>
      </w:pPr>
      <w:r>
        <w:t>В основе банкротства лежит множество внутренних и внешних</w:t>
      </w:r>
      <w:r>
        <w:t xml:space="preserve"> причин, препятствующих нормальному осуществлению предприятием его деятельности. Указанные факторы представлены в таблице 1. </w:t>
      </w:r>
    </w:p>
    <w:p w:rsidR="002C0F56" w:rsidRDefault="00E67C6E">
      <w:pPr>
        <w:spacing w:after="0" w:line="259" w:lineRule="auto"/>
        <w:ind w:left="744" w:firstLine="0"/>
        <w:jc w:val="left"/>
      </w:pPr>
      <w:r>
        <w:t xml:space="preserve"> </w:t>
      </w:r>
    </w:p>
    <w:p w:rsidR="002C0F56" w:rsidRDefault="00E67C6E">
      <w:pPr>
        <w:pStyle w:val="4"/>
        <w:ind w:left="1181" w:right="1863"/>
      </w:pPr>
      <w:r>
        <w:rPr>
          <w:b w:val="0"/>
          <w:i/>
        </w:rPr>
        <w:t>Таблица 1</w:t>
      </w:r>
      <w:r>
        <w:t xml:space="preserve"> — Факторы финансового кризиса на предприятии </w:t>
      </w:r>
    </w:p>
    <w:tbl>
      <w:tblPr>
        <w:tblStyle w:val="TableGrid"/>
        <w:tblW w:w="9856" w:type="dxa"/>
        <w:tblInd w:w="72" w:type="dxa"/>
        <w:tblCellMar>
          <w:top w:w="17" w:type="dxa"/>
          <w:left w:w="108" w:type="dxa"/>
          <w:bottom w:w="0" w:type="dxa"/>
          <w:right w:w="54" w:type="dxa"/>
        </w:tblCellMar>
        <w:tblLook w:val="04A0" w:firstRow="1" w:lastRow="0" w:firstColumn="1" w:lastColumn="0" w:noHBand="0" w:noVBand="1"/>
      </w:tblPr>
      <w:tblGrid>
        <w:gridCol w:w="2328"/>
        <w:gridCol w:w="7528"/>
      </w:tblGrid>
      <w:tr w:rsidR="002C0F56">
        <w:trPr>
          <w:trHeight w:val="286"/>
        </w:trPr>
        <w:tc>
          <w:tcPr>
            <w:tcW w:w="23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Факторы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b/>
                <w:sz w:val="24"/>
              </w:rPr>
              <w:t xml:space="preserve">Причины </w:t>
            </w:r>
          </w:p>
        </w:tc>
      </w:tr>
      <w:tr w:rsidR="002C0F56">
        <w:trPr>
          <w:trHeight w:val="288"/>
        </w:trPr>
        <w:tc>
          <w:tcPr>
            <w:tcW w:w="23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i/>
                <w:sz w:val="24"/>
              </w:rPr>
              <w:lastRenderedPageBreak/>
              <w:t xml:space="preserve">1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3" w:firstLine="0"/>
              <w:jc w:val="center"/>
            </w:pPr>
            <w:r>
              <w:rPr>
                <w:i/>
                <w:sz w:val="24"/>
              </w:rPr>
              <w:t xml:space="preserve">2 </w:t>
            </w:r>
          </w:p>
        </w:tc>
      </w:tr>
      <w:tr w:rsidR="002C0F56">
        <w:trPr>
          <w:trHeight w:val="286"/>
        </w:trPr>
        <w:tc>
          <w:tcPr>
            <w:tcW w:w="23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i/>
                <w:sz w:val="24"/>
              </w:rPr>
              <w:t xml:space="preserve">Внешние: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i/>
                <w:sz w:val="24"/>
              </w:rPr>
              <w:t xml:space="preserve">Не зависят от деятельности предприятия </w:t>
            </w:r>
          </w:p>
        </w:tc>
      </w:tr>
      <w:tr w:rsidR="002C0F56">
        <w:trPr>
          <w:trHeight w:val="562"/>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экономические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темпы инфляции, ставки налогов и банковских кредитов, курсы валют, уровень доходов населения и т.д. </w:t>
            </w:r>
          </w:p>
        </w:tc>
      </w:tr>
      <w:tr w:rsidR="002C0F56">
        <w:trPr>
          <w:trHeight w:val="562"/>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политические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обусловлены действиями центральных и местных властей, их отношением к секторам экономики, регионам страны и т.д. </w:t>
            </w:r>
          </w:p>
        </w:tc>
      </w:tr>
      <w:tr w:rsidR="002C0F56">
        <w:trPr>
          <w:trHeight w:val="562"/>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рыночные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усиление монополизма на рынке, существенное снижение спроса и т.д. </w:t>
            </w:r>
          </w:p>
        </w:tc>
      </w:tr>
      <w:tr w:rsidR="002C0F56">
        <w:trPr>
          <w:trHeight w:val="286"/>
        </w:trPr>
        <w:tc>
          <w:tcPr>
            <w:tcW w:w="23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технологические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обусловлены воздействием на экономику НТП </w:t>
            </w:r>
          </w:p>
        </w:tc>
      </w:tr>
    </w:tbl>
    <w:p w:rsidR="002C0F56" w:rsidRDefault="00E67C6E">
      <w:pPr>
        <w:spacing w:after="0" w:line="259" w:lineRule="auto"/>
        <w:ind w:left="10" w:right="853" w:hanging="10"/>
        <w:jc w:val="right"/>
      </w:pPr>
      <w:r>
        <w:rPr>
          <w:i/>
          <w:sz w:val="24"/>
        </w:rPr>
        <w:t xml:space="preserve">Продолжение табл. 1 </w:t>
      </w:r>
    </w:p>
    <w:tbl>
      <w:tblPr>
        <w:tblStyle w:val="TableGrid"/>
        <w:tblW w:w="9856" w:type="dxa"/>
        <w:tblInd w:w="72" w:type="dxa"/>
        <w:tblCellMar>
          <w:top w:w="17" w:type="dxa"/>
          <w:left w:w="108" w:type="dxa"/>
          <w:bottom w:w="0" w:type="dxa"/>
          <w:right w:w="48" w:type="dxa"/>
        </w:tblCellMar>
        <w:tblLook w:val="04A0" w:firstRow="1" w:lastRow="0" w:firstColumn="1" w:lastColumn="0" w:noHBand="0" w:noVBand="1"/>
      </w:tblPr>
      <w:tblGrid>
        <w:gridCol w:w="2328"/>
        <w:gridCol w:w="7528"/>
      </w:tblGrid>
      <w:tr w:rsidR="002C0F56">
        <w:trPr>
          <w:trHeight w:val="288"/>
        </w:trPr>
        <w:tc>
          <w:tcPr>
            <w:tcW w:w="23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1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 </w:t>
            </w:r>
          </w:p>
        </w:tc>
      </w:tr>
      <w:tr w:rsidR="002C0F56">
        <w:trPr>
          <w:trHeight w:val="562"/>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социокультурные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обусловлены отношением людей к работе, уровню благосостояния, частному бизнесу, уровнем образования населения и т.д. </w:t>
            </w:r>
          </w:p>
        </w:tc>
      </w:tr>
      <w:tr w:rsidR="002C0F56">
        <w:trPr>
          <w:trHeight w:val="562"/>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международные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связаны с глобализацией экономики, деятельностью ТНК, экономических и военно-</w:t>
            </w:r>
            <w:r>
              <w:rPr>
                <w:sz w:val="24"/>
              </w:rPr>
              <w:t xml:space="preserve">политических объединений </w:t>
            </w:r>
          </w:p>
        </w:tc>
      </w:tr>
      <w:tr w:rsidR="002C0F56">
        <w:trPr>
          <w:trHeight w:val="286"/>
        </w:trPr>
        <w:tc>
          <w:tcPr>
            <w:tcW w:w="23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i/>
                <w:sz w:val="24"/>
              </w:rPr>
              <w:t xml:space="preserve">Внутренние: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i/>
                <w:sz w:val="24"/>
              </w:rPr>
              <w:t xml:space="preserve">Зависят от деятельности предприятия </w:t>
            </w:r>
          </w:p>
        </w:tc>
      </w:tr>
      <w:tr w:rsidR="002C0F56">
        <w:trPr>
          <w:trHeight w:val="562"/>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инвестиционные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неудовлетворительная структура инвестиционного портфеля, неэффективный инвестиционный менеджмент и т.п. </w:t>
            </w:r>
          </w:p>
        </w:tc>
      </w:tr>
      <w:tr w:rsidR="002C0F56">
        <w:trPr>
          <w:trHeight w:val="838"/>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операционные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right="64" w:firstLine="0"/>
            </w:pPr>
            <w:r>
              <w:rPr>
                <w:sz w:val="24"/>
              </w:rPr>
              <w:t xml:space="preserve">высокая доля постоянных затрат, низкий уровень использования основных средств, неэффективный производственный менеджмент и т.п. </w:t>
            </w:r>
          </w:p>
        </w:tc>
      </w:tr>
      <w:tr w:rsidR="002C0F56">
        <w:trPr>
          <w:trHeight w:val="564"/>
        </w:trPr>
        <w:tc>
          <w:tcPr>
            <w:tcW w:w="232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финансовые </w:t>
            </w:r>
          </w:p>
        </w:tc>
        <w:tc>
          <w:tcPr>
            <w:tcW w:w="752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низкая ликвидность активов, чрезмерная доля заемного капитала, рост дебиторской задолженности, неэффект. финансовы</w:t>
            </w:r>
            <w:r>
              <w:rPr>
                <w:sz w:val="24"/>
              </w:rPr>
              <w:t xml:space="preserve">й менеджмент и др. </w:t>
            </w:r>
          </w:p>
        </w:tc>
      </w:tr>
    </w:tbl>
    <w:p w:rsidR="002C0F56" w:rsidRDefault="00E67C6E">
      <w:pPr>
        <w:spacing w:after="5" w:line="271" w:lineRule="auto"/>
        <w:ind w:left="673" w:hanging="10"/>
        <w:jc w:val="left"/>
      </w:pPr>
      <w:r>
        <w:rPr>
          <w:sz w:val="24"/>
        </w:rPr>
        <w:t xml:space="preserve">Источник: собственная разработка. </w:t>
      </w:r>
    </w:p>
    <w:p w:rsidR="002C0F56" w:rsidRDefault="00E67C6E">
      <w:pPr>
        <w:spacing w:after="0" w:line="259" w:lineRule="auto"/>
        <w:ind w:left="744" w:firstLine="0"/>
        <w:jc w:val="left"/>
      </w:pPr>
      <w:r>
        <w:t xml:space="preserve"> </w:t>
      </w:r>
    </w:p>
    <w:p w:rsidR="002C0F56" w:rsidRDefault="00E67C6E">
      <w:pPr>
        <w:spacing w:after="2"/>
        <w:ind w:left="165" w:right="872"/>
      </w:pPr>
      <w:r>
        <w:t>Следует отметить, что одна или даже несколько вышеуказанных причин не приводят хозяйствующий субъект к банкротству единовременно. Как правило, экономическая несостоятельность наступает по причине отсутствия или недостаточности внимания этим внешним либо вн</w:t>
      </w:r>
      <w:r>
        <w:t xml:space="preserve">утренним факторам.   </w:t>
      </w:r>
    </w:p>
    <w:p w:rsidR="002C0F56" w:rsidRDefault="00E67C6E">
      <w:pPr>
        <w:spacing w:after="9"/>
        <w:ind w:left="165" w:right="869"/>
      </w:pPr>
      <w:r>
        <w:t>За последние годы количество убыточных организаций неуклонно растет. Так, согласно данным Национального статистического комитета Республики Беларусь, по итогам 2014 года количество убыточных организаций выросло на 28,3 % в сравнении с</w:t>
      </w:r>
      <w:r>
        <w:t xml:space="preserve"> 2013 годом (с 875 до 1221 единицы); сумма чистого убытка убыточных организаций — на 51,8 %. Удельный вес убыточных организаций в общем количестве организаций, функционирующих на территории Республики Беларусь, составил 15,2 %.   </w:t>
      </w:r>
    </w:p>
    <w:p w:rsidR="002C0F56" w:rsidRDefault="00E67C6E">
      <w:pPr>
        <w:spacing w:after="0"/>
        <w:ind w:left="165" w:right="870"/>
      </w:pPr>
      <w:r>
        <w:t>По состоянию на 1 февраля</w:t>
      </w:r>
      <w:r>
        <w:t xml:space="preserve"> 2016 года общее количество дел об экономической несостоятельности (банкротстве), находящихся в производстве экономических судов, составило 2587 и увеличилось по сравнению с предыдущим годом на 18%, из которых количество дел об экономической несостоятельно</w:t>
      </w:r>
      <w:r>
        <w:t xml:space="preserve">сти (банкротстве) организаций частной формы собственности </w:t>
      </w:r>
      <w:r>
        <w:lastRenderedPageBreak/>
        <w:t>составляет 2514 дел, то есть 97,2 % от общего количества дел данной категории. По состоянию на 1 февраля 2016 года в производстве экономических судов Республики Беларусь числится 73 дела об экономич</w:t>
      </w:r>
      <w:r>
        <w:t xml:space="preserve">еской несостоятельности (банкротстве) организаций, имеющих значение для экономики и социальной сферы страны [2].  </w:t>
      </w:r>
    </w:p>
    <w:p w:rsidR="002C0F56" w:rsidRDefault="00E67C6E">
      <w:pPr>
        <w:ind w:left="165" w:right="302"/>
      </w:pPr>
      <w:r>
        <w:t xml:space="preserve">Перечень организаций, находящихся в процедурах банкротства в течение 2013—2015 годов и темпы роста представлены в таблице 2. </w:t>
      </w:r>
    </w:p>
    <w:p w:rsidR="002C0F56" w:rsidRDefault="00E67C6E">
      <w:pPr>
        <w:spacing w:after="10"/>
        <w:ind w:left="165" w:right="869"/>
      </w:pPr>
      <w:r>
        <w:t>Анализ данных т</w:t>
      </w:r>
      <w:r>
        <w:t>аблицы 2 свидетельствует о постепенном росте предприятий-банкротов. Значительный скачок произошел в 2015 году, когда в процессе банкротства было ликвидировано почти на 50 % предприятий больше в сравнении с 2014 годом. Процедуру банкротства в 2016 году в ча</w:t>
      </w:r>
      <w:r>
        <w:t xml:space="preserve">стности прошел белорусский производитель бельевого трикотажа ООО ”Серж“. В сентябре он был признан экономически несостоятельным, до середины сентября 2017 года компания должна быть ликвидирована [3]. </w:t>
      </w:r>
    </w:p>
    <w:p w:rsidR="002C0F56" w:rsidRDefault="00E67C6E">
      <w:pPr>
        <w:spacing w:after="9"/>
        <w:ind w:left="165" w:right="873"/>
      </w:pPr>
      <w:r>
        <w:t>Также в минувшем году объявлен дефолт по облигациям ком</w:t>
      </w:r>
      <w:r>
        <w:t xml:space="preserve">пании НТС, которая является владельцем сети магазинов шаговой доступности ”Родная сторона“. </w:t>
      </w:r>
    </w:p>
    <w:p w:rsidR="002C0F56" w:rsidRDefault="00E67C6E">
      <w:pPr>
        <w:spacing w:after="0" w:line="259" w:lineRule="auto"/>
        <w:ind w:left="744" w:firstLine="0"/>
        <w:jc w:val="left"/>
      </w:pPr>
      <w:r>
        <w:t xml:space="preserve"> </w:t>
      </w:r>
    </w:p>
    <w:p w:rsidR="002C0F56" w:rsidRDefault="00E67C6E">
      <w:pPr>
        <w:spacing w:after="5" w:line="270" w:lineRule="auto"/>
        <w:ind w:left="10" w:right="454" w:hanging="10"/>
        <w:jc w:val="center"/>
      </w:pPr>
      <w:r>
        <w:rPr>
          <w:i/>
          <w:sz w:val="24"/>
        </w:rPr>
        <w:t>Таблица 2</w:t>
      </w:r>
      <w:r>
        <w:rPr>
          <w:b/>
          <w:sz w:val="24"/>
        </w:rPr>
        <w:t xml:space="preserve"> — Динамика банкротств в Республике Беларусь за период 2013-2015 гг. </w:t>
      </w:r>
    </w:p>
    <w:tbl>
      <w:tblPr>
        <w:tblStyle w:val="TableGrid"/>
        <w:tblW w:w="9650" w:type="dxa"/>
        <w:tblInd w:w="72" w:type="dxa"/>
        <w:tblCellMar>
          <w:top w:w="14" w:type="dxa"/>
          <w:left w:w="108" w:type="dxa"/>
          <w:bottom w:w="0" w:type="dxa"/>
          <w:right w:w="51" w:type="dxa"/>
        </w:tblCellMar>
        <w:tblLook w:val="04A0" w:firstRow="1" w:lastRow="0" w:firstColumn="1" w:lastColumn="0" w:noHBand="0" w:noVBand="1"/>
      </w:tblPr>
      <w:tblGrid>
        <w:gridCol w:w="3965"/>
        <w:gridCol w:w="804"/>
        <w:gridCol w:w="766"/>
        <w:gridCol w:w="1702"/>
        <w:gridCol w:w="766"/>
        <w:gridCol w:w="1647"/>
      </w:tblGrid>
      <w:tr w:rsidR="002C0F56">
        <w:trPr>
          <w:trHeight w:val="562"/>
        </w:trPr>
        <w:tc>
          <w:tcPr>
            <w:tcW w:w="39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b/>
                <w:sz w:val="24"/>
              </w:rPr>
              <w:t xml:space="preserve">Показатели </w:t>
            </w:r>
          </w:p>
        </w:tc>
        <w:tc>
          <w:tcPr>
            <w:tcW w:w="8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b/>
                <w:sz w:val="24"/>
              </w:rPr>
              <w:t xml:space="preserve">2013 год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b/>
                <w:sz w:val="24"/>
              </w:rPr>
              <w:t xml:space="preserve">2014 год </w:t>
            </w:r>
          </w:p>
        </w:tc>
        <w:tc>
          <w:tcPr>
            <w:tcW w:w="170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b/>
                <w:sz w:val="24"/>
              </w:rPr>
              <w:t xml:space="preserve">Темп роста 2014/2013, %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b/>
                <w:sz w:val="24"/>
              </w:rPr>
              <w:t xml:space="preserve">2015 год </w:t>
            </w:r>
          </w:p>
        </w:tc>
        <w:tc>
          <w:tcPr>
            <w:tcW w:w="16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b/>
                <w:sz w:val="24"/>
              </w:rPr>
              <w:t xml:space="preserve">Темп роста </w:t>
            </w:r>
            <w:r>
              <w:rPr>
                <w:b/>
                <w:sz w:val="24"/>
              </w:rPr>
              <w:t xml:space="preserve">2015/2014, % </w:t>
            </w:r>
          </w:p>
        </w:tc>
      </w:tr>
      <w:tr w:rsidR="002C0F56">
        <w:trPr>
          <w:trHeight w:val="840"/>
        </w:trPr>
        <w:tc>
          <w:tcPr>
            <w:tcW w:w="39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1" w:firstLine="0"/>
              <w:jc w:val="left"/>
            </w:pPr>
            <w:r>
              <w:rPr>
                <w:sz w:val="24"/>
              </w:rPr>
              <w:t xml:space="preserve">восстановление платежеспособности </w:t>
            </w:r>
            <w:r>
              <w:rPr>
                <w:sz w:val="24"/>
              </w:rPr>
              <w:tab/>
              <w:t xml:space="preserve">должника </w:t>
            </w:r>
            <w:r>
              <w:rPr>
                <w:sz w:val="24"/>
              </w:rPr>
              <w:tab/>
              <w:t xml:space="preserve">в процессе санации </w:t>
            </w:r>
          </w:p>
        </w:tc>
        <w:tc>
          <w:tcPr>
            <w:tcW w:w="8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0" w:firstLine="0"/>
              <w:jc w:val="center"/>
            </w:pPr>
            <w:r>
              <w:rPr>
                <w:sz w:val="24"/>
              </w:rPr>
              <w:t xml:space="preserve">3 </w:t>
            </w:r>
          </w:p>
        </w:tc>
        <w:tc>
          <w:tcPr>
            <w:tcW w:w="7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0" w:firstLine="0"/>
              <w:jc w:val="center"/>
            </w:pPr>
            <w:r>
              <w:rPr>
                <w:sz w:val="24"/>
              </w:rPr>
              <w:t xml:space="preserve">1 </w:t>
            </w:r>
          </w:p>
        </w:tc>
        <w:tc>
          <w:tcPr>
            <w:tcW w:w="170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33,3 </w:t>
            </w:r>
          </w:p>
        </w:tc>
        <w:tc>
          <w:tcPr>
            <w:tcW w:w="7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 </w:t>
            </w:r>
          </w:p>
        </w:tc>
        <w:tc>
          <w:tcPr>
            <w:tcW w:w="164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 </w:t>
            </w:r>
          </w:p>
        </w:tc>
      </w:tr>
      <w:tr w:rsidR="002C0F56">
        <w:trPr>
          <w:trHeight w:val="286"/>
        </w:trPr>
        <w:tc>
          <w:tcPr>
            <w:tcW w:w="39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заключение мирового соглашения </w:t>
            </w:r>
          </w:p>
        </w:tc>
        <w:tc>
          <w:tcPr>
            <w:tcW w:w="8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4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9 </w:t>
            </w:r>
          </w:p>
        </w:tc>
        <w:tc>
          <w:tcPr>
            <w:tcW w:w="170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155,6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4 </w:t>
            </w:r>
          </w:p>
        </w:tc>
        <w:tc>
          <w:tcPr>
            <w:tcW w:w="16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44,4 </w:t>
            </w:r>
          </w:p>
        </w:tc>
      </w:tr>
      <w:tr w:rsidR="002C0F56">
        <w:trPr>
          <w:trHeight w:val="562"/>
        </w:trPr>
        <w:tc>
          <w:tcPr>
            <w:tcW w:w="3966"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3807"/>
              </w:tabs>
              <w:spacing w:after="28" w:line="259" w:lineRule="auto"/>
              <w:ind w:left="0" w:firstLine="0"/>
              <w:jc w:val="left"/>
            </w:pPr>
            <w:r>
              <w:rPr>
                <w:sz w:val="24"/>
              </w:rPr>
              <w:t xml:space="preserve">завершение </w:t>
            </w:r>
            <w:r>
              <w:rPr>
                <w:sz w:val="24"/>
              </w:rPr>
              <w:tab/>
              <w:t xml:space="preserve">ликвидационного </w:t>
            </w:r>
          </w:p>
          <w:p w:rsidR="002C0F56" w:rsidRDefault="00E67C6E">
            <w:pPr>
              <w:spacing w:after="0" w:line="259" w:lineRule="auto"/>
              <w:ind w:left="0" w:firstLine="0"/>
              <w:jc w:val="left"/>
            </w:pPr>
            <w:r>
              <w:rPr>
                <w:sz w:val="24"/>
              </w:rPr>
              <w:t xml:space="preserve">производства </w:t>
            </w:r>
          </w:p>
        </w:tc>
        <w:tc>
          <w:tcPr>
            <w:tcW w:w="8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4" w:firstLine="0"/>
              <w:jc w:val="left"/>
            </w:pPr>
            <w:r>
              <w:rPr>
                <w:sz w:val="24"/>
              </w:rPr>
              <w:t xml:space="preserve">1 663 </w:t>
            </w:r>
          </w:p>
        </w:tc>
        <w:tc>
          <w:tcPr>
            <w:tcW w:w="7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left"/>
            </w:pPr>
            <w:r>
              <w:rPr>
                <w:sz w:val="24"/>
              </w:rPr>
              <w:t xml:space="preserve">1 835 </w:t>
            </w:r>
          </w:p>
        </w:tc>
        <w:tc>
          <w:tcPr>
            <w:tcW w:w="170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109,4 </w:t>
            </w:r>
          </w:p>
        </w:tc>
        <w:tc>
          <w:tcPr>
            <w:tcW w:w="7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left"/>
            </w:pPr>
            <w:r>
              <w:rPr>
                <w:sz w:val="24"/>
              </w:rPr>
              <w:t xml:space="preserve">3 259 </w:t>
            </w:r>
          </w:p>
        </w:tc>
        <w:tc>
          <w:tcPr>
            <w:tcW w:w="164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9" w:firstLine="0"/>
              <w:jc w:val="center"/>
            </w:pPr>
            <w:r>
              <w:rPr>
                <w:sz w:val="24"/>
              </w:rPr>
              <w:t xml:space="preserve">143,7 </w:t>
            </w:r>
          </w:p>
        </w:tc>
      </w:tr>
      <w:tr w:rsidR="002C0F56">
        <w:trPr>
          <w:trHeight w:val="838"/>
        </w:trPr>
        <w:tc>
          <w:tcPr>
            <w:tcW w:w="39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pPr>
            <w:r>
              <w:rPr>
                <w:sz w:val="24"/>
              </w:rPr>
              <w:t xml:space="preserve">удовлетворение всех требований кредиторов до принятия решения о банкротстве </w:t>
            </w:r>
          </w:p>
        </w:tc>
        <w:tc>
          <w:tcPr>
            <w:tcW w:w="8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0" w:firstLine="0"/>
              <w:jc w:val="center"/>
            </w:pPr>
            <w:r>
              <w:rPr>
                <w:sz w:val="24"/>
              </w:rPr>
              <w:t xml:space="preserve">8 </w:t>
            </w:r>
          </w:p>
        </w:tc>
        <w:tc>
          <w:tcPr>
            <w:tcW w:w="7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0" w:firstLine="0"/>
              <w:jc w:val="center"/>
            </w:pPr>
            <w:r>
              <w:rPr>
                <w:sz w:val="24"/>
              </w:rPr>
              <w:t xml:space="preserve">7 </w:t>
            </w:r>
          </w:p>
        </w:tc>
        <w:tc>
          <w:tcPr>
            <w:tcW w:w="170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87,5 </w:t>
            </w:r>
          </w:p>
        </w:tc>
        <w:tc>
          <w:tcPr>
            <w:tcW w:w="7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0" w:firstLine="0"/>
              <w:jc w:val="center"/>
            </w:pPr>
            <w:r>
              <w:rPr>
                <w:sz w:val="24"/>
              </w:rPr>
              <w:t xml:space="preserve">2 </w:t>
            </w:r>
          </w:p>
        </w:tc>
        <w:tc>
          <w:tcPr>
            <w:tcW w:w="164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9" w:firstLine="0"/>
              <w:jc w:val="center"/>
            </w:pPr>
            <w:r>
              <w:rPr>
                <w:sz w:val="24"/>
              </w:rPr>
              <w:t xml:space="preserve">28,6 </w:t>
            </w:r>
          </w:p>
        </w:tc>
      </w:tr>
      <w:tr w:rsidR="002C0F56">
        <w:trPr>
          <w:trHeight w:val="286"/>
        </w:trPr>
        <w:tc>
          <w:tcPr>
            <w:tcW w:w="39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другие </w:t>
            </w:r>
          </w:p>
        </w:tc>
        <w:tc>
          <w:tcPr>
            <w:tcW w:w="8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20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20 </w:t>
            </w:r>
          </w:p>
        </w:tc>
        <w:tc>
          <w:tcPr>
            <w:tcW w:w="170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100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 </w:t>
            </w:r>
          </w:p>
        </w:tc>
        <w:tc>
          <w:tcPr>
            <w:tcW w:w="16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10 </w:t>
            </w:r>
          </w:p>
        </w:tc>
      </w:tr>
      <w:tr w:rsidR="002C0F56">
        <w:trPr>
          <w:trHeight w:val="288"/>
        </w:trPr>
        <w:tc>
          <w:tcPr>
            <w:tcW w:w="39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ВСЕГО </w:t>
            </w:r>
          </w:p>
        </w:tc>
        <w:tc>
          <w:tcPr>
            <w:tcW w:w="8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4" w:firstLine="0"/>
              <w:jc w:val="left"/>
            </w:pPr>
            <w:r>
              <w:rPr>
                <w:sz w:val="24"/>
              </w:rPr>
              <w:t xml:space="preserve">1 698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left"/>
            </w:pPr>
            <w:r>
              <w:rPr>
                <w:sz w:val="24"/>
              </w:rPr>
              <w:t xml:space="preserve">1 872 </w:t>
            </w:r>
          </w:p>
        </w:tc>
        <w:tc>
          <w:tcPr>
            <w:tcW w:w="170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109,3 </w:t>
            </w:r>
          </w:p>
        </w:tc>
        <w:tc>
          <w:tcPr>
            <w:tcW w:w="7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left"/>
            </w:pPr>
            <w:r>
              <w:rPr>
                <w:sz w:val="24"/>
              </w:rPr>
              <w:t xml:space="preserve">3 269 </w:t>
            </w:r>
          </w:p>
        </w:tc>
        <w:tc>
          <w:tcPr>
            <w:tcW w:w="16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142,7 </w:t>
            </w:r>
          </w:p>
        </w:tc>
      </w:tr>
    </w:tbl>
    <w:p w:rsidR="002C0F56" w:rsidRDefault="00E67C6E">
      <w:pPr>
        <w:spacing w:after="5" w:line="271" w:lineRule="auto"/>
        <w:ind w:left="673" w:hanging="10"/>
        <w:jc w:val="left"/>
      </w:pPr>
      <w:r>
        <w:rPr>
          <w:sz w:val="24"/>
        </w:rPr>
        <w:t xml:space="preserve">Источник: собственная разработка. </w:t>
      </w:r>
    </w:p>
    <w:p w:rsidR="002C0F56" w:rsidRDefault="00E67C6E">
      <w:pPr>
        <w:spacing w:after="0" w:line="259" w:lineRule="auto"/>
        <w:ind w:left="744" w:firstLine="0"/>
        <w:jc w:val="left"/>
      </w:pPr>
      <w:r>
        <w:t xml:space="preserve"> </w:t>
      </w:r>
    </w:p>
    <w:p w:rsidR="002C0F56" w:rsidRDefault="00E67C6E">
      <w:pPr>
        <w:spacing w:after="0"/>
        <w:ind w:left="165" w:right="871"/>
      </w:pPr>
      <w:r>
        <w:t>Таким образом, указанные тенденции обусловлены тем, что на практике первоочередной задачей в управлении предприятием является решение текущих проблем, связанных с эффективным использованием их потенциала. Вопросы обеспечения перспектив развития с обеспечен</w:t>
      </w:r>
      <w:r>
        <w:t xml:space="preserve">ием защиты от изменений внешней среды остаются без внимания. В большинстве белорусских организаций </w:t>
      </w:r>
      <w:r>
        <w:lastRenderedPageBreak/>
        <w:t>практически отсутствует механизм по ранней диагностике и предупреждению банкротства. Прежде всего, это связано с восприятием антикризисного управления только</w:t>
      </w:r>
      <w:r>
        <w:t xml:space="preserve"> как неких действий по выводу предприятия из кризисной ситуации. Также одним из основных факторов банкротства предприятий страны является закредитованность, растущее кредитное бремя </w:t>
      </w:r>
    </w:p>
    <w:p w:rsidR="002C0F56" w:rsidRDefault="00E67C6E">
      <w:pPr>
        <w:spacing w:after="12"/>
        <w:ind w:left="165" w:right="302" w:firstLine="0"/>
      </w:pPr>
      <w:r>
        <w:t xml:space="preserve">[4]. </w:t>
      </w:r>
    </w:p>
    <w:p w:rsidR="002C0F56" w:rsidRDefault="00E67C6E">
      <w:pPr>
        <w:spacing w:after="0"/>
        <w:ind w:left="165" w:right="867"/>
      </w:pPr>
      <w:r>
        <w:t xml:space="preserve">Существующую ситуацию в экономике возможно решить с использованием </w:t>
      </w:r>
      <w:r>
        <w:t>принципиально новых подходов в промышленной политике, в частности создания эффективных механизмов по выявлению на ранних стадиях экономически несостоятельных предприятий, путем организации института банкротства. Правительством страны также предусматриваетс</w:t>
      </w:r>
      <w:r>
        <w:t xml:space="preserve">я путь реформирования хозяйствующих субъектов, то есть реструктуризация находящихся в государственной собственности организаций и утверждения стратегии управления государственными активами на перспективу. Вместе с тем существует необходимость в сокращении </w:t>
      </w:r>
      <w:r>
        <w:t xml:space="preserve">государственной поддержки, отказа от убыточных видов деятельности.  </w:t>
      </w:r>
    </w:p>
    <w:p w:rsidR="002C0F56" w:rsidRDefault="00E67C6E">
      <w:pPr>
        <w:spacing w:after="0"/>
        <w:ind w:left="165" w:right="302"/>
      </w:pPr>
      <w:r>
        <w:t>В свою очередь банкротства может иметь положительное и отрицательное влияние на экономику страны. Так, возрождение в лучшую сторону можно характеризовать началом новой деятельности, замен</w:t>
      </w:r>
      <w:r>
        <w:t>а некомпетентных руководителей, закрытие организации должника и возвращение долгов кредиторам через суд, передача осуществления деятельности организации от государства в частные руки. Вместе с тем, банкротство может привести к снижению потребительского рын</w:t>
      </w:r>
      <w:r>
        <w:t xml:space="preserve">ка, потеря кредиторами части своего капитала, ухудшение материального положения работников организации в силу длит. задержки, причитающихся им сумм зарплаты, пособий, сокращение рабочих мест, возникновение социальной напряженности. </w:t>
      </w:r>
    </w:p>
    <w:p w:rsidR="002C0F56" w:rsidRDefault="00E67C6E">
      <w:pPr>
        <w:spacing w:after="24" w:line="259" w:lineRule="auto"/>
        <w:ind w:left="0" w:right="55" w:firstLine="0"/>
        <w:jc w:val="center"/>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56"/>
        </w:numPr>
        <w:ind w:right="865"/>
      </w:pPr>
      <w:r>
        <w:t>О</w:t>
      </w:r>
      <w:r>
        <w:t xml:space="preserve">б экономической несостоятельности (банкротстве). Закон Республики Беларусь от 13.07.2012 г. №415-З // Эталон – Беларусь [Электронный ресурс] / </w:t>
      </w:r>
    </w:p>
    <w:p w:rsidR="002C0F56" w:rsidRDefault="00E67C6E">
      <w:pPr>
        <w:ind w:left="165" w:right="302" w:firstLine="0"/>
      </w:pPr>
      <w:r>
        <w:t xml:space="preserve">Национальный центр правовой информации Республики Беларусь. – Минск, 2017. Дата доступа: 11.04.2017. </w:t>
      </w:r>
    </w:p>
    <w:p w:rsidR="002C0F56" w:rsidRDefault="00E67C6E">
      <w:pPr>
        <w:numPr>
          <w:ilvl w:val="0"/>
          <w:numId w:val="56"/>
        </w:numPr>
        <w:ind w:right="865"/>
      </w:pPr>
      <w:r>
        <w:t>Сведения о</w:t>
      </w:r>
      <w:r>
        <w:t xml:space="preserve"> банкротстве // Единый государственный реестр сведений о банкротстве [Электронный ресурс]. – Режим доступа: http://bankrot.gov.by/Debtors.aspx. – Дата доступа: 13.04.2017. </w:t>
      </w:r>
    </w:p>
    <w:p w:rsidR="002C0F56" w:rsidRDefault="00E67C6E">
      <w:pPr>
        <w:numPr>
          <w:ilvl w:val="0"/>
          <w:numId w:val="56"/>
        </w:numPr>
        <w:ind w:right="865"/>
      </w:pPr>
      <w:r>
        <w:t>Количество дел о банкротстве в Беларуси растет // Информационноаналитический ресурс</w:t>
      </w:r>
      <w:r>
        <w:t xml:space="preserve"> ”Банкротство“ [Электронный ресурс]. – Режим доступа: </w:t>
      </w:r>
      <w:hyperlink r:id="rId351">
        <w:r>
          <w:t>http://www.bankrot.by/oa/3830</w:t>
        </w:r>
      </w:hyperlink>
      <w:hyperlink r:id="rId352">
        <w:r>
          <w:t>.</w:t>
        </w:r>
      </w:hyperlink>
      <w:r>
        <w:t xml:space="preserve"> – Дата доступа: 15.04.2017. </w:t>
      </w:r>
    </w:p>
    <w:p w:rsidR="002C0F56" w:rsidRDefault="00E67C6E">
      <w:pPr>
        <w:numPr>
          <w:ilvl w:val="0"/>
          <w:numId w:val="56"/>
        </w:numPr>
        <w:ind w:right="865"/>
      </w:pPr>
      <w:r>
        <w:lastRenderedPageBreak/>
        <w:t>Банкротство предприятия // ЗАО ”Центр ликвид</w:t>
      </w:r>
      <w:r>
        <w:t xml:space="preserve">ации предприятий“ [Электронный ресурс]. – Режим доступа: http://www.likvidator.by/bankruptcy.html. – Дата доступа: 16.04.2017.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Гапанюк М. </w:t>
      </w:r>
      <w:r>
        <w:rPr>
          <w:b w:val="0"/>
        </w:rPr>
        <w:t xml:space="preserve">Научный руководитель: Тарасенко Л.М., к.э.н., проф. </w:t>
      </w:r>
    </w:p>
    <w:p w:rsidR="002C0F56" w:rsidRDefault="00E67C6E">
      <w:pPr>
        <w:spacing w:after="0" w:line="267" w:lineRule="auto"/>
        <w:ind w:left="905" w:right="860" w:hanging="10"/>
        <w:jc w:val="right"/>
      </w:pPr>
      <w:r>
        <w:rPr>
          <w:i/>
        </w:rPr>
        <w:t xml:space="preserve">Макеевский экономико-гуманитарный институт </w:t>
      </w:r>
    </w:p>
    <w:p w:rsidR="002C0F56" w:rsidRDefault="00E67C6E">
      <w:pPr>
        <w:spacing w:after="30" w:line="259" w:lineRule="auto"/>
        <w:ind w:left="744" w:firstLine="0"/>
        <w:jc w:val="left"/>
      </w:pPr>
      <w:r>
        <w:t xml:space="preserve"> </w:t>
      </w:r>
    </w:p>
    <w:p w:rsidR="002C0F56" w:rsidRDefault="00E67C6E">
      <w:pPr>
        <w:pStyle w:val="1"/>
        <w:ind w:left="700" w:right="1377"/>
      </w:pPr>
      <w:r>
        <w:t xml:space="preserve">СОВРЕМЕННЫЕ ГЛОБАЛЬНЫЕ ПРОБЛЕМЫ ЭКОНОМИКИ </w:t>
      </w:r>
    </w:p>
    <w:p w:rsidR="002C0F56" w:rsidRDefault="00E67C6E">
      <w:pPr>
        <w:spacing w:after="25" w:line="259" w:lineRule="auto"/>
        <w:ind w:left="744" w:firstLine="0"/>
        <w:jc w:val="left"/>
      </w:pPr>
      <w:r>
        <w:rPr>
          <w:b/>
        </w:rPr>
        <w:t xml:space="preserve"> </w:t>
      </w:r>
    </w:p>
    <w:p w:rsidR="002C0F56" w:rsidRDefault="00E67C6E">
      <w:pPr>
        <w:spacing w:after="0"/>
        <w:ind w:left="165" w:right="873"/>
      </w:pPr>
      <w:r>
        <w:t>Нарастающее развитие процесса глобализации, его противоречивость и негативные последствия обусловливают соответствующий интерес к этой проблеме ученых всего мира. Современная экономическая литература содержит зн</w:t>
      </w:r>
      <w:r>
        <w:t>ачительный объем теоретических и эмпирических работ, посвященных анализу современного глобального мира [1]. Однако относительная новизна глобализации как объекта исследования, а также сложность и комплексность данного понятия не позволили сложиться единому</w:t>
      </w:r>
      <w:r>
        <w:t xml:space="preserve"> пониманию и определению процессов глобализации.  </w:t>
      </w:r>
    </w:p>
    <w:p w:rsidR="002C0F56" w:rsidRDefault="00E67C6E">
      <w:pPr>
        <w:ind w:left="165" w:right="866"/>
      </w:pPr>
      <w:r>
        <w:t>Процессы глобализации затрагивают самые разнообразные аспекты нашей жизни – экономику, политику, культуру, идеологию, безопасность, окружающую среду. Экономическое измерение глобализации включает в себя мн</w:t>
      </w:r>
      <w:r>
        <w:t>огократно возросшие за последние десятилетия межстрановые потоки товаров и услуг, капитала и информации, а также растущую мобильность людей в международном масштабе. В целом глобализацию мировой экономики можно охарактеризовать как усиление взаимозависимос</w:t>
      </w:r>
      <w:r>
        <w:t>ти национальных экономик, взаимовлияния и взаимопереплетения различных сфер и процессов в мировом хозяйстве. Последние годы характеризуются бурным всплеском общественного интереса к проблеме глобализации, принимающего иногда форму активного протеста так на</w:t>
      </w:r>
      <w:r>
        <w:t>зываемых антиглобалистов против деятельности международных экономических организаций и правительств ведущих промышленно развитых стран. Противники глобализации ассоциируют ее развитие с обострением проблем, многие из которых вызывают не только законную оза</w:t>
      </w:r>
      <w:r>
        <w:t>боченность, но и действительно приобретают глобальный характер, если брать чисто экономическую сторону вопроса, то основами их этих проблем являются углубление неравенства, разрыва между богатством и бедностью (как внутри стран, так и между странами) и рас</w:t>
      </w:r>
      <w:r>
        <w:t xml:space="preserve">тущая экономическая нестабильность. </w:t>
      </w:r>
    </w:p>
    <w:p w:rsidR="002C0F56" w:rsidRDefault="00E67C6E">
      <w:pPr>
        <w:spacing w:after="0"/>
        <w:ind w:left="165" w:right="866"/>
      </w:pPr>
      <w:r>
        <w:t xml:space="preserve">Хотя проблема глобализации стала широко обсуждаться в последние годы, и даже термин «глобализация» утвердился в международном лексиконе лишь в 1990-е годы, саму эту проблему вряд ли можно считать новой. В течение всего </w:t>
      </w:r>
      <w:r>
        <w:lastRenderedPageBreak/>
        <w:t>этого времени развивались международное разделение труда, внешняя торговля, постепенно формировалась международная кооперация производства и в целом происходило усиление взаимозависимости национальных экономик. Все эти процессы правильнее бы называть интер</w:t>
      </w:r>
      <w:r>
        <w:t xml:space="preserve">национализацией хозяйственной жизни [2]. </w:t>
      </w:r>
    </w:p>
    <w:p w:rsidR="002C0F56" w:rsidRDefault="00E67C6E">
      <w:pPr>
        <w:ind w:left="165" w:right="866"/>
      </w:pPr>
      <w:r>
        <w:t>Впервые термин «глобализация» был использован американским экономистом Теодором Левиттом (TheodoreLevitt) в 1983 г. в статье «Глобализация рынков» («TheGlobalizationofMarkets»). Под глобализацией Т. Левиттон понима</w:t>
      </w:r>
      <w:r>
        <w:t>ет объединение отдельных рынков сбыта продукции крупных международных компаний [3]. В настоящее время проблемы глобализации исследуют как общественные, так и естественные науки. Каждая наука говорит о глобализации на «своем языке» и выделяет именно те черт</w:t>
      </w:r>
      <w:r>
        <w:t xml:space="preserve">ы, которые свойственны ее предмету. Так, например, известный социолог Н. Смелсер замечает, что «само понятие глобализации столь нагруженная вещь, что никто толком не знает, что же оно означает» [4]. </w:t>
      </w:r>
    </w:p>
    <w:p w:rsidR="002C0F56" w:rsidRDefault="00E67C6E">
      <w:pPr>
        <w:spacing w:after="0"/>
        <w:ind w:left="165" w:right="864"/>
      </w:pPr>
      <w:r>
        <w:t>Экономический анализ – это исследование глобализации в р</w:t>
      </w:r>
      <w:r>
        <w:t>амках предмета экономической теории. Это означает, что процесс глобализации в данном случае рассматривается в сфере экономической жизнедеятельности. При подобном подходе получается и более узкое определение процесса глобализации как экономической глобализа</w:t>
      </w:r>
      <w:r>
        <w:t>ции. Глобализация экономики – общемировой этап интернационализации хозяйственной жизни, при этом мировое хозяйство получает новые характеристики. Примером таких характеристик является увеличившиеся целостность мирового хозяйства, зависимость в экономическо</w:t>
      </w:r>
      <w:r>
        <w:t xml:space="preserve">м развитии стран мира, присоединение ранее закрытых стран к международным экономическим отношениям, тенденция к экономической гомогенизации мира. </w:t>
      </w:r>
    </w:p>
    <w:p w:rsidR="002C0F56" w:rsidRDefault="00E67C6E">
      <w:pPr>
        <w:spacing w:after="0"/>
        <w:ind w:left="165" w:right="872"/>
      </w:pPr>
      <w:r>
        <w:t>Современная глобализация оказывает неодинаковое воздействие на отдельные страны. В ее орбиту быстрее втягиваются наиболее развитые страны, которые испытывают наибольшую потребность во взаимной интеграции и в вовлечении в этот процесс как можно большего чис</w:t>
      </w:r>
      <w:r>
        <w:t>ла других государств, правда, пока еще в качестве не равноправных, а дополнительных участников. Поэтому большинство стран мира пока что слабо интегрированы в глобальную экономику и ощущают себя скорее объектами, чем полноправными субъектами глобализации. Е</w:t>
      </w:r>
      <w:r>
        <w:t xml:space="preserve">сть и такие государства, которые лишь номинально участвуют в глобальных процессах, а реально сохраняют свою замкнутость и самобытность в экономическом и другом отношении. </w:t>
      </w:r>
    </w:p>
    <w:p w:rsidR="002C0F56" w:rsidRDefault="00E67C6E">
      <w:pPr>
        <w:spacing w:after="0"/>
        <w:ind w:left="165" w:right="871"/>
      </w:pPr>
      <w:r>
        <w:t>Для правильного понимания данного процесса правомерно обратить внимание на противоре</w:t>
      </w:r>
      <w:r>
        <w:t xml:space="preserve">чивость последствий экономической глобализации. Доказательством тому является целый комплекс глобальных проблем, с которым человечество вступило в новый век. В 1942 г. известный социолог Питирим </w:t>
      </w:r>
      <w:r>
        <w:lastRenderedPageBreak/>
        <w:t>Сорокин писал в книге «Человечество и общество в условиях бед</w:t>
      </w:r>
      <w:r>
        <w:t xml:space="preserve">ствия»: «бедствия не являются исключительным злом: наряду с их разрушительным действием они играют и положительную роль. Для человека катастрофы имеют великое обучающее значение» [5].  </w:t>
      </w:r>
    </w:p>
    <w:p w:rsidR="002C0F56" w:rsidRDefault="00E67C6E">
      <w:pPr>
        <w:ind w:left="165" w:right="870"/>
      </w:pPr>
      <w:r>
        <w:t>В начале века обострение глобальных проблем сделало спорным приведенно</w:t>
      </w:r>
      <w:r>
        <w:t>е высказывание о возможности учиться на катастрофах. Стала нарастать угроза глобальной планетарной катастрофы, исчезновения самого человечества как вида в результате деградации природной среды, биосферы планеты под воздействием антропогенных нагрузок или о</w:t>
      </w:r>
      <w:r>
        <w:t xml:space="preserve">бострения других противоречий такого масштаба. Причем за последние десятилетия, ни одна из глобальных проблем не устранена их даже не удалось смягчить или отодвинуть. </w:t>
      </w:r>
    </w:p>
    <w:p w:rsidR="002C0F56" w:rsidRDefault="00E67C6E">
      <w:pPr>
        <w:spacing w:after="0"/>
        <w:ind w:left="165" w:right="870"/>
      </w:pPr>
      <w:r>
        <w:t>Итак, обострение глобальных проблем означает вступление человечества в особую полосу ист</w:t>
      </w:r>
      <w:r>
        <w:t>орического развития, которую в экономической глобалистике называют «эрой риска». Суть этого понятия заключается в том, что планета страдает под тяжестью непосильного груза глобальных проблем, к которому нельзя приспособиться без риска собственной деградаци</w:t>
      </w:r>
      <w:r>
        <w:t xml:space="preserve">и или даже катастрофы. [6]. </w:t>
      </w:r>
    </w:p>
    <w:p w:rsidR="002C0F56" w:rsidRDefault="00E67C6E">
      <w:pPr>
        <w:spacing w:after="0"/>
        <w:ind w:left="165" w:right="868"/>
      </w:pPr>
      <w:r>
        <w:t xml:space="preserve">Согласно взгляду авторов, в современных условиях необходимо в значительной степени пересмотреть понятие прогресса (экономического, социального, политического). Традиционное представление слабо учитывает глобальные связи нашего </w:t>
      </w:r>
      <w:r>
        <w:t>современного мира, в результате создается иллюзия прогресса в условиях нарастания кризисных явлений планетарного масштаба. Поэтому термин «эра риска» – это не просто метафора, это ситуация которая характеризует действительность и в странах мира. Для того ч</w:t>
      </w:r>
      <w:r>
        <w:t>тобы корректно сформулировать перечень глобальных проблем необходимо определить критерии, на основании которых возможно выделить те проблемы которые относятся к разряду общемировых проблем. С нашей точки зрения, проблема может быть отнесена к глобальной, е</w:t>
      </w:r>
      <w:r>
        <w:t xml:space="preserve">сли она: </w:t>
      </w:r>
    </w:p>
    <w:p w:rsidR="002C0F56" w:rsidRDefault="00E67C6E">
      <w:pPr>
        <w:numPr>
          <w:ilvl w:val="0"/>
          <w:numId w:val="57"/>
        </w:numPr>
        <w:ind w:right="302"/>
      </w:pPr>
      <w:r>
        <w:t xml:space="preserve">затрагивает интересы всего человечества, проявляется как объективный фактор развития общества;  </w:t>
      </w:r>
    </w:p>
    <w:p w:rsidR="002C0F56" w:rsidRDefault="00E67C6E">
      <w:pPr>
        <w:numPr>
          <w:ilvl w:val="0"/>
          <w:numId w:val="57"/>
        </w:numPr>
        <w:ind w:right="302"/>
      </w:pPr>
      <w:r>
        <w:t xml:space="preserve">создает угрозу для будущего человечества, угрожает регрессом в дальнейшем развитии производительных сил;  </w:t>
      </w:r>
    </w:p>
    <w:p w:rsidR="002C0F56" w:rsidRDefault="00E67C6E">
      <w:pPr>
        <w:numPr>
          <w:ilvl w:val="0"/>
          <w:numId w:val="57"/>
        </w:numPr>
        <w:spacing w:after="12"/>
        <w:ind w:right="302"/>
      </w:pPr>
      <w:r>
        <w:t>требует для своего решения усилий всего че</w:t>
      </w:r>
      <w:r>
        <w:t xml:space="preserve">ловечества.  </w:t>
      </w:r>
    </w:p>
    <w:p w:rsidR="002C0F56" w:rsidRDefault="00E67C6E">
      <w:pPr>
        <w:ind w:left="165" w:right="302"/>
      </w:pPr>
      <w:r>
        <w:t xml:space="preserve">Исходя из предложенных критериев, к числу глобальных проблем следует отнести: </w:t>
      </w:r>
    </w:p>
    <w:p w:rsidR="002C0F56" w:rsidRDefault="00E67C6E">
      <w:pPr>
        <w:ind w:left="165" w:right="876"/>
      </w:pPr>
      <w:r>
        <w:t>1.</w:t>
      </w:r>
      <w:r>
        <w:rPr>
          <w:i/>
        </w:rPr>
        <w:t>Проблема разных «полюсов»</w:t>
      </w:r>
      <w:r>
        <w:t>экономического развития, появление «Севера» и «Юга». Суть– глубокое разделение (в первую очередь в экономическом плане) между теми стран</w:t>
      </w:r>
      <w:r>
        <w:t xml:space="preserve">ами, которые уже развиты и теми, которые относятся к категории развивающихся. Последние нуждаются в помощи </w:t>
      </w:r>
      <w:r>
        <w:lastRenderedPageBreak/>
        <w:t>более «сильных коллег», снисхождения, более гибких условий. К примеру, развитые страны могут открыть доступ товарам из развивающихся стран без каких-</w:t>
      </w:r>
      <w:r>
        <w:t xml:space="preserve">либо серьезных условий, обеспечить стабильный приток инвестиционного капитала, реструктуризировать большую часть долгов и так далее. </w:t>
      </w:r>
    </w:p>
    <w:p w:rsidR="002C0F56" w:rsidRDefault="00E67C6E">
      <w:pPr>
        <w:ind w:left="165" w:right="874"/>
      </w:pPr>
      <w:r>
        <w:t>2.</w:t>
      </w:r>
      <w:r>
        <w:rPr>
          <w:i/>
        </w:rPr>
        <w:t>Проблема бедности</w:t>
      </w:r>
      <w:r>
        <w:t>– это, по сути, уже следствие явных «пробелов» в экономике и неспособности (или нежелании) правительств</w:t>
      </w:r>
      <w:r>
        <w:t xml:space="preserve">а обеспечить свой народ. В такой ситуации появляется огромная пропасть между людьми, которые имеют неплохие средства для существования, и другой категорией жителей, находящихся за чертой бедности. </w:t>
      </w:r>
    </w:p>
    <w:p w:rsidR="002C0F56" w:rsidRDefault="00E67C6E">
      <w:pPr>
        <w:ind w:left="165" w:right="871"/>
      </w:pPr>
      <w:r>
        <w:t>3.</w:t>
      </w:r>
      <w:r>
        <w:rPr>
          <w:i/>
        </w:rPr>
        <w:t>Проблемы экономики и продовольственный кризи с</w:t>
      </w:r>
      <w:r>
        <w:t>также плот</w:t>
      </w:r>
      <w:r>
        <w:t xml:space="preserve">но взаимосвязаны. Развивающиеся страны не способны обеспечить население жизненно важными продуктами питания. Это парадоксально, ведь природные ресурсы развивающихся государств весьма богаты, а сама экономика имеет большие перспективы. </w:t>
      </w:r>
    </w:p>
    <w:p w:rsidR="002C0F56" w:rsidRDefault="00E67C6E">
      <w:pPr>
        <w:spacing w:after="7"/>
        <w:ind w:left="165" w:right="870"/>
      </w:pPr>
      <w:r>
        <w:t>4.</w:t>
      </w:r>
      <w:r>
        <w:rPr>
          <w:i/>
        </w:rPr>
        <w:t>Энергетические про</w:t>
      </w:r>
      <w:r>
        <w:rPr>
          <w:i/>
        </w:rPr>
        <w:t xml:space="preserve">блемы </w:t>
      </w:r>
      <w:r>
        <w:t>неизбежно сказываются на экономическом развитии стран со слабой экономикой. При этом глобальная проблема с энергоресурсами проявилась наиболее остро в 70-х годах прошлого века, когда в мире разразился мощный энергетический кризис. В тот период стоимо</w:t>
      </w:r>
      <w:r>
        <w:t xml:space="preserve">сть нефти возросла почти в 15 раз. Все это создало огромные проблемы для экономик многих стран мира. Некоторым государствам удалось выйти из энергетической зависимости, но мировая экономика все равно испытывает острый дефицит ресурсов. </w:t>
      </w:r>
    </w:p>
    <w:p w:rsidR="002C0F56" w:rsidRDefault="00E67C6E">
      <w:pPr>
        <w:spacing w:after="0"/>
        <w:ind w:left="165" w:right="866"/>
      </w:pPr>
      <w:r>
        <w:t>На современном этапе развития глобальной экономики динамика глобальных проблем двойственна. С одной стороны, происходит увеличение числа и возрастает острота глобальных проблем. Основная группа факторов, усиливающих глобальные противоречия, обусловлена про</w:t>
      </w:r>
      <w:r>
        <w:t>блемами развитых стран и прежде всего – США. Определенные риски для глобальной экономики проистекают и из Европы. Прежде всего, здесь следует назвать безработицу. Существует и целый ряд дополнительных факторов, характеризующих нынешний этап обострения прот</w:t>
      </w:r>
      <w:r>
        <w:t>иворечий в рамках экономической глобализации. Главный из этих факторов – бурное развитие крупнейших экономик Азии – Китая и Индии. Чисто количественный рост китайской и индийской экономик воплотился в качественное изменение положения этих стран в мире. Это</w:t>
      </w:r>
      <w:r>
        <w:t xml:space="preserve"> является дестабилизирующим фактором в мировой экономике, так как неизбежно влечет за собой кардинальное изменение расстановки сил в глобальном экономическом мире. С другой стороны, происходит уменьшение числа глобальных проблем. Развитие научнотехнических</w:t>
      </w:r>
      <w:r>
        <w:t xml:space="preserve"> знаний, прогресс производства, развитие международного сотрудничества будут способствовать смягчению и частичному разрешению некоторых из существующих глобальных </w:t>
      </w:r>
      <w:r>
        <w:lastRenderedPageBreak/>
        <w:t>проблем. До настоящего времени шел, а во многом идет и сегодня, по существу, однозначный проц</w:t>
      </w:r>
      <w:r>
        <w:t xml:space="preserve">есс роста числа глобальных проблем, процесс их углубления и обострения.  </w:t>
      </w:r>
    </w:p>
    <w:p w:rsidR="002C0F56" w:rsidRDefault="00E67C6E">
      <w:pPr>
        <w:spacing w:after="0"/>
        <w:ind w:left="165" w:right="866"/>
      </w:pPr>
      <w:r>
        <w:t xml:space="preserve">Таким образом, глобализация мировой экономики создает реальные проблемы для многих стран, усиливая некоторые негативные тенденции, характерные для рыночной экономики в целом, однако </w:t>
      </w:r>
      <w:r>
        <w:t>глобализация представляет собой объективный, необратимый процесс, развивающийся в соответствии с определенными закономерностями. Бороться с глобализацией – все равно, что пытаться остановить прогресс [7]. Поэтому, в современных условиях особенно актуальным</w:t>
      </w:r>
      <w:r>
        <w:t xml:space="preserve"> становится проведение адекватной социальной политики, осуществление финансового контроля и регулирования со стороны государства, а такое улучшения международной координации экономической политики с целью смягчения негативных последствий глобализации и исп</w:t>
      </w:r>
      <w:r>
        <w:t xml:space="preserve">ользования тех возможностей, которые она представляет для ускорения экономического развития. Знание глобализационных процессов является необходимой предпосылкой для этого. </w:t>
      </w:r>
    </w:p>
    <w:p w:rsidR="002C0F56" w:rsidRDefault="00E67C6E">
      <w:pPr>
        <w:spacing w:after="27"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spacing w:after="6"/>
        <w:ind w:left="165" w:right="872"/>
      </w:pPr>
      <w:r>
        <w:t>1. Синявская, О.В. Европейское социальное государство и его т</w:t>
      </w:r>
      <w:r>
        <w:t xml:space="preserve">рансформация перед вызовами глобализации и миграции /О.В.Синявская// Экономическая социология. – 2009. – Т. 10. – № 4. – С.121–138. 2.Миклашевская, Н. А., Холопов А. В. Международная экономика / Н. А.Миклашевская, - М.: дело и Сервис, 2004. С. 12–20. </w:t>
      </w:r>
    </w:p>
    <w:p w:rsidR="002C0F56" w:rsidRDefault="00E67C6E">
      <w:pPr>
        <w:numPr>
          <w:ilvl w:val="0"/>
          <w:numId w:val="58"/>
        </w:numPr>
        <w:spacing w:after="9"/>
        <w:ind w:right="302"/>
      </w:pPr>
      <w:r>
        <w:t>Levi</w:t>
      </w:r>
      <w:r>
        <w:t xml:space="preserve">tt Th. The Globalization of Markets // Harvard Business Review – 1983. – № 56. – P. 92–102. </w:t>
      </w:r>
    </w:p>
    <w:p w:rsidR="002C0F56" w:rsidRDefault="00E67C6E">
      <w:pPr>
        <w:numPr>
          <w:ilvl w:val="0"/>
          <w:numId w:val="58"/>
        </w:numPr>
        <w:ind w:right="302"/>
      </w:pPr>
      <w:r>
        <w:t xml:space="preserve">Сведберг, Р., Смелсер Н. Социологический подход к анализу хозяйства /Р.Сведберг/ Экономическая социология. – 2003. – Т. 4. – № 4. – С. 48–61. </w:t>
      </w:r>
    </w:p>
    <w:p w:rsidR="002C0F56" w:rsidRDefault="00E67C6E">
      <w:pPr>
        <w:numPr>
          <w:ilvl w:val="0"/>
          <w:numId w:val="58"/>
        </w:numPr>
        <w:ind w:right="302"/>
      </w:pPr>
      <w:r>
        <w:t>Сорокин, П. Человек.</w:t>
      </w:r>
      <w:r>
        <w:t xml:space="preserve"> Цивилизация. Общество/ П.Сорокин– М.: Политиздат, 1992. – 427 с. </w:t>
      </w:r>
    </w:p>
    <w:p w:rsidR="002C0F56" w:rsidRDefault="00E67C6E">
      <w:pPr>
        <w:numPr>
          <w:ilvl w:val="0"/>
          <w:numId w:val="58"/>
        </w:numPr>
        <w:ind w:right="302"/>
      </w:pPr>
      <w:r>
        <w:t xml:space="preserve">Азроянц, Э.Д. Глобализация: катастрофа или путь к развитию? / Э.Д. Азроянц – М.: Новый век, 2006. – 416 с. </w:t>
      </w:r>
    </w:p>
    <w:p w:rsidR="002C0F56" w:rsidRDefault="00E67C6E">
      <w:pPr>
        <w:numPr>
          <w:ilvl w:val="0"/>
          <w:numId w:val="58"/>
        </w:numPr>
        <w:ind w:right="302"/>
      </w:pPr>
      <w:r>
        <w:t>Миклашевская, Н. А., Холопов А. В. Международная экономика / А. В.Холопов - М.: д</w:t>
      </w:r>
      <w:r>
        <w:t xml:space="preserve">ело и  Сервис, 2004. С. 12–20. </w:t>
      </w:r>
    </w:p>
    <w:p w:rsidR="002C0F56" w:rsidRDefault="00E67C6E">
      <w:pPr>
        <w:spacing w:after="25" w:line="259" w:lineRule="auto"/>
        <w:ind w:left="10" w:right="856" w:hanging="10"/>
        <w:jc w:val="right"/>
      </w:pPr>
      <w:r>
        <w:rPr>
          <w:b/>
        </w:rPr>
        <w:t xml:space="preserve">Главатских А.В. </w:t>
      </w:r>
    </w:p>
    <w:p w:rsidR="002C0F56" w:rsidRDefault="00E67C6E">
      <w:pPr>
        <w:spacing w:after="11" w:line="270" w:lineRule="auto"/>
        <w:ind w:left="10" w:right="862" w:hanging="10"/>
        <w:jc w:val="right"/>
      </w:pPr>
      <w:r>
        <w:t xml:space="preserve">Научный руководитель: Корниенко Е.В., к.с.н., доц.  </w:t>
      </w:r>
    </w:p>
    <w:p w:rsidR="002C0F56" w:rsidRDefault="00E67C6E">
      <w:pPr>
        <w:spacing w:after="0" w:line="267" w:lineRule="auto"/>
        <w:ind w:left="905" w:right="860" w:hanging="10"/>
        <w:jc w:val="right"/>
      </w:pPr>
      <w:r>
        <w:rPr>
          <w:i/>
        </w:rPr>
        <w:t xml:space="preserve">Таганрогский институт управления и экономики </w:t>
      </w:r>
    </w:p>
    <w:p w:rsidR="002C0F56" w:rsidRDefault="00E67C6E">
      <w:pPr>
        <w:spacing w:after="30" w:line="259" w:lineRule="auto"/>
        <w:ind w:left="744" w:firstLine="0"/>
        <w:jc w:val="left"/>
      </w:pPr>
      <w:r>
        <w:rPr>
          <w:b/>
        </w:rPr>
        <w:t xml:space="preserve"> </w:t>
      </w:r>
    </w:p>
    <w:p w:rsidR="002C0F56" w:rsidRDefault="00E67C6E">
      <w:pPr>
        <w:pStyle w:val="1"/>
        <w:spacing w:after="15" w:line="271" w:lineRule="auto"/>
        <w:ind w:left="750" w:right="0"/>
        <w:jc w:val="left"/>
      </w:pPr>
      <w:r>
        <w:lastRenderedPageBreak/>
        <w:t xml:space="preserve">СОРЕМЕННЫЕ АСПЕКТЫ УПРАВЛЕНИЯ ЧЕЛОВЕЧЕСКИМИ </w:t>
      </w:r>
    </w:p>
    <w:p w:rsidR="002C0F56" w:rsidRDefault="00E67C6E">
      <w:pPr>
        <w:pStyle w:val="1"/>
        <w:ind w:left="700" w:right="1378"/>
      </w:pPr>
      <w:r>
        <w:t xml:space="preserve">РЕСУРСАМИ ОРГАНИЗАЦИИ  </w:t>
      </w:r>
    </w:p>
    <w:p w:rsidR="002C0F56" w:rsidRDefault="00E67C6E">
      <w:pPr>
        <w:spacing w:after="0" w:line="259" w:lineRule="auto"/>
        <w:ind w:left="744" w:firstLine="0"/>
        <w:jc w:val="left"/>
      </w:pPr>
      <w:r>
        <w:t xml:space="preserve"> </w:t>
      </w:r>
    </w:p>
    <w:p w:rsidR="002C0F56" w:rsidRDefault="00E67C6E">
      <w:pPr>
        <w:spacing w:after="0"/>
        <w:ind w:left="165" w:right="866"/>
      </w:pPr>
      <w:r>
        <w:t xml:space="preserve">Исследование проблемы управления персоналом в современных организациях представляет теоретический и практический интерес, потому что люди являются неисчерпаемым ресурсом любой организации. Именно на них строится вся работа на предприятии. Люди участвуют в </w:t>
      </w:r>
      <w:r>
        <w:t>процессе создания какого-то нового продукта, технологии, контролируют качество товара, следят за финансовыми структурами. Именно люди способны к постоянному развитию и совершенствованию в процессе всей жизни. Поэтому можно с точностью сказать, что инициати</w:t>
      </w:r>
      <w:r>
        <w:t xml:space="preserve">ва людей находится на пике бесконечности, в то время как другие ресурсы носят ограниченный характер. </w:t>
      </w:r>
    </w:p>
    <w:p w:rsidR="002C0F56" w:rsidRDefault="00E67C6E">
      <w:pPr>
        <w:ind w:left="165" w:right="871"/>
      </w:pPr>
      <w:r>
        <w:t>«Управление человеческими ресурсами» образовано от английского словосочетания human resources management. Человеческие ресурсы подразумевают собой комплек</w:t>
      </w:r>
      <w:r>
        <w:t>с характеристик, которые существуют в каждом из нас, так вот управление человеческими ресурсами — это управление путем воздействия именно на ресурсы конкретного человека или группы людей приемами психологических техник. Управление персоналом воспринимается</w:t>
      </w:r>
      <w:r>
        <w:t xml:space="preserve"> основной массой людей как менеджмент, как управление путем применения административных мер и полномочий [1]. </w:t>
      </w:r>
    </w:p>
    <w:p w:rsidR="002C0F56" w:rsidRDefault="00E67C6E">
      <w:pPr>
        <w:ind w:left="165" w:right="302"/>
      </w:pPr>
      <w:r>
        <w:t xml:space="preserve">Цель исследования – разработка рекомендаций по совершенствованию управления человеческими ресурсами в ООО «Икеа». </w:t>
      </w:r>
    </w:p>
    <w:p w:rsidR="002C0F56" w:rsidRDefault="00E67C6E">
      <w:pPr>
        <w:ind w:left="744" w:right="302" w:firstLine="0"/>
      </w:pPr>
      <w:r>
        <w:t>Задачи работы заключаются в сл</w:t>
      </w:r>
      <w:r>
        <w:t xml:space="preserve">едующем:  </w:t>
      </w:r>
    </w:p>
    <w:p w:rsidR="002C0F56" w:rsidRDefault="00E67C6E">
      <w:pPr>
        <w:numPr>
          <w:ilvl w:val="0"/>
          <w:numId w:val="59"/>
        </w:numPr>
        <w:ind w:right="302"/>
      </w:pPr>
      <w:r>
        <w:t xml:space="preserve">дать общую характеристику ООО «Икеа»; </w:t>
      </w:r>
    </w:p>
    <w:p w:rsidR="002C0F56" w:rsidRDefault="00E67C6E">
      <w:pPr>
        <w:numPr>
          <w:ilvl w:val="0"/>
          <w:numId w:val="59"/>
        </w:numPr>
        <w:ind w:right="302"/>
      </w:pPr>
      <w:r>
        <w:t xml:space="preserve">проанализировать систему управления человеческими ресурсами ООО «ИКЕА»; </w:t>
      </w:r>
    </w:p>
    <w:p w:rsidR="002C0F56" w:rsidRDefault="00E67C6E">
      <w:pPr>
        <w:numPr>
          <w:ilvl w:val="0"/>
          <w:numId w:val="59"/>
        </w:numPr>
        <w:ind w:right="302"/>
      </w:pPr>
      <w:r>
        <w:t xml:space="preserve">выработать рекомендации по усовершенствованию кадровой деятельности предприятия. </w:t>
      </w:r>
    </w:p>
    <w:p w:rsidR="002C0F56" w:rsidRDefault="00E67C6E">
      <w:pPr>
        <w:spacing w:after="10"/>
        <w:ind w:left="165" w:right="867"/>
      </w:pPr>
      <w:r>
        <w:t xml:space="preserve">Мебель – </w:t>
      </w:r>
      <w:r>
        <w:t xml:space="preserve">это важнейшая часть обстановки дома, которая позволяет создать в нем атмосферу уюта и тепла. Странно, что в начале XX века не все люди могли позволить себе приобрести мебель, даже в развитых странах. Комфортная и качественная мебель стоила, довольно-таки, </w:t>
      </w:r>
      <w:r>
        <w:t xml:space="preserve">дорого, поэтому ее имели либо состоятельные, люди либо те, которые делали ее своими руками. </w:t>
      </w:r>
    </w:p>
    <w:p w:rsidR="002C0F56" w:rsidRDefault="00E67C6E">
      <w:pPr>
        <w:ind w:left="165" w:right="873"/>
      </w:pPr>
      <w:r>
        <w:t>Этот момент подметил молодой шведский предприниматель Ингвар Кампрад, который начал заниматься мебельным бизнесом еще в 1948 году. Тогда он и не представлял, что е</w:t>
      </w:r>
      <w:r>
        <w:t xml:space="preserve">го компания станет всемирно известной. </w:t>
      </w:r>
    </w:p>
    <w:p w:rsidR="002C0F56" w:rsidRDefault="00E67C6E">
      <w:pPr>
        <w:ind w:left="165" w:right="868"/>
      </w:pPr>
      <w:r>
        <w:lastRenderedPageBreak/>
        <w:t xml:space="preserve">«Икеа» – это нидерландская производственно-торговая группа компаний, владелец одной из крупнейших в мире торговых сетей по продаже мебели и товаров для дома.  </w:t>
      </w:r>
    </w:p>
    <w:p w:rsidR="002C0F56" w:rsidRDefault="00E67C6E">
      <w:pPr>
        <w:spacing w:after="11"/>
        <w:ind w:left="165" w:right="871"/>
      </w:pPr>
      <w:r>
        <w:t>В настоящее время «ИКЕА» – является одним из известных м</w:t>
      </w:r>
      <w:r>
        <w:t xml:space="preserve">ировых брендов, которая за свою историю смогла выдержать жесткую конкуренцию и сформировать корпоративную культуру, благодаря своему руководителю. </w:t>
      </w:r>
    </w:p>
    <w:p w:rsidR="002C0F56" w:rsidRDefault="00E67C6E">
      <w:pPr>
        <w:spacing w:after="10"/>
        <w:ind w:left="165" w:right="874"/>
      </w:pPr>
      <w:r>
        <w:t>В компании «ИКЕА», как и в любой другой уважающей и хорошо зарекомендовавшей себя компании существует кадров</w:t>
      </w:r>
      <w:r>
        <w:t xml:space="preserve">ая политика, которая является фундаментом системы управления персоналом. </w:t>
      </w:r>
    </w:p>
    <w:p w:rsidR="002C0F56" w:rsidRDefault="00E67C6E">
      <w:pPr>
        <w:ind w:left="165" w:right="877"/>
      </w:pPr>
      <w:r>
        <w:t>Кадровая политика основана на сложившихся исторических ценностях и традициях, заложенных еще Ингваром Кампрадом. При приеме на работу в будущих сотрудниках рассматриваются такие каче</w:t>
      </w:r>
      <w:r>
        <w:t xml:space="preserve">ства как: </w:t>
      </w:r>
    </w:p>
    <w:p w:rsidR="002C0F56" w:rsidRDefault="00E67C6E">
      <w:pPr>
        <w:ind w:left="744" w:right="302" w:firstLine="0"/>
      </w:pPr>
      <w:r>
        <w:t xml:space="preserve">а) открытость; </w:t>
      </w:r>
    </w:p>
    <w:p w:rsidR="002C0F56" w:rsidRDefault="00E67C6E">
      <w:pPr>
        <w:ind w:left="744" w:right="302" w:firstLine="0"/>
      </w:pPr>
      <w:r>
        <w:t xml:space="preserve">б) честность; </w:t>
      </w:r>
    </w:p>
    <w:p w:rsidR="002C0F56" w:rsidRDefault="00E67C6E">
      <w:pPr>
        <w:ind w:left="744" w:right="302" w:firstLine="0"/>
      </w:pPr>
      <w:r>
        <w:t xml:space="preserve">в) дружелюбие; </w:t>
      </w:r>
    </w:p>
    <w:p w:rsidR="002C0F56" w:rsidRDefault="00E67C6E">
      <w:pPr>
        <w:spacing w:after="12"/>
        <w:ind w:left="744" w:right="302" w:firstLine="0"/>
      </w:pPr>
      <w:r>
        <w:t xml:space="preserve">г) активная жизненная позиция [2]. </w:t>
      </w:r>
    </w:p>
    <w:p w:rsidR="002C0F56" w:rsidRDefault="00E67C6E">
      <w:pPr>
        <w:ind w:left="165" w:right="866"/>
      </w:pPr>
      <w:r>
        <w:t xml:space="preserve">Для компании основным является готовность людей работать в полную силу, получать опыт от предшественников, самореализовываться и делиться накопленными знаниями и </w:t>
      </w:r>
      <w:r>
        <w:t xml:space="preserve">навыками с другими сотрудниками. Со стороны управленческого аппарата осуществляется поддержка всего того, что я назвала. В компании существует отлаженная, структурированная система внутрикорпоративного обучения. </w:t>
      </w:r>
    </w:p>
    <w:p w:rsidR="002C0F56" w:rsidRDefault="00E67C6E">
      <w:pPr>
        <w:ind w:left="744" w:right="302" w:firstLine="0"/>
      </w:pPr>
      <w:r>
        <w:t>Результатами профподготовки персонала в «ИК</w:t>
      </w:r>
      <w:r>
        <w:t xml:space="preserve">ЕА» должны быть:  </w:t>
      </w:r>
    </w:p>
    <w:p w:rsidR="002C0F56" w:rsidRDefault="00E67C6E">
      <w:pPr>
        <w:numPr>
          <w:ilvl w:val="0"/>
          <w:numId w:val="60"/>
        </w:numPr>
        <w:ind w:right="302"/>
      </w:pPr>
      <w:r>
        <w:t xml:space="preserve">адаптация к нормам и стандартам корпоративной культуры компании;  </w:t>
      </w:r>
    </w:p>
    <w:p w:rsidR="002C0F56" w:rsidRDefault="00E67C6E">
      <w:pPr>
        <w:numPr>
          <w:ilvl w:val="0"/>
          <w:numId w:val="60"/>
        </w:numPr>
        <w:ind w:right="302"/>
      </w:pPr>
      <w:r>
        <w:t xml:space="preserve">качественное выполнение должностных обязанностей;  </w:t>
      </w:r>
    </w:p>
    <w:p w:rsidR="002C0F56" w:rsidRDefault="00E67C6E">
      <w:pPr>
        <w:numPr>
          <w:ilvl w:val="0"/>
          <w:numId w:val="60"/>
        </w:numPr>
        <w:ind w:right="302"/>
      </w:pPr>
      <w:r>
        <w:t xml:space="preserve">усовершенствованные профессиональные знания и навыки сотрудников;  </w:t>
      </w:r>
    </w:p>
    <w:p w:rsidR="002C0F56" w:rsidRDefault="00E67C6E">
      <w:pPr>
        <w:numPr>
          <w:ilvl w:val="0"/>
          <w:numId w:val="60"/>
        </w:numPr>
        <w:ind w:right="302"/>
      </w:pPr>
      <w:r>
        <w:t>внедрение новых технологий и расширение зон ответс</w:t>
      </w:r>
      <w:r>
        <w:t xml:space="preserve">твенности;  </w:t>
      </w:r>
    </w:p>
    <w:p w:rsidR="002C0F56" w:rsidRDefault="00E67C6E">
      <w:pPr>
        <w:numPr>
          <w:ilvl w:val="0"/>
          <w:numId w:val="60"/>
        </w:numPr>
        <w:ind w:right="302"/>
      </w:pPr>
      <w:r>
        <w:t xml:space="preserve">сформированный «кадровый резерв»;  </w:t>
      </w:r>
    </w:p>
    <w:p w:rsidR="002C0F56" w:rsidRDefault="00E67C6E">
      <w:pPr>
        <w:numPr>
          <w:ilvl w:val="0"/>
          <w:numId w:val="60"/>
        </w:numPr>
        <w:spacing w:after="12"/>
        <w:ind w:right="302"/>
      </w:pPr>
      <w:r>
        <w:t xml:space="preserve">оптимизация деятельности подразделений и бизнес-процессов [3]. </w:t>
      </w:r>
    </w:p>
    <w:p w:rsidR="002C0F56" w:rsidRDefault="00E67C6E">
      <w:pPr>
        <w:spacing w:after="9"/>
        <w:ind w:left="165" w:right="872"/>
      </w:pPr>
      <w:r>
        <w:t xml:space="preserve">Для каждой категории персонала приоритет отдается только тем компетенциям, которые соответствуют профессиональным стандартам работника.  </w:t>
      </w:r>
    </w:p>
    <w:p w:rsidR="002C0F56" w:rsidRDefault="00E67C6E">
      <w:pPr>
        <w:spacing w:after="0"/>
        <w:ind w:left="165" w:right="871"/>
      </w:pPr>
      <w:r>
        <w:t xml:space="preserve">Эффективность представленного подхода обучения состоит в том, что каждый работник выполняет строго определенные задачи, которые прописаны в его стандартах. Менеджер анализирует работу и решает, когда сотруднику </w:t>
      </w:r>
      <w:r>
        <w:lastRenderedPageBreak/>
        <w:t xml:space="preserve">необходимо повысить квалификацию и увеличить </w:t>
      </w:r>
      <w:r>
        <w:t xml:space="preserve">багаж знаний. Сотрудники отдела кадров организуют сам учебный процесс. </w:t>
      </w:r>
    </w:p>
    <w:p w:rsidR="002C0F56" w:rsidRDefault="00E67C6E">
      <w:pPr>
        <w:ind w:left="165" w:right="866"/>
      </w:pPr>
      <w:r>
        <w:t>В компании действует демократический стиль управления персоналом. Все сотрудники работают в одинаковых условиях, независимо от того какая у него должность. В «ИКЕА» ценят профессиональ</w:t>
      </w:r>
      <w:r>
        <w:t>ные качества и работу в команде, которая позволяет компании выходить на новый уровень. Менеджеры проводят беседы со своими подчиненными о работе, прислушиваются к их мнению. Для поддержания корпоративного духа проводятся различные тренинги, на которых расс</w:t>
      </w:r>
      <w:r>
        <w:t xml:space="preserve">казывается об истории создания компании, ее становлении и развитии. </w:t>
      </w:r>
    </w:p>
    <w:p w:rsidR="002C0F56" w:rsidRDefault="00E67C6E">
      <w:pPr>
        <w:ind w:left="165" w:right="302"/>
      </w:pPr>
      <w:r>
        <w:t xml:space="preserve">В компании «ИКЕА» существуют ценности, которые были формулированы сотрудниками и воплощены в жизнь. </w:t>
      </w:r>
    </w:p>
    <w:p w:rsidR="002C0F56" w:rsidRDefault="00E67C6E">
      <w:pPr>
        <w:ind w:left="744" w:right="302" w:firstLine="0"/>
      </w:pPr>
      <w:r>
        <w:t xml:space="preserve">К ним относятся: </w:t>
      </w:r>
    </w:p>
    <w:p w:rsidR="002C0F56" w:rsidRDefault="00E67C6E">
      <w:pPr>
        <w:numPr>
          <w:ilvl w:val="0"/>
          <w:numId w:val="61"/>
        </w:numPr>
        <w:ind w:right="302" w:hanging="516"/>
      </w:pPr>
      <w:r>
        <w:t xml:space="preserve">руководство личным примером; </w:t>
      </w:r>
    </w:p>
    <w:p w:rsidR="002C0F56" w:rsidRDefault="00E67C6E">
      <w:pPr>
        <w:numPr>
          <w:ilvl w:val="0"/>
          <w:numId w:val="61"/>
        </w:numPr>
        <w:ind w:right="302" w:hanging="516"/>
      </w:pPr>
      <w:r>
        <w:t xml:space="preserve">постоянное стремление к обновлению; </w:t>
      </w:r>
    </w:p>
    <w:p w:rsidR="002C0F56" w:rsidRDefault="00E67C6E">
      <w:pPr>
        <w:numPr>
          <w:ilvl w:val="0"/>
          <w:numId w:val="61"/>
        </w:numPr>
        <w:ind w:right="302" w:hanging="516"/>
      </w:pPr>
      <w:r>
        <w:t>е</w:t>
      </w:r>
      <w:r>
        <w:t xml:space="preserve">динство и энтузиазм; </w:t>
      </w:r>
    </w:p>
    <w:p w:rsidR="002C0F56" w:rsidRDefault="00E67C6E">
      <w:pPr>
        <w:numPr>
          <w:ilvl w:val="0"/>
          <w:numId w:val="61"/>
        </w:numPr>
        <w:ind w:right="302" w:hanging="516"/>
      </w:pPr>
      <w:r>
        <w:t xml:space="preserve">осознание расходов; </w:t>
      </w:r>
    </w:p>
    <w:p w:rsidR="002C0F56" w:rsidRDefault="00E67C6E">
      <w:pPr>
        <w:numPr>
          <w:ilvl w:val="0"/>
          <w:numId w:val="61"/>
        </w:numPr>
        <w:ind w:right="302" w:hanging="516"/>
      </w:pPr>
      <w:r>
        <w:t xml:space="preserve">смотреть в лицо действительности; </w:t>
      </w:r>
    </w:p>
    <w:p w:rsidR="002C0F56" w:rsidRDefault="00E67C6E">
      <w:pPr>
        <w:numPr>
          <w:ilvl w:val="0"/>
          <w:numId w:val="61"/>
        </w:numPr>
        <w:ind w:right="302" w:hanging="516"/>
      </w:pPr>
      <w:r>
        <w:t xml:space="preserve">скромность и сила воли; </w:t>
      </w:r>
    </w:p>
    <w:p w:rsidR="002C0F56" w:rsidRDefault="00E67C6E">
      <w:pPr>
        <w:numPr>
          <w:ilvl w:val="0"/>
          <w:numId w:val="61"/>
        </w:numPr>
        <w:ind w:right="302" w:hanging="516"/>
      </w:pPr>
      <w:r>
        <w:t xml:space="preserve">выбирать свой путь; </w:t>
      </w:r>
    </w:p>
    <w:p w:rsidR="002C0F56" w:rsidRDefault="00E67C6E">
      <w:pPr>
        <w:numPr>
          <w:ilvl w:val="0"/>
          <w:numId w:val="61"/>
        </w:numPr>
        <w:ind w:right="302" w:hanging="516"/>
      </w:pPr>
      <w:r>
        <w:t xml:space="preserve">брать ответственность и позволять другим принимать решения; </w:t>
      </w:r>
    </w:p>
    <w:p w:rsidR="002C0F56" w:rsidRDefault="00E67C6E">
      <w:pPr>
        <w:numPr>
          <w:ilvl w:val="0"/>
          <w:numId w:val="61"/>
        </w:numPr>
        <w:ind w:right="302" w:hanging="516"/>
      </w:pPr>
      <w:r>
        <w:t xml:space="preserve">простота; </w:t>
      </w:r>
    </w:p>
    <w:p w:rsidR="002C0F56" w:rsidRDefault="00E67C6E">
      <w:pPr>
        <w:numPr>
          <w:ilvl w:val="0"/>
          <w:numId w:val="61"/>
        </w:numPr>
        <w:spacing w:after="12"/>
        <w:ind w:right="302" w:hanging="516"/>
      </w:pPr>
      <w:r>
        <w:t xml:space="preserve">не останавливаться на достигнутом [4]. </w:t>
      </w:r>
    </w:p>
    <w:p w:rsidR="002C0F56" w:rsidRDefault="00E67C6E">
      <w:pPr>
        <w:ind w:left="165" w:right="302"/>
      </w:pPr>
      <w:r>
        <w:t xml:space="preserve">В ходе исследования системы управления персоналом в компании «ИКЕА», также были выявлены и основные проблемы: </w:t>
      </w:r>
    </w:p>
    <w:p w:rsidR="002C0F56" w:rsidRDefault="00E67C6E">
      <w:pPr>
        <w:numPr>
          <w:ilvl w:val="0"/>
          <w:numId w:val="62"/>
        </w:numPr>
        <w:ind w:right="302"/>
      </w:pPr>
      <w:r>
        <w:t xml:space="preserve">мотивация сотрудников никак не определяется и находится на достаточно низком уровне; </w:t>
      </w:r>
    </w:p>
    <w:p w:rsidR="002C0F56" w:rsidRDefault="00E67C6E">
      <w:pPr>
        <w:numPr>
          <w:ilvl w:val="0"/>
          <w:numId w:val="62"/>
        </w:numPr>
        <w:ind w:right="302"/>
      </w:pPr>
      <w:r>
        <w:t>из первой проблемы вытекает проблема снижения производитель</w:t>
      </w:r>
      <w:r>
        <w:t xml:space="preserve">ности труда сотрудников; </w:t>
      </w:r>
    </w:p>
    <w:p w:rsidR="002C0F56" w:rsidRDefault="00E67C6E">
      <w:pPr>
        <w:numPr>
          <w:ilvl w:val="0"/>
          <w:numId w:val="62"/>
        </w:numPr>
        <w:ind w:right="302"/>
      </w:pPr>
      <w:r>
        <w:t xml:space="preserve">хоть каждый сотрудник и выполняет свои определенные функции, но проблема многозадачности работы остается нерешенной. </w:t>
      </w:r>
    </w:p>
    <w:p w:rsidR="002C0F56" w:rsidRDefault="00E67C6E">
      <w:pPr>
        <w:ind w:left="165" w:right="868"/>
      </w:pPr>
      <w:r>
        <w:t>Для решения первой проблемы необходимо, безусловно, материально стимулировать работников. Это могут быть какие-т</w:t>
      </w:r>
      <w:r>
        <w:t xml:space="preserve">о премии, доплаты, выплаты. Ведь если работник будет удовлетворен материально, то он автоматически оказывается в зависимости у своей компании.  </w:t>
      </w:r>
    </w:p>
    <w:p w:rsidR="002C0F56" w:rsidRDefault="00E67C6E">
      <w:pPr>
        <w:spacing w:after="2"/>
        <w:ind w:left="165" w:right="862"/>
      </w:pPr>
      <w:r>
        <w:t>Так же можно и простимулировать людей, находящихся в резерве: им можно предложить контракт, в который будут вне</w:t>
      </w:r>
      <w:r>
        <w:t xml:space="preserve">сены условия планирования и развития карьеры, ответственности сторон, успешной стажировки, благодаря которой человек, находящийся в резерве сможет написать бизнес-план, </w:t>
      </w:r>
      <w:r>
        <w:lastRenderedPageBreak/>
        <w:t xml:space="preserve">составить отчет и так далее. Но важно, чтобы в этом контракте было все точно, понятно, </w:t>
      </w:r>
      <w:r>
        <w:t xml:space="preserve">правильно сформулировано и наглядно обозначена мотивационная схема для каждого работника индивидуально. </w:t>
      </w:r>
    </w:p>
    <w:p w:rsidR="002C0F56" w:rsidRDefault="00E67C6E">
      <w:pPr>
        <w:ind w:left="165" w:right="867"/>
      </w:pPr>
      <w:r>
        <w:t>Что касается нематериального стимулирования, то здесь компания находится на достаточно высоком уровне. Руководитель разговаривает со своими подчиненным</w:t>
      </w:r>
      <w:r>
        <w:t xml:space="preserve">и, дает им возможность высказать свои недовольства и страхи касаемо трудовой деятельности, предоставляет возможность совершенствовать свои навыки и умения, дает возможность бесплатного обучения за счет компании и свободной реализации в различных областях. </w:t>
      </w:r>
      <w:r>
        <w:t xml:space="preserve"> </w:t>
      </w:r>
    </w:p>
    <w:p w:rsidR="002C0F56" w:rsidRDefault="00E67C6E">
      <w:pPr>
        <w:ind w:left="165" w:right="867"/>
      </w:pPr>
      <w:r>
        <w:t xml:space="preserve">Для решения второй проблемы необходимо определенное время, после которого производительность труда застабилизируется на прежнем уровне. С самого начала освоения сотрудниками новых программ, методов работы, технологий виден резкий спад производительности </w:t>
      </w:r>
      <w:r>
        <w:t xml:space="preserve">труда. Это связано с тем, что люди только начинают вникать в новую систему и осваивают ее. Конечно, в этот период не следует ожидать высокой эффективности работы. Пройдет определенное время, после которого персонал уже научится всему и почувствует себя «в </w:t>
      </w:r>
      <w:r>
        <w:t xml:space="preserve">своей тарелке» и спад производительности исчезнет. В этом случае могу сказать, что данная проблема не является основной, так как ее можно отнести к временным, тем более что после этого периода организация начинает выходить на новый уровень. </w:t>
      </w:r>
    </w:p>
    <w:p w:rsidR="002C0F56" w:rsidRDefault="00E67C6E">
      <w:pPr>
        <w:tabs>
          <w:tab w:val="center" w:pos="1796"/>
          <w:tab w:val="center" w:pos="3314"/>
          <w:tab w:val="center" w:pos="4015"/>
          <w:tab w:val="center" w:pos="4921"/>
          <w:tab w:val="center" w:pos="6166"/>
          <w:tab w:val="center" w:pos="7721"/>
          <w:tab w:val="center" w:pos="9262"/>
        </w:tabs>
        <w:spacing w:after="11" w:line="270" w:lineRule="auto"/>
        <w:ind w:left="0" w:firstLine="0"/>
        <w:jc w:val="left"/>
      </w:pPr>
      <w:r>
        <w:rPr>
          <w:rFonts w:ascii="Calibri" w:eastAsia="Calibri" w:hAnsi="Calibri" w:cs="Calibri"/>
          <w:sz w:val="22"/>
        </w:rPr>
        <w:tab/>
      </w:r>
      <w:r>
        <w:t>Многозадачнос</w:t>
      </w:r>
      <w:r>
        <w:t xml:space="preserve">ть </w:t>
      </w:r>
      <w:r>
        <w:tab/>
        <w:t xml:space="preserve">– </w:t>
      </w:r>
      <w:r>
        <w:tab/>
        <w:t xml:space="preserve">еще </w:t>
      </w:r>
      <w:r>
        <w:tab/>
        <w:t xml:space="preserve">одна </w:t>
      </w:r>
      <w:r>
        <w:tab/>
        <w:t xml:space="preserve">проблема </w:t>
      </w:r>
      <w:r>
        <w:tab/>
        <w:t xml:space="preserve">компании </w:t>
      </w:r>
      <w:r>
        <w:tab/>
        <w:t xml:space="preserve">«ИКЕА». </w:t>
      </w:r>
    </w:p>
    <w:p w:rsidR="002C0F56" w:rsidRDefault="00E67C6E">
      <w:pPr>
        <w:spacing w:after="2"/>
        <w:ind w:left="165" w:right="868" w:firstLine="0"/>
      </w:pPr>
      <w:r>
        <w:t>Многозадачность – это острая проблема современного менеджмента, которая позволяет соединить действия нескольких сотрудников и сделать так, чтобы их выполнял один человек. При таких условиях необходимо заинтере</w:t>
      </w:r>
      <w:r>
        <w:t>совать сотрудника в более интенсивном выполнении своих трудовых функций, посредством мотивации и стимулирования. Внедрение указанных рекомендаций поможет устранить основные недостатки кадровой политики компании, либо уменьшить степень их влияния на эффекти</w:t>
      </w:r>
      <w:r>
        <w:t xml:space="preserve">вность стратегического менеджмента человеческих ресурсов. Следуя представленным рекомендациям, руководитель сможет добиться огромных успехов в бизнесе, либо сделать свою компанию еще более уникальной и конкурентоспособной.  </w:t>
      </w:r>
    </w:p>
    <w:p w:rsidR="002C0F56" w:rsidRDefault="00E67C6E">
      <w:pPr>
        <w:spacing w:after="5" w:line="268" w:lineRule="auto"/>
        <w:ind w:left="165" w:right="866" w:firstLine="554"/>
        <w:jc w:val="left"/>
      </w:pPr>
      <w:r>
        <w:t>Подводя итоги, можно сделать вы</w:t>
      </w:r>
      <w:r>
        <w:t xml:space="preserve">вод о том, что не зря многие ученые и исследователи занимаются изучением правильного управления человеческими ресурсами организации и в настоящее время. Человек – это живой организм, который </w:t>
      </w:r>
      <w:r>
        <w:tab/>
        <w:t xml:space="preserve">подвержен </w:t>
      </w:r>
      <w:r>
        <w:tab/>
        <w:t xml:space="preserve">всяческим </w:t>
      </w:r>
      <w:r>
        <w:tab/>
        <w:t xml:space="preserve">изменениям. </w:t>
      </w:r>
      <w:r>
        <w:tab/>
        <w:t xml:space="preserve">Невозможно </w:t>
      </w:r>
      <w:r>
        <w:tab/>
        <w:t>полностью предуга</w:t>
      </w:r>
      <w:r>
        <w:t xml:space="preserve">дать действия того или иного сотрудника в организации, но можно хотя бы попытаться это сделать для того, чтобы уменьшить риски провала. Список литературы: </w:t>
      </w:r>
    </w:p>
    <w:p w:rsidR="002C0F56" w:rsidRDefault="00E67C6E">
      <w:pPr>
        <w:numPr>
          <w:ilvl w:val="0"/>
          <w:numId w:val="63"/>
        </w:numPr>
        <w:ind w:right="302"/>
      </w:pPr>
      <w:r>
        <w:lastRenderedPageBreak/>
        <w:t>Архипова, Н.И., Седова, О.Л. Управление персоналом организации. Краткий курс для бакалавров [Текст].</w:t>
      </w:r>
      <w:r>
        <w:t xml:space="preserve"> – М.: Проспект, 2016. – 224 c. </w:t>
      </w:r>
    </w:p>
    <w:p w:rsidR="002C0F56" w:rsidRDefault="00E67C6E">
      <w:pPr>
        <w:numPr>
          <w:ilvl w:val="0"/>
          <w:numId w:val="63"/>
        </w:numPr>
        <w:ind w:right="302"/>
      </w:pPr>
      <w:r>
        <w:t xml:space="preserve">История Икеа // Как Ингвар Кампрад построил одну из крупнейших торговых сетей в мире. [Электронный ресурс]. URL: </w:t>
      </w:r>
      <w:hyperlink r:id="rId353">
        <w:r>
          <w:t>https://vc.ru/p/ikea</w:t>
        </w:r>
      </w:hyperlink>
      <w:hyperlink r:id="rId354">
        <w:r>
          <w:t>-</w:t>
        </w:r>
      </w:hyperlink>
      <w:hyperlink r:id="rId355">
        <w:r>
          <w:t>story</w:t>
        </w:r>
      </w:hyperlink>
      <w:hyperlink r:id="rId356">
        <w:r>
          <w:t xml:space="preserve"> </w:t>
        </w:r>
      </w:hyperlink>
    </w:p>
    <w:p w:rsidR="002C0F56" w:rsidRDefault="00E67C6E">
      <w:pPr>
        <w:ind w:left="165" w:right="302" w:firstLine="0"/>
      </w:pPr>
      <w:r>
        <w:t xml:space="preserve">(дата обращения 19.04.2017). </w:t>
      </w:r>
    </w:p>
    <w:p w:rsidR="002C0F56" w:rsidRDefault="00E67C6E">
      <w:pPr>
        <w:numPr>
          <w:ilvl w:val="0"/>
          <w:numId w:val="63"/>
        </w:numPr>
        <w:ind w:right="302"/>
      </w:pPr>
      <w:r>
        <w:t xml:space="preserve">Кадровая политика Икеа // Анализ методов управления адаптацией персонала в организации. [Электронный ресурс]. URL: </w:t>
      </w:r>
      <w:hyperlink r:id="rId357">
        <w:r>
          <w:t>http://www.smartmanage.ru/deels</w:t>
        </w:r>
      </w:hyperlink>
      <w:hyperlink r:id="rId358">
        <w:r>
          <w:t>-</w:t>
        </w:r>
      </w:hyperlink>
      <w:hyperlink r:id="rId359">
        <w:r>
          <w:t>441</w:t>
        </w:r>
      </w:hyperlink>
      <w:hyperlink r:id="rId360">
        <w:r>
          <w:t>-</w:t>
        </w:r>
      </w:hyperlink>
      <w:hyperlink r:id="rId361">
        <w:r>
          <w:t>1.html</w:t>
        </w:r>
      </w:hyperlink>
      <w:hyperlink r:id="rId362">
        <w:r>
          <w:t xml:space="preserve"> </w:t>
        </w:r>
      </w:hyperlink>
      <w:r>
        <w:t xml:space="preserve">(дата обращения 19.04.2017). </w:t>
      </w:r>
    </w:p>
    <w:p w:rsidR="002C0F56" w:rsidRDefault="00E67C6E">
      <w:pPr>
        <w:numPr>
          <w:ilvl w:val="0"/>
          <w:numId w:val="63"/>
        </w:numPr>
        <w:spacing w:after="11"/>
        <w:ind w:right="302"/>
      </w:pPr>
      <w:r>
        <w:t xml:space="preserve">Ценности Икеа // Работа в группе компаний. [Электронный ресурс]. URL:  </w:t>
      </w:r>
      <w:hyperlink r:id="rId363">
        <w:r>
          <w:t>http://www.ikea.com/ru/ru/</w:t>
        </w:r>
      </w:hyperlink>
      <w:hyperlink r:id="rId364">
        <w:r>
          <w:t xml:space="preserve"> </w:t>
        </w:r>
      </w:hyperlink>
      <w:r>
        <w:t>(дата обращения 19</w:t>
      </w:r>
      <w:r>
        <w:t xml:space="preserve">.04.2017).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Говорова В.А. </w:t>
      </w:r>
      <w:r>
        <w:rPr>
          <w:b w:val="0"/>
        </w:rPr>
        <w:t xml:space="preserve">Научный руководитель: Лосева О.В. </w:t>
      </w:r>
    </w:p>
    <w:p w:rsidR="002C0F56" w:rsidRDefault="00E67C6E">
      <w:pPr>
        <w:spacing w:after="0" w:line="267" w:lineRule="auto"/>
        <w:ind w:left="905" w:right="860" w:hanging="10"/>
        <w:jc w:val="right"/>
      </w:pPr>
      <w:r>
        <w:rPr>
          <w:i/>
        </w:rPr>
        <w:t xml:space="preserve">Липецкий государственный технический университет </w:t>
      </w:r>
    </w:p>
    <w:p w:rsidR="002C0F56" w:rsidRDefault="00E67C6E">
      <w:pPr>
        <w:spacing w:after="0" w:line="259" w:lineRule="auto"/>
        <w:ind w:left="744" w:firstLine="0"/>
        <w:jc w:val="left"/>
      </w:pPr>
      <w:r>
        <w:rPr>
          <w:i/>
        </w:rPr>
        <w:t xml:space="preserve"> </w:t>
      </w:r>
    </w:p>
    <w:p w:rsidR="002C0F56" w:rsidRDefault="00E67C6E">
      <w:pPr>
        <w:pStyle w:val="1"/>
        <w:ind w:left="700" w:right="1307"/>
      </w:pPr>
      <w:r>
        <w:t xml:space="preserve">ПРОБЛЕМЫ В РАЗВИТИИ ДАЛЬНЕВОСТОЧНОГО РЕГИОНА РОССИИ  </w:t>
      </w:r>
    </w:p>
    <w:p w:rsidR="002C0F56" w:rsidRDefault="00E67C6E">
      <w:pPr>
        <w:spacing w:after="0"/>
        <w:ind w:left="165" w:right="302"/>
      </w:pPr>
      <w:r>
        <w:t>Приоритет в развитии дальних регионов нашей страны это уже исторически сложившееся нап</w:t>
      </w:r>
      <w:r>
        <w:t>равление. В настоящее время большое влияние уделяется регионам Дальнего Востока, где условия по благоустройству и предпринимательской деятельности претерпевают ряд существенных изменений. В послании Президента РФ развитие Дальнего Востока было определено к</w:t>
      </w:r>
      <w:r>
        <w:t>ак «важнейший национальный приоритет социально-</w:t>
      </w:r>
    </w:p>
    <w:p w:rsidR="002C0F56" w:rsidRDefault="00E67C6E">
      <w:pPr>
        <w:spacing w:after="2"/>
        <w:ind w:left="165" w:right="869" w:firstLine="0"/>
      </w:pPr>
      <w:r>
        <w:t>экономического подъема региона» [1] и специально для него была разработана «теория опережающего развития» [2], которая была создана в рамках партнерства с государствами Азиатско-Тихоокеанского региона. В осно</w:t>
      </w:r>
      <w:r>
        <w:t xml:space="preserve">ве этого партнерства лежит интеграция со странами Восточной Азии. Процесс интеграции многопланов и непрост по многим пунктам, его также можно обозначить через процесс экономического развития, на что и направленно данное сотрудничество.  </w:t>
      </w:r>
    </w:p>
    <w:p w:rsidR="002C0F56" w:rsidRDefault="00E67C6E">
      <w:pPr>
        <w:ind w:left="165" w:right="302"/>
      </w:pPr>
      <w:r>
        <w:t>Вопрос развития да</w:t>
      </w:r>
      <w:r>
        <w:t xml:space="preserve">льневосточного региона актуален за счёт следующих пунктов: </w:t>
      </w:r>
    </w:p>
    <w:p w:rsidR="002C0F56" w:rsidRDefault="00E67C6E">
      <w:pPr>
        <w:numPr>
          <w:ilvl w:val="0"/>
          <w:numId w:val="64"/>
        </w:numPr>
        <w:spacing w:after="66"/>
        <w:ind w:right="302"/>
      </w:pPr>
      <w:r>
        <w:t xml:space="preserve">необходимо увеличить плотность населения; </w:t>
      </w:r>
    </w:p>
    <w:p w:rsidR="002C0F56" w:rsidRDefault="00E67C6E">
      <w:pPr>
        <w:numPr>
          <w:ilvl w:val="0"/>
          <w:numId w:val="64"/>
        </w:numPr>
        <w:spacing w:after="64"/>
        <w:ind w:right="302"/>
      </w:pPr>
      <w:r>
        <w:t xml:space="preserve">имеется множество неосвоенных земель и ресурсов; </w:t>
      </w:r>
    </w:p>
    <w:p w:rsidR="002C0F56" w:rsidRDefault="00E67C6E">
      <w:pPr>
        <w:numPr>
          <w:ilvl w:val="0"/>
          <w:numId w:val="64"/>
        </w:numPr>
        <w:spacing w:after="64"/>
        <w:ind w:right="302"/>
      </w:pPr>
      <w:r>
        <w:t xml:space="preserve">это центр связи со странами Восточной Азии; </w:t>
      </w:r>
    </w:p>
    <w:p w:rsidR="002C0F56" w:rsidRDefault="00E67C6E">
      <w:pPr>
        <w:numPr>
          <w:ilvl w:val="0"/>
          <w:numId w:val="64"/>
        </w:numPr>
        <w:ind w:right="302"/>
      </w:pPr>
      <w:r>
        <w:t xml:space="preserve">развитие инфраструктуры по данному направлению может способствовать не только развитию региона, но и страны. </w:t>
      </w:r>
    </w:p>
    <w:p w:rsidR="002C0F56" w:rsidRDefault="00E67C6E">
      <w:pPr>
        <w:ind w:left="165" w:right="866"/>
      </w:pPr>
      <w:r>
        <w:lastRenderedPageBreak/>
        <w:t xml:space="preserve">Как уже было отмечено ранее, развитие дальневосточного региона ведется не первый год, затруднительными факторами в освоении этой территории можно </w:t>
      </w:r>
      <w:r>
        <w:t xml:space="preserve">назвать: </w:t>
      </w:r>
    </w:p>
    <w:p w:rsidR="002C0F56" w:rsidRDefault="00E67C6E">
      <w:pPr>
        <w:numPr>
          <w:ilvl w:val="0"/>
          <w:numId w:val="64"/>
        </w:numPr>
        <w:spacing w:after="62"/>
        <w:ind w:right="302"/>
      </w:pPr>
      <w:r>
        <w:t xml:space="preserve">удалённость региона от центра страны; </w:t>
      </w:r>
    </w:p>
    <w:p w:rsidR="002C0F56" w:rsidRDefault="00E67C6E">
      <w:pPr>
        <w:numPr>
          <w:ilvl w:val="0"/>
          <w:numId w:val="64"/>
        </w:numPr>
        <w:spacing w:after="62"/>
        <w:ind w:right="302"/>
      </w:pPr>
      <w:r>
        <w:t xml:space="preserve">сложные природно-климатические условия; </w:t>
      </w:r>
    </w:p>
    <w:p w:rsidR="002C0F56" w:rsidRDefault="00E67C6E">
      <w:pPr>
        <w:numPr>
          <w:ilvl w:val="0"/>
          <w:numId w:val="64"/>
        </w:numPr>
        <w:spacing w:after="63"/>
        <w:ind w:right="302"/>
      </w:pPr>
      <w:r>
        <w:t xml:space="preserve">отток населения; </w:t>
      </w:r>
    </w:p>
    <w:p w:rsidR="002C0F56" w:rsidRDefault="00E67C6E">
      <w:pPr>
        <w:numPr>
          <w:ilvl w:val="0"/>
          <w:numId w:val="64"/>
        </w:numPr>
        <w:spacing w:after="63"/>
        <w:ind w:right="302"/>
      </w:pPr>
      <w:r>
        <w:t xml:space="preserve">близость границ соседних стран; </w:t>
      </w:r>
    </w:p>
    <w:p w:rsidR="002C0F56" w:rsidRDefault="00E67C6E">
      <w:pPr>
        <w:numPr>
          <w:ilvl w:val="0"/>
          <w:numId w:val="64"/>
        </w:numPr>
        <w:spacing w:line="268" w:lineRule="auto"/>
        <w:ind w:right="302"/>
      </w:pPr>
      <w:r>
        <w:t xml:space="preserve">непростые территориальные отношения с Японией; </w:t>
      </w:r>
      <w:r>
        <w:rPr>
          <w:rFonts w:ascii="Courier New" w:eastAsia="Courier New" w:hAnsi="Courier New" w:cs="Courier New"/>
        </w:rPr>
        <w:t>-</w:t>
      </w:r>
      <w:r>
        <w:rPr>
          <w:rFonts w:ascii="Arial" w:eastAsia="Arial" w:hAnsi="Arial" w:cs="Arial"/>
        </w:rPr>
        <w:t xml:space="preserve"> </w:t>
      </w:r>
      <w:r>
        <w:t xml:space="preserve">неэффективность отраслевой структуры экономики; </w:t>
      </w:r>
      <w:r>
        <w:rPr>
          <w:rFonts w:ascii="Courier New" w:eastAsia="Courier New" w:hAnsi="Courier New" w:cs="Courier New"/>
        </w:rPr>
        <w:t>-</w:t>
      </w:r>
      <w:r>
        <w:rPr>
          <w:rFonts w:ascii="Arial" w:eastAsia="Arial" w:hAnsi="Arial" w:cs="Arial"/>
        </w:rPr>
        <w:t xml:space="preserve"> </w:t>
      </w:r>
      <w:r>
        <w:t xml:space="preserve">слабый баланс природопользования. </w:t>
      </w:r>
    </w:p>
    <w:p w:rsidR="002C0F56" w:rsidRDefault="00E67C6E">
      <w:pPr>
        <w:ind w:left="165" w:right="873"/>
      </w:pPr>
      <w:r>
        <w:t xml:space="preserve">И это лишь часть факторов, мешающих освоению данной территории. На фоне этих факторов и складывающихся современных тенденций в развитии можно выделить следующие проблемы в становлении и развитии Дальнего Востока: </w:t>
      </w:r>
    </w:p>
    <w:p w:rsidR="002C0F56" w:rsidRDefault="00E67C6E">
      <w:pPr>
        <w:numPr>
          <w:ilvl w:val="0"/>
          <w:numId w:val="64"/>
        </w:numPr>
        <w:ind w:right="302"/>
      </w:pPr>
      <w:r>
        <w:t>необход</w:t>
      </w:r>
      <w:r>
        <w:t xml:space="preserve">имость огромных капиталовложений для развития и освоения региона; </w:t>
      </w:r>
    </w:p>
    <w:p w:rsidR="002C0F56" w:rsidRDefault="00E67C6E">
      <w:pPr>
        <w:numPr>
          <w:ilvl w:val="0"/>
          <w:numId w:val="64"/>
        </w:numPr>
        <w:ind w:right="302"/>
      </w:pPr>
      <w:r>
        <w:t xml:space="preserve">слабая поддержка развивающихся предприятий топливноэнергетическими ресурсами; </w:t>
      </w:r>
    </w:p>
    <w:p w:rsidR="002C0F56" w:rsidRDefault="00E67C6E">
      <w:pPr>
        <w:numPr>
          <w:ilvl w:val="0"/>
          <w:numId w:val="64"/>
        </w:numPr>
        <w:ind w:right="302"/>
      </w:pPr>
      <w:r>
        <w:t xml:space="preserve">направленность добывающих структур в отраслевую пользу с слабо развитыми технологиями; </w:t>
      </w:r>
    </w:p>
    <w:p w:rsidR="002C0F56" w:rsidRDefault="00E67C6E">
      <w:pPr>
        <w:numPr>
          <w:ilvl w:val="0"/>
          <w:numId w:val="64"/>
        </w:numPr>
        <w:spacing w:after="3" w:line="297" w:lineRule="auto"/>
        <w:ind w:right="302"/>
      </w:pPr>
      <w:r>
        <w:t>неэффективное развитие</w:t>
      </w:r>
      <w:r>
        <w:t xml:space="preserve"> промышленного сектора на фоне отраслевого; </w:t>
      </w:r>
      <w:r>
        <w:rPr>
          <w:rFonts w:ascii="Courier New" w:eastAsia="Courier New" w:hAnsi="Courier New" w:cs="Courier New"/>
        </w:rPr>
        <w:t>-</w:t>
      </w:r>
      <w:r>
        <w:rPr>
          <w:rFonts w:ascii="Arial" w:eastAsia="Arial" w:hAnsi="Arial" w:cs="Arial"/>
        </w:rPr>
        <w:t xml:space="preserve"> </w:t>
      </w:r>
      <w:r>
        <w:t xml:space="preserve">слабые социально-экономические связи внутри самого региона; </w:t>
      </w:r>
    </w:p>
    <w:p w:rsidR="002C0F56" w:rsidRDefault="00E67C6E">
      <w:pPr>
        <w:numPr>
          <w:ilvl w:val="0"/>
          <w:numId w:val="64"/>
        </w:numPr>
        <w:spacing w:after="9"/>
        <w:ind w:right="302"/>
      </w:pPr>
      <w:r>
        <w:t>за счет отдаленности региона связи больше налаживаются не с центральными областями страны, а с зарубежными партнерами, которых в свою очередь интерес</w:t>
      </w:r>
      <w:r>
        <w:t xml:space="preserve">ует не полноценное развитие региона, а лишь его отдельных структур; </w:t>
      </w:r>
    </w:p>
    <w:p w:rsidR="002C0F56" w:rsidRDefault="00E67C6E">
      <w:pPr>
        <w:numPr>
          <w:ilvl w:val="0"/>
          <w:numId w:val="64"/>
        </w:numPr>
        <w:ind w:right="302"/>
      </w:pPr>
      <w:r>
        <w:t xml:space="preserve">слабое развитие инновационных технологий даже в крупных городах региона; </w:t>
      </w:r>
    </w:p>
    <w:p w:rsidR="002C0F56" w:rsidRDefault="00E67C6E">
      <w:pPr>
        <w:numPr>
          <w:ilvl w:val="0"/>
          <w:numId w:val="64"/>
        </w:numPr>
        <w:spacing w:after="64"/>
        <w:ind w:right="302"/>
      </w:pPr>
      <w:r>
        <w:t xml:space="preserve">неритмичность финансирования региона; </w:t>
      </w:r>
    </w:p>
    <w:p w:rsidR="002C0F56" w:rsidRDefault="00E67C6E">
      <w:pPr>
        <w:numPr>
          <w:ilvl w:val="0"/>
          <w:numId w:val="64"/>
        </w:numPr>
        <w:ind w:right="302"/>
      </w:pPr>
      <w:r>
        <w:t xml:space="preserve">развитие финансовой инфраструктуры складывается не за счет собственного потенциала, а с помощью поддержки федерального  бюджета; </w:t>
      </w:r>
    </w:p>
    <w:p w:rsidR="002C0F56" w:rsidRDefault="00E67C6E">
      <w:pPr>
        <w:numPr>
          <w:ilvl w:val="0"/>
          <w:numId w:val="64"/>
        </w:numPr>
        <w:ind w:right="302"/>
      </w:pPr>
      <w:r>
        <w:t>на фоне слабого социально-экономического развития идет отток населения, который в свою очередь ещё больше деморализует социаль</w:t>
      </w:r>
      <w:r>
        <w:t xml:space="preserve">ноэкономическую позицию региона. Таким образом, формируется замкнутый </w:t>
      </w:r>
    </w:p>
    <w:p w:rsidR="002C0F56" w:rsidRDefault="00E67C6E">
      <w:pPr>
        <w:ind w:left="165" w:right="302" w:firstLine="0"/>
      </w:pPr>
      <w:r>
        <w:t xml:space="preserve">круг; </w:t>
      </w:r>
    </w:p>
    <w:p w:rsidR="002C0F56" w:rsidRDefault="00E67C6E">
      <w:pPr>
        <w:numPr>
          <w:ilvl w:val="0"/>
          <w:numId w:val="64"/>
        </w:numPr>
        <w:ind w:right="302"/>
      </w:pPr>
      <w:r>
        <w:lastRenderedPageBreak/>
        <w:t xml:space="preserve">не смотря на достойные выплаты для жизнеобеспечения граждан региона, существует высокие ценовые показатели на важные направления жизни граждан; </w:t>
      </w:r>
    </w:p>
    <w:p w:rsidR="002C0F56" w:rsidRDefault="00E67C6E">
      <w:pPr>
        <w:numPr>
          <w:ilvl w:val="0"/>
          <w:numId w:val="64"/>
        </w:numPr>
        <w:spacing w:after="64"/>
        <w:ind w:right="302"/>
      </w:pPr>
      <w:r>
        <w:t>высокий показатель старения в рег</w:t>
      </w:r>
      <w:r>
        <w:t xml:space="preserve">ионе; </w:t>
      </w:r>
    </w:p>
    <w:p w:rsidR="002C0F56" w:rsidRDefault="00E67C6E">
      <w:pPr>
        <w:numPr>
          <w:ilvl w:val="0"/>
          <w:numId w:val="64"/>
        </w:numPr>
        <w:spacing w:after="60"/>
        <w:ind w:right="302"/>
      </w:pPr>
      <w:r>
        <w:t xml:space="preserve">наблюдается тенденция становления региона не как сильной структуры </w:t>
      </w:r>
    </w:p>
    <w:p w:rsidR="002C0F56" w:rsidRDefault="00E67C6E">
      <w:pPr>
        <w:ind w:left="165" w:right="302" w:firstLine="0"/>
      </w:pPr>
      <w:r>
        <w:t xml:space="preserve">РФ, а как сырьевой «колонки» для стран Восточной Азии; </w:t>
      </w:r>
    </w:p>
    <w:p w:rsidR="002C0F56" w:rsidRDefault="00E67C6E">
      <w:pPr>
        <w:numPr>
          <w:ilvl w:val="0"/>
          <w:numId w:val="64"/>
        </w:numPr>
        <w:spacing w:after="60"/>
        <w:ind w:right="302"/>
      </w:pPr>
      <w:r>
        <w:t xml:space="preserve">большой отток денег в страны Восточной Азии в структуре </w:t>
      </w:r>
    </w:p>
    <w:p w:rsidR="002C0F56" w:rsidRDefault="00E67C6E">
      <w:pPr>
        <w:ind w:left="165" w:right="302" w:firstLine="0"/>
      </w:pPr>
      <w:r>
        <w:t xml:space="preserve">потребительского рынка на фоне его слабого развития в регионе; </w:t>
      </w:r>
    </w:p>
    <w:p w:rsidR="002C0F56" w:rsidRDefault="00E67C6E">
      <w:pPr>
        <w:numPr>
          <w:ilvl w:val="0"/>
          <w:numId w:val="64"/>
        </w:numPr>
        <w:ind w:right="302"/>
      </w:pPr>
      <w:r>
        <w:t>экол</w:t>
      </w:r>
      <w:r>
        <w:t xml:space="preserve">огические проблемы под влиянием внутренних факторов региона и за счёт близости предприятий, находящихся по другую сторону границы; </w:t>
      </w:r>
      <w:r>
        <w:rPr>
          <w:rFonts w:ascii="Courier New" w:eastAsia="Courier New" w:hAnsi="Courier New" w:cs="Courier New"/>
        </w:rPr>
        <w:t>-</w:t>
      </w:r>
      <w:r>
        <w:rPr>
          <w:rFonts w:ascii="Arial" w:eastAsia="Arial" w:hAnsi="Arial" w:cs="Arial"/>
        </w:rPr>
        <w:t xml:space="preserve"> </w:t>
      </w:r>
      <w:r>
        <w:t xml:space="preserve">шаткие отношения с азиатскими партнерами. </w:t>
      </w:r>
    </w:p>
    <w:p w:rsidR="002C0F56" w:rsidRDefault="00E67C6E">
      <w:pPr>
        <w:ind w:left="165" w:right="870"/>
      </w:pPr>
      <w:r>
        <w:t>На фоне имеющихся проблем дальневосточный регион старается идти в ногу со времен</w:t>
      </w:r>
      <w:r>
        <w:t xml:space="preserve">ем, формируются долгосрочные программы для его развития и создаются условия для привлечения капитала из центральных регионов. Также можно выделить возможные пути решения проблем: </w:t>
      </w:r>
    </w:p>
    <w:p w:rsidR="002C0F56" w:rsidRDefault="00E67C6E">
      <w:pPr>
        <w:numPr>
          <w:ilvl w:val="0"/>
          <w:numId w:val="64"/>
        </w:numPr>
        <w:ind w:right="302"/>
      </w:pPr>
      <w:r>
        <w:t>направленность на помощь в развитии региона и отслеживание условий по выполн</w:t>
      </w:r>
      <w:r>
        <w:t xml:space="preserve">ению поставленных задач; </w:t>
      </w:r>
    </w:p>
    <w:p w:rsidR="002C0F56" w:rsidRDefault="00E67C6E">
      <w:pPr>
        <w:numPr>
          <w:ilvl w:val="0"/>
          <w:numId w:val="64"/>
        </w:numPr>
        <w:ind w:right="302"/>
      </w:pPr>
      <w:r>
        <w:t xml:space="preserve">развитие региона как туристического сектора за счет транзитного потока туристов; </w:t>
      </w:r>
    </w:p>
    <w:p w:rsidR="002C0F56" w:rsidRDefault="00E67C6E">
      <w:pPr>
        <w:numPr>
          <w:ilvl w:val="0"/>
          <w:numId w:val="64"/>
        </w:numPr>
        <w:ind w:right="302"/>
      </w:pPr>
      <w:r>
        <w:t xml:space="preserve">обогащение денежными средствами за счет экспорта не только сырья, но и продукции региона; </w:t>
      </w:r>
    </w:p>
    <w:p w:rsidR="002C0F56" w:rsidRDefault="00E67C6E">
      <w:pPr>
        <w:numPr>
          <w:ilvl w:val="0"/>
          <w:numId w:val="64"/>
        </w:numPr>
        <w:ind w:right="302"/>
      </w:pPr>
      <w:r>
        <w:t>развитие территории для направления в сфере хозяйства и и</w:t>
      </w:r>
      <w:r>
        <w:t xml:space="preserve">нфраструктуры; </w:t>
      </w:r>
    </w:p>
    <w:p w:rsidR="002C0F56" w:rsidRDefault="00E67C6E">
      <w:pPr>
        <w:numPr>
          <w:ilvl w:val="0"/>
          <w:numId w:val="64"/>
        </w:numPr>
        <w:spacing w:after="64"/>
        <w:ind w:right="302"/>
      </w:pPr>
      <w:r>
        <w:t xml:space="preserve">привлечение населения за счёт социально-экономических программ; </w:t>
      </w:r>
    </w:p>
    <w:p w:rsidR="002C0F56" w:rsidRDefault="00E67C6E">
      <w:pPr>
        <w:numPr>
          <w:ilvl w:val="0"/>
          <w:numId w:val="64"/>
        </w:numPr>
        <w:spacing w:after="65"/>
        <w:ind w:right="302"/>
      </w:pPr>
      <w:r>
        <w:t xml:space="preserve">привлечение и создание условий для развития научного направления; </w:t>
      </w:r>
    </w:p>
    <w:p w:rsidR="002C0F56" w:rsidRDefault="00E67C6E">
      <w:pPr>
        <w:numPr>
          <w:ilvl w:val="0"/>
          <w:numId w:val="64"/>
        </w:numPr>
        <w:spacing w:after="57"/>
        <w:ind w:right="302"/>
      </w:pPr>
      <w:r>
        <w:t xml:space="preserve">разработка альтернативных источников энергии за счёт научного </w:t>
      </w:r>
    </w:p>
    <w:p w:rsidR="002C0F56" w:rsidRDefault="00E67C6E">
      <w:pPr>
        <w:ind w:left="165" w:right="302" w:firstLine="0"/>
      </w:pPr>
      <w:r>
        <w:t xml:space="preserve">сектора; </w:t>
      </w:r>
    </w:p>
    <w:p w:rsidR="002C0F56" w:rsidRDefault="00E67C6E">
      <w:pPr>
        <w:numPr>
          <w:ilvl w:val="0"/>
          <w:numId w:val="64"/>
        </w:numPr>
        <w:ind w:right="302"/>
      </w:pPr>
      <w:r>
        <w:t xml:space="preserve">повышение реальных денежных доходов населения, тем самым сокращение доли бедных; </w:t>
      </w:r>
    </w:p>
    <w:p w:rsidR="002C0F56" w:rsidRDefault="00E67C6E">
      <w:pPr>
        <w:numPr>
          <w:ilvl w:val="0"/>
          <w:numId w:val="64"/>
        </w:numPr>
        <w:ind w:right="302"/>
      </w:pPr>
      <w:r>
        <w:t xml:space="preserve">оказание поддержки для негосударственных предприятий, обеспечивающих развитие региона. </w:t>
      </w:r>
    </w:p>
    <w:p w:rsidR="002C0F56" w:rsidRDefault="00E67C6E">
      <w:pPr>
        <w:ind w:left="165" w:right="302"/>
      </w:pPr>
      <w:r>
        <w:t xml:space="preserve">Также можно определить уже имеющиеся направления в разрешении проблем региона: </w:t>
      </w:r>
    </w:p>
    <w:p w:rsidR="002C0F56" w:rsidRDefault="00E67C6E">
      <w:pPr>
        <w:numPr>
          <w:ilvl w:val="0"/>
          <w:numId w:val="64"/>
        </w:numPr>
        <w:spacing w:after="64"/>
        <w:ind w:right="302"/>
      </w:pPr>
      <w:r>
        <w:t>создан</w:t>
      </w:r>
      <w:r>
        <w:t xml:space="preserve">а программа по переселению «Гектар на Дальнем Востоке»; </w:t>
      </w:r>
    </w:p>
    <w:p w:rsidR="002C0F56" w:rsidRDefault="00E67C6E">
      <w:pPr>
        <w:numPr>
          <w:ilvl w:val="0"/>
          <w:numId w:val="64"/>
        </w:numPr>
        <w:ind w:right="302"/>
      </w:pPr>
      <w:r>
        <w:t xml:space="preserve">разработана и вступает в силу «Стратегия социально-экономического развития Дальнего Востока и Балькайского региона на период до 2025 года»; </w:t>
      </w:r>
    </w:p>
    <w:p w:rsidR="002C0F56" w:rsidRDefault="00E67C6E">
      <w:pPr>
        <w:numPr>
          <w:ilvl w:val="0"/>
          <w:numId w:val="64"/>
        </w:numPr>
        <w:spacing w:after="60"/>
        <w:ind w:right="302"/>
      </w:pPr>
      <w:r>
        <w:lastRenderedPageBreak/>
        <w:t>создана и реализуется компания, определенная правительство</w:t>
      </w:r>
      <w:r>
        <w:t xml:space="preserve">м РФ </w:t>
      </w:r>
    </w:p>
    <w:p w:rsidR="002C0F56" w:rsidRDefault="00E67C6E">
      <w:pPr>
        <w:ind w:left="165" w:right="302" w:firstLine="0"/>
      </w:pPr>
      <w:r>
        <w:t xml:space="preserve">«Корпорация развития Дальнего Востока»; </w:t>
      </w:r>
    </w:p>
    <w:p w:rsidR="002C0F56" w:rsidRDefault="00E67C6E">
      <w:pPr>
        <w:numPr>
          <w:ilvl w:val="0"/>
          <w:numId w:val="64"/>
        </w:numPr>
        <w:spacing w:after="12"/>
        <w:ind w:right="302"/>
      </w:pPr>
      <w:r>
        <w:t xml:space="preserve">создаются все условия для свободного инвестирования. </w:t>
      </w:r>
    </w:p>
    <w:p w:rsidR="002C0F56" w:rsidRDefault="00E67C6E">
      <w:pPr>
        <w:spacing w:after="0"/>
        <w:ind w:left="165" w:right="867"/>
      </w:pPr>
      <w:r>
        <w:t>Это лишь часть усилий и условий, которые направляются на такой важный для нашей страны регион. Развитие Дальнего Востока необходимо, чтобы не потерять этот</w:t>
      </w:r>
      <w:r>
        <w:t xml:space="preserve"> регион, ведь он находится в опасной близости от Японии, Китая и США. Прежде всего, необходимо направить усилия на прекращение оттока населения, для этого необходимо создание благоприятных экономических условий. Необходимо начать использование потенциалов </w:t>
      </w:r>
      <w:r>
        <w:t xml:space="preserve">Дальнего Востока и улучшить его экологические показатели.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165" w:right="868"/>
      </w:pPr>
      <w:r>
        <w:t>1.</w:t>
      </w:r>
      <w:r>
        <w:rPr>
          <w:rFonts w:ascii="Arial" w:eastAsia="Arial" w:hAnsi="Arial" w:cs="Arial"/>
        </w:rPr>
        <w:t xml:space="preserve"> </w:t>
      </w:r>
      <w:r>
        <w:t xml:space="preserve">Послание Президента РФ Путина В.В. Федеральному собранию 3 декабря 2015 года [Электронный ресурс] – </w:t>
      </w:r>
      <w:r>
        <w:t>Режим доступа: http://www.kremlin.ru/events/president/transcripts/messages (Дата обращения: 17.04.17) 2.</w:t>
      </w:r>
      <w:r>
        <w:rPr>
          <w:rFonts w:ascii="Arial" w:eastAsia="Arial" w:hAnsi="Arial" w:cs="Arial"/>
        </w:rPr>
        <w:t xml:space="preserve"> </w:t>
      </w:r>
      <w:r>
        <w:t>Деловой саммит форума «Азиатско-Тихоокеанское экономическое сотрудничество» 18 ноября 2015 года [Электронный ресурс] – Режим доступа: http://government</w:t>
      </w:r>
      <w:r>
        <w:t xml:space="preserve">.ru/news/20617/ (Дата доступа 17.04.17) </w:t>
      </w:r>
    </w:p>
    <w:p w:rsidR="002C0F56" w:rsidRDefault="00E67C6E">
      <w:pPr>
        <w:numPr>
          <w:ilvl w:val="0"/>
          <w:numId w:val="65"/>
        </w:numPr>
        <w:ind w:right="868"/>
      </w:pPr>
      <w:r>
        <w:t xml:space="preserve">Евразийский международный научно-аналитический журнал «Проблемы современной экономики» №59 [Электронный ресурс] – Режим доступа: http://www.m-economy.ru/issue.php?num=59 (Дата обращения: 20.04.17) </w:t>
      </w:r>
    </w:p>
    <w:p w:rsidR="002C0F56" w:rsidRDefault="00E67C6E">
      <w:pPr>
        <w:numPr>
          <w:ilvl w:val="0"/>
          <w:numId w:val="65"/>
        </w:numPr>
        <w:ind w:right="868"/>
      </w:pPr>
      <w:r>
        <w:t xml:space="preserve">Акционерное общество «Корпорация развития Дальнего Востока» [Электронный ресурс] – Режим доступа: http://erdc.ru/ (Дата обращения:20.04.17) </w:t>
      </w:r>
    </w:p>
    <w:p w:rsidR="002C0F56" w:rsidRDefault="00E67C6E">
      <w:pPr>
        <w:spacing w:after="29" w:line="259" w:lineRule="auto"/>
        <w:ind w:left="744" w:firstLine="0"/>
        <w:jc w:val="left"/>
      </w:pPr>
      <w:r>
        <w:t xml:space="preserve"> </w:t>
      </w:r>
    </w:p>
    <w:p w:rsidR="002C0F56" w:rsidRDefault="00E67C6E">
      <w:pPr>
        <w:spacing w:after="25" w:line="259" w:lineRule="auto"/>
        <w:ind w:left="10" w:right="856" w:hanging="10"/>
        <w:jc w:val="right"/>
      </w:pPr>
      <w:r>
        <w:rPr>
          <w:b/>
        </w:rPr>
        <w:t xml:space="preserve">Головач Д.А., Гуринович А.С. </w:t>
      </w:r>
    </w:p>
    <w:p w:rsidR="002C0F56" w:rsidRDefault="00E67C6E">
      <w:pPr>
        <w:spacing w:after="11" w:line="270" w:lineRule="auto"/>
        <w:ind w:left="10" w:right="862" w:hanging="10"/>
        <w:jc w:val="right"/>
      </w:pPr>
      <w:r>
        <w:t xml:space="preserve">Научный руководитель: Кулакова Н.Л.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rPr>
          <w:b/>
        </w:rPr>
        <w:t xml:space="preserve"> </w:t>
      </w:r>
    </w:p>
    <w:p w:rsidR="002C0F56" w:rsidRDefault="00E67C6E">
      <w:pPr>
        <w:pStyle w:val="1"/>
        <w:spacing w:after="15" w:line="271" w:lineRule="auto"/>
        <w:ind w:left="368" w:right="0"/>
        <w:jc w:val="left"/>
      </w:pPr>
      <w:r>
        <w:t>ПРО</w:t>
      </w:r>
      <w:r>
        <w:t xml:space="preserve">БЛЕМЫ ЗАГРЯЗНЕНИЯ СЕЛЬСКОХОЗЯЙСТВЕННЫХ ЗЕМЕЛЬ </w:t>
      </w:r>
    </w:p>
    <w:p w:rsidR="002C0F56" w:rsidRDefault="00E67C6E">
      <w:pPr>
        <w:pStyle w:val="1"/>
        <w:ind w:left="700" w:right="1378"/>
      </w:pPr>
      <w:r>
        <w:t xml:space="preserve">РЕСПУБЛИКИ БЕЛАРУСЬ ТЯЖЕЛЫМИ МЕТАЛЛАМИ </w:t>
      </w:r>
    </w:p>
    <w:p w:rsidR="002C0F56" w:rsidRDefault="00E67C6E">
      <w:pPr>
        <w:spacing w:after="0" w:line="259" w:lineRule="auto"/>
        <w:ind w:left="744" w:firstLine="0"/>
        <w:jc w:val="left"/>
      </w:pPr>
      <w:r>
        <w:t xml:space="preserve"> </w:t>
      </w:r>
    </w:p>
    <w:p w:rsidR="002C0F56" w:rsidRDefault="00E67C6E">
      <w:pPr>
        <w:spacing w:after="0"/>
        <w:ind w:left="165" w:right="868"/>
      </w:pPr>
      <w:r>
        <w:t>Выявление, оценка, а также учёт загрязненных земель необходимы для экологически безопасного сельскохозяйственного производства, так как загрязнение почв может привести</w:t>
      </w:r>
      <w:r>
        <w:t xml:space="preserve"> к значительному снижению качества производимой на данной территории продукции растительного и животного происхождения. Так, количество земель в Республике Беларусь с опасным уровнем загрязнения составляет около 0,12% площади сельскохозяйственных земель [1</w:t>
      </w:r>
      <w:r>
        <w:t xml:space="preserve">].  </w:t>
      </w:r>
    </w:p>
    <w:p w:rsidR="002C0F56" w:rsidRDefault="00E67C6E">
      <w:pPr>
        <w:spacing w:after="10"/>
        <w:ind w:left="165" w:right="872"/>
      </w:pPr>
      <w:r>
        <w:lastRenderedPageBreak/>
        <w:t xml:space="preserve">Загрязняющие вещества поступают в почвы сельскохозяйственных земель вместе с выбросами промышленных объектов и транспорта, удобрениями, средствами защиты растений и т. д. [2]. </w:t>
      </w:r>
    </w:p>
    <w:p w:rsidR="002C0F56" w:rsidRDefault="00E67C6E">
      <w:pPr>
        <w:ind w:left="165" w:right="868"/>
      </w:pPr>
      <w:r>
        <w:t>Согласно данным статистической отчетности за 2014 г. удельные выбросы твердых веществ на единицу площади территории нашей страны составили       0,3 т/км</w:t>
      </w:r>
      <w:r>
        <w:rPr>
          <w:vertAlign w:val="superscript"/>
        </w:rPr>
        <w:t>2</w:t>
      </w:r>
      <w:r>
        <w:t>. Что касается количества выбросов тяжелых металлов, то на единицу площади данный показатель равен: дл</w:t>
      </w:r>
      <w:r>
        <w:t>я цинка – 4,02 г/га, никеля – 1,9 г/га, свинца – 1,86 г/га, меди – 0,33 г/га [3]. В то же время в исследованиях, которые были проведены Институтом почвоведения и агрохимии, было установлено, что вместе с атмосферными выпадениями на поверхность почвы поступ</w:t>
      </w:r>
      <w:r>
        <w:t xml:space="preserve">ает значительно большее количество тяжелых металлов: свинца – 128,7 г/га, кадмия – 3,44 г/га, цинка – 498,4 г/га, меди – 49,2 г/га [2]. </w:t>
      </w:r>
    </w:p>
    <w:p w:rsidR="002C0F56" w:rsidRDefault="00E67C6E">
      <w:pPr>
        <w:spacing w:after="1"/>
        <w:ind w:left="165" w:right="872"/>
      </w:pPr>
      <w:r>
        <w:t>Минеральные удобрения, такие как доломитовая мука, фосфорные, комплексные удобрения, приносят в почву поллютанты. При э</w:t>
      </w:r>
      <w:r>
        <w:t xml:space="preserve">том степень концентрации металлов зависит в частности от форм производства удобрений, а также фирмы-производителя [2].  </w:t>
      </w:r>
    </w:p>
    <w:p w:rsidR="002C0F56" w:rsidRDefault="00E67C6E">
      <w:pPr>
        <w:spacing w:after="0"/>
        <w:ind w:left="165" w:right="872"/>
      </w:pPr>
      <w:r>
        <w:t>Таким образом, к основным загрязняющим веществам, которые поступают в почвы сельхозземель, можно отнести тяжелые металлы, пестициды, хл</w:t>
      </w:r>
      <w:r>
        <w:t xml:space="preserve">ориды, сульфаты, нитраты и другие. Огромное количество источников поступления поллютантов усложняет процесс выявления, оценки и учета загрязненных сельскохозяйственных угодий.  </w:t>
      </w:r>
    </w:p>
    <w:p w:rsidR="002C0F56" w:rsidRDefault="00E67C6E">
      <w:pPr>
        <w:ind w:left="165" w:right="866"/>
      </w:pPr>
      <w:r>
        <w:t>В зонах влияния крупных промышленных центров Беларуси на расстоянии    10 км и</w:t>
      </w:r>
      <w:r>
        <w:t xml:space="preserve"> более от населенного пункта отмечается повсеместное загрязнение почв сельхозземель тяжелыми металлами [2]. Таким образом, в зоне воздействия          г. Минска на отдельных сельскохозяйственных полях содержание в почвах свинца и цинка достигает 70,4 и 138</w:t>
      </w:r>
      <w:r>
        <w:t>,0 мг/кг соответственно, что выше допустимых для сельхозземель уровней в 2 и 2,3 раза. Вокруг г. Могилева идет загрязнение земель свинцом, кадмием и цинком. Содержание кадмия составляет    0,52-0,77 мг/кг, что в 1,3-1,9 выше ориентировочной допустимой конц</w:t>
      </w:r>
      <w:r>
        <w:t xml:space="preserve">ентрации (ОДК). Концентрации свинца и цинка достигают на отдельных участках 39,4 и 87 мг/кг соответственно, что также превышает допустимые уровни их содержания в почвах сельхозземель. Почвы пригородных хозяйств   </w:t>
      </w:r>
    </w:p>
    <w:p w:rsidR="002C0F56" w:rsidRDefault="00E67C6E">
      <w:pPr>
        <w:ind w:left="165" w:right="302" w:firstLine="0"/>
      </w:pPr>
      <w:r>
        <w:t>г. Гомеля имеют повышенные концентрации св</w:t>
      </w:r>
      <w:r>
        <w:t xml:space="preserve">инца – до 44,6 мг/кг, кадмия – 1,05,   цинка – до 83,0 мг/кг.  </w:t>
      </w:r>
    </w:p>
    <w:p w:rsidR="002C0F56" w:rsidRDefault="00E67C6E">
      <w:pPr>
        <w:ind w:left="165" w:right="869"/>
      </w:pPr>
      <w:r>
        <w:t>Загрязнение сельхозземель наблюдается на территории воздействия промышленных предприятий. Исследования, которые были проведены Институтом почвоведении и агрохимии, свидетельствуют о том, что н</w:t>
      </w:r>
      <w:r>
        <w:t xml:space="preserve">а сельскохозяйственных угодьях под влиянием промышленных предприятий, которые занимаются производством строительных материалов, происходит </w:t>
      </w:r>
      <w:r>
        <w:lastRenderedPageBreak/>
        <w:t>накопление в почве такого вредного вещества, как мышьяк, содержание которого в среднем в 3 раза выше норматива и сост</w:t>
      </w:r>
      <w:r>
        <w:t xml:space="preserve">авляет 6,0 мг/кг. </w:t>
      </w:r>
    </w:p>
    <w:p w:rsidR="002C0F56" w:rsidRDefault="00E67C6E">
      <w:pPr>
        <w:spacing w:after="11"/>
        <w:ind w:left="165" w:right="873"/>
      </w:pPr>
      <w:r>
        <w:t xml:space="preserve">Исследование земель в зоне действия ОАО «Беларуськалий», показало, что содержание хлора в почве превышает норму до 2,1 раза. При этом данная ситуация наблюдается в радиусе до 2 км от калийных комбинатов [5].  </w:t>
      </w:r>
    </w:p>
    <w:p w:rsidR="002C0F56" w:rsidRDefault="00E67C6E">
      <w:pPr>
        <w:ind w:left="165" w:right="869"/>
      </w:pPr>
      <w:r>
        <w:t>Еще одним источником поступ</w:t>
      </w:r>
      <w:r>
        <w:t xml:space="preserve">лений тяжелых металлов в почву являются выхлопные газы автотранспорта, которые приводят к накоплению в них свинца, меди и цинка. На сельскохозяйственных полях, находящихся вдоль автомобильных дорог, содержание свинца превышает допустимые значения в </w:t>
      </w:r>
    </w:p>
    <w:p w:rsidR="002C0F56" w:rsidRDefault="00E67C6E">
      <w:pPr>
        <w:spacing w:after="12"/>
        <w:ind w:left="165" w:right="302" w:firstLine="0"/>
      </w:pPr>
      <w:r>
        <w:t>1,7-3,</w:t>
      </w:r>
      <w:r>
        <w:t xml:space="preserve">8 раз [2]. </w:t>
      </w:r>
    </w:p>
    <w:p w:rsidR="002C0F56" w:rsidRDefault="00E67C6E">
      <w:pPr>
        <w:spacing w:after="0"/>
        <w:ind w:left="165" w:right="868"/>
      </w:pPr>
      <w:r>
        <w:t>В целом, анализ данных по загрязнению почв сельскохозяйственных земель Республики Беларусь свидетельствует о том, что проблемы загрязнения земель существуют на ограниченных по площади территориях. При этом на загрязненных участках уровни загряз</w:t>
      </w:r>
      <w:r>
        <w:t>нения превышают максимально допустимые концентрации или фоновое содержание в несколько раз. Большое количество загрязняющих веществ поступает в почвы сельхозугодий вместе с атмосферными осадками, удобрениями, отходами животноводства и птицеводства. Выбросы</w:t>
      </w:r>
      <w:r>
        <w:t xml:space="preserve"> промышленных предприятий и автомобильного транспорта, а также минеральные удобрения являются источниками поступления в почву свинца, кадмия, цинка, меди, хрома и никеля. В навозных стоках в больших количествах содержатся азот, калий, фосфор, хлор и натрий</w:t>
      </w:r>
      <w:r>
        <w:t xml:space="preserve">.  </w:t>
      </w:r>
    </w:p>
    <w:p w:rsidR="002C0F56" w:rsidRDefault="00E67C6E">
      <w:pPr>
        <w:spacing w:after="2"/>
        <w:ind w:left="165" w:right="868"/>
      </w:pPr>
      <w:r>
        <w:t>В регионах нашей страны с развитым промышленным и сельскохозяйственным производством, существует опасность загрязнения экосистем большим количеством тяжелых металлов. В связи с этим возникает необходимость проведения экологогеохимического районирования</w:t>
      </w:r>
      <w:r>
        <w:t xml:space="preserve"> территории и осуществления постоянного мониторинга за поступлением и распределением тяжелых металлов в экосистемах. Также необходимо определять важнейшие источники поступления тяжелых металлов в почву: природные и техногенные.  </w:t>
      </w:r>
    </w:p>
    <w:p w:rsidR="002C0F56" w:rsidRDefault="00E67C6E">
      <w:pPr>
        <w:ind w:left="165" w:right="866"/>
      </w:pPr>
      <w:r>
        <w:t>Необходимо стремиться к ве</w:t>
      </w:r>
      <w:r>
        <w:t xml:space="preserve">дению экологической политики на уровне принятия государством правительственных решений. Проблема загрязнения сельхозземель – это проблема республиканского масштаба, решение которой невозможно только на уровне отдельного предприятия. </w:t>
      </w:r>
    </w:p>
    <w:p w:rsidR="002C0F56" w:rsidRDefault="00E67C6E">
      <w:pPr>
        <w:ind w:left="165" w:right="869"/>
      </w:pPr>
      <w:r>
        <w:t xml:space="preserve">Минеральные вещества, </w:t>
      </w:r>
      <w:r>
        <w:t>которые поступают в качестве удобрений в сельскохозяйственные земли должны быть экологически чистыми и содержать меньшее количество химических элементов. В решении данной проблемы Республике Беларусь следовало бы ориентироваться на развитые страны, которые</w:t>
      </w:r>
      <w:r>
        <w:t xml:space="preserve"> внедряют в состав удобрений органически чистые вещества. </w:t>
      </w:r>
    </w:p>
    <w:p w:rsidR="002C0F56" w:rsidRDefault="00E67C6E">
      <w:pPr>
        <w:spacing w:after="0"/>
        <w:ind w:left="165" w:right="867"/>
      </w:pPr>
      <w:r>
        <w:t xml:space="preserve">Для решения проблемы с выбросами промышленных </w:t>
      </w:r>
      <w:r>
        <w:t xml:space="preserve">предприятий необходима установка очистных сооружений, фильтров, рациональное и </w:t>
      </w:r>
      <w:r>
        <w:lastRenderedPageBreak/>
        <w:t>безотходное производство. Так как это требует значительных денежных затрат, то со стороны государства необходима финансовая поддержка в виде предоставления кредитов по низким пр</w:t>
      </w:r>
      <w:r>
        <w:t xml:space="preserve">оцентным ставкам, а также уменьшение экологического налога. </w:t>
      </w:r>
    </w:p>
    <w:p w:rsidR="002C0F56" w:rsidRDefault="00E67C6E">
      <w:pPr>
        <w:spacing w:after="0"/>
        <w:ind w:left="165" w:right="302"/>
      </w:pPr>
      <w:r>
        <w:t>Что касается проблемы выбросов автомобильного транспорта, то необходимо ужесточить требования к техническому состоянию транспортных средств: запрет на использование автомобилей, возраст которых п</w:t>
      </w:r>
      <w:r>
        <w:t>ревышает 1520 лет и усилить меры по ограничению содержания СО</w:t>
      </w:r>
      <w:r>
        <w:rPr>
          <w:vertAlign w:val="subscript"/>
        </w:rPr>
        <w:t xml:space="preserve">2 </w:t>
      </w:r>
      <w:r>
        <w:t xml:space="preserve">в выхлопных газах; освоить производство дизельных двигателей, а также по мере возможности перейти на введение и использование нового экологически чистого топлива (альтернативная энергия). </w:t>
      </w:r>
    </w:p>
    <w:p w:rsidR="002C0F56" w:rsidRDefault="00E67C6E">
      <w:pPr>
        <w:ind w:left="744" w:right="302" w:firstLine="0"/>
      </w:pPr>
      <w:r>
        <w:t xml:space="preserve">Для </w:t>
      </w:r>
      <w:r>
        <w:t xml:space="preserve">реализации данных направлений в Республике Беларусь разработана </w:t>
      </w:r>
    </w:p>
    <w:p w:rsidR="002C0F56" w:rsidRDefault="00E67C6E">
      <w:pPr>
        <w:spacing w:after="2"/>
        <w:ind w:left="165" w:right="868" w:firstLine="0"/>
      </w:pPr>
      <w:r>
        <w:t>Программа социально-экономического развития Республики Беларусь                 на 2016 — 2020 годы, в которой особое внимание уделяется экологической проблеме. Если государство будет придерж</w:t>
      </w:r>
      <w:r>
        <w:t xml:space="preserve">иваться этих подходов, проводить политику как на республиканском уровне, так и на отдельно взятом предприятии, то со временем можно будет заметить положительные изменения в сфере экологии и, в частности, улучшение и сохранение сельскохозяйственных земель. </w:t>
      </w:r>
    </w:p>
    <w:p w:rsidR="002C0F56" w:rsidRDefault="00E67C6E">
      <w:pPr>
        <w:spacing w:after="27"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744" w:right="302" w:firstLine="0"/>
      </w:pPr>
      <w:r>
        <w:t>1. Прогноз изменения окружающей природной среды Беларуси на 2010-</w:t>
      </w:r>
    </w:p>
    <w:p w:rsidR="002C0F56" w:rsidRDefault="00E67C6E">
      <w:pPr>
        <w:ind w:left="165" w:right="864" w:firstLine="0"/>
      </w:pPr>
      <w:r>
        <w:t>2020 гг. / Под общ. ред. В. Ф. Логинова. – Минск: Минсктиппроект,                 2004. – 180 с. 2. Головатый, С. Е. Тяжелые металлы в агроэкосистемх / С. Е. Головатый</w:t>
      </w:r>
      <w:r>
        <w:t xml:space="preserve">. – Минск: Институт почвоведения и агрохимии, 2002. – 140 с. </w:t>
      </w:r>
    </w:p>
    <w:p w:rsidR="002C0F56" w:rsidRDefault="00E67C6E">
      <w:pPr>
        <w:numPr>
          <w:ilvl w:val="0"/>
          <w:numId w:val="66"/>
        </w:numPr>
        <w:ind w:right="866"/>
      </w:pPr>
      <w:r>
        <w:t xml:space="preserve">Состояние природной среды Беларуси. Экологический бюллетень         2001-2014 г. / Под ред. В. Ф. Логинова; – Минск, 2002-2015. – 114 с. </w:t>
      </w:r>
    </w:p>
    <w:p w:rsidR="002C0F56" w:rsidRDefault="00E67C6E">
      <w:pPr>
        <w:numPr>
          <w:ilvl w:val="0"/>
          <w:numId w:val="66"/>
        </w:numPr>
        <w:ind w:right="866"/>
      </w:pPr>
      <w:r>
        <w:t>Головатый, С. Е. Содержание натрия и хлора в почве на по</w:t>
      </w:r>
      <w:r>
        <w:t xml:space="preserve">лях интенсивного применения навозных стоков / С. Е. Логиватый [и др.] // Экологический вестник – 2014. - № 1 (27) – с. 89-95. </w:t>
      </w:r>
    </w:p>
    <w:p w:rsidR="002C0F56" w:rsidRDefault="00E67C6E">
      <w:pPr>
        <w:numPr>
          <w:ilvl w:val="0"/>
          <w:numId w:val="66"/>
        </w:numPr>
        <w:spacing w:after="3"/>
        <w:ind w:right="866"/>
      </w:pPr>
      <w:r>
        <w:t>Головатый, С. Е. Загрязнение почв хлоридами в условиях в условиях техногенеза (на примере деятельности предприятия «Беларуськалий</w:t>
      </w:r>
      <w:r>
        <w:t xml:space="preserve">») /                 С. Е. Логиватый [и др.] // География в ХХI веке: проблемы и перспективы развития: Мастер. Междунар. научно-практ. конф. – Изд-во БрГУ, 2008. –              с. 48-49.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Головач П. А., Дяк Т. Д. </w:t>
      </w:r>
      <w:r>
        <w:rPr>
          <w:b w:val="0"/>
        </w:rPr>
        <w:t xml:space="preserve">Научный руководитель: Кулакова Н. Л. </w:t>
      </w:r>
    </w:p>
    <w:p w:rsidR="002C0F56" w:rsidRDefault="00E67C6E">
      <w:pPr>
        <w:spacing w:after="5" w:line="269" w:lineRule="auto"/>
        <w:ind w:left="4751" w:firstLine="326"/>
        <w:jc w:val="left"/>
      </w:pPr>
      <w:r>
        <w:rPr>
          <w:i/>
        </w:rPr>
        <w:t xml:space="preserve">Полесский государственный университет </w:t>
      </w:r>
    </w:p>
    <w:p w:rsidR="002C0F56" w:rsidRDefault="00E67C6E">
      <w:pPr>
        <w:spacing w:after="0" w:line="259" w:lineRule="auto"/>
        <w:ind w:left="744" w:firstLine="0"/>
        <w:jc w:val="left"/>
      </w:pPr>
      <w:r>
        <w:rPr>
          <w:i/>
        </w:rPr>
        <w:t xml:space="preserve"> </w:t>
      </w:r>
    </w:p>
    <w:p w:rsidR="002C0F56" w:rsidRDefault="00E67C6E">
      <w:pPr>
        <w:pStyle w:val="1"/>
        <w:spacing w:after="15" w:line="271" w:lineRule="auto"/>
        <w:ind w:left="853" w:right="0"/>
        <w:jc w:val="left"/>
      </w:pPr>
      <w:r>
        <w:lastRenderedPageBreak/>
        <w:t xml:space="preserve">ЛЕСНОЙ ФОНД РЕСПУБЛИКИ БЕЛАРУСЬ: СОВРЕМЕННОЕ СОСТОЯНИЕ И ПЕРСПЕКТИВЫ РАЗВИТИЯ </w:t>
      </w:r>
    </w:p>
    <w:p w:rsidR="002C0F56" w:rsidRDefault="00E67C6E">
      <w:pPr>
        <w:ind w:left="165" w:right="868"/>
      </w:pPr>
      <w:r>
        <w:t>Одним из самых значимых и уникальных возобновляемых ресурсов Республики Беларусь являются леса, которые занимают ключевое место среди пр</w:t>
      </w:r>
      <w:r>
        <w:t>иродных богатств страны.</w:t>
      </w:r>
      <w:r>
        <w:rPr>
          <w:b/>
        </w:rPr>
        <w:t xml:space="preserve"> </w:t>
      </w:r>
      <w:r>
        <w:t>На их долю приходится 39,5% всей территории государства. Общая площадь лесного фонда Беларуси составляет более 9,5 млн. га. Запас древесины на корню оценивается в 1,7 млрд. м</w:t>
      </w:r>
      <w:r>
        <w:rPr>
          <w:vertAlign w:val="superscript"/>
        </w:rPr>
        <w:t>3</w:t>
      </w:r>
      <w:r>
        <w:t xml:space="preserve"> , в том числе спелой древесины – 263 млн. м</w:t>
      </w:r>
      <w:r>
        <w:rPr>
          <w:vertAlign w:val="superscript"/>
        </w:rPr>
        <w:t>3</w:t>
      </w:r>
      <w:r>
        <w:t xml:space="preserve">. Ежегодно </w:t>
      </w:r>
      <w:r>
        <w:t>в лесах республики прирастает свыше 32,1 млн. м древесины [1].</w:t>
      </w:r>
      <w:r>
        <w:rPr>
          <w:b/>
        </w:rPr>
        <w:t xml:space="preserve"> </w:t>
      </w:r>
    </w:p>
    <w:p w:rsidR="002C0F56" w:rsidRDefault="00E67C6E">
      <w:pPr>
        <w:spacing w:after="0"/>
        <w:ind w:left="165" w:right="871"/>
      </w:pPr>
      <w:r>
        <w:rPr>
          <w:rFonts w:ascii="Calibri" w:eastAsia="Calibri" w:hAnsi="Calibri" w:cs="Calibri"/>
          <w:noProof/>
          <w:sz w:val="22"/>
        </w:rPr>
        <mc:AlternateContent>
          <mc:Choice Requires="wpg">
            <w:drawing>
              <wp:anchor distT="0" distB="0" distL="114300" distR="114300" simplePos="0" relativeHeight="251662336" behindDoc="1" locked="0" layoutInCell="1" allowOverlap="1">
                <wp:simplePos x="0" y="0"/>
                <wp:positionH relativeFrom="column">
                  <wp:posOffset>3452495</wp:posOffset>
                </wp:positionH>
                <wp:positionV relativeFrom="paragraph">
                  <wp:posOffset>1592767</wp:posOffset>
                </wp:positionV>
                <wp:extent cx="44196" cy="204216"/>
                <wp:effectExtent l="0" t="0" r="0" b="0"/>
                <wp:wrapNone/>
                <wp:docPr id="579846" name="Group 579846"/>
                <wp:cNvGraphicFramePr/>
                <a:graphic xmlns:a="http://schemas.openxmlformats.org/drawingml/2006/main">
                  <a:graphicData uri="http://schemas.microsoft.com/office/word/2010/wordprocessingGroup">
                    <wpg:wgp>
                      <wpg:cNvGrpSpPr/>
                      <wpg:grpSpPr>
                        <a:xfrm>
                          <a:off x="0" y="0"/>
                          <a:ext cx="44196" cy="204216"/>
                          <a:chOff x="0" y="0"/>
                          <a:chExt cx="44196" cy="204216"/>
                        </a:xfrm>
                      </wpg:grpSpPr>
                      <wps:wsp>
                        <wps:cNvPr id="704893" name="Shape 704893"/>
                        <wps:cNvSpPr/>
                        <wps:spPr>
                          <a:xfrm>
                            <a:off x="0" y="0"/>
                            <a:ext cx="44196" cy="204216"/>
                          </a:xfrm>
                          <a:custGeom>
                            <a:avLst/>
                            <a:gdLst/>
                            <a:ahLst/>
                            <a:cxnLst/>
                            <a:rect l="0" t="0" r="0" b="0"/>
                            <a:pathLst>
                              <a:path w="44196" h="204216">
                                <a:moveTo>
                                  <a:pt x="0" y="0"/>
                                </a:moveTo>
                                <a:lnTo>
                                  <a:pt x="44196" y="0"/>
                                </a:lnTo>
                                <a:lnTo>
                                  <a:pt x="44196" y="204216"/>
                                </a:lnTo>
                                <a:lnTo>
                                  <a:pt x="0" y="204216"/>
                                </a:lnTo>
                                <a:lnTo>
                                  <a:pt x="0" y="0"/>
                                </a:lnTo>
                              </a:path>
                            </a:pathLst>
                          </a:custGeom>
                          <a:ln w="0" cap="flat">
                            <a:miter lim="127000"/>
                          </a:ln>
                        </wps:spPr>
                        <wps:style>
                          <a:lnRef idx="0">
                            <a:srgbClr val="000000">
                              <a:alpha val="0"/>
                            </a:srgbClr>
                          </a:lnRef>
                          <a:fillRef idx="1">
                            <a:srgbClr val="FBF1E1"/>
                          </a:fillRef>
                          <a:effectRef idx="0">
                            <a:scrgbClr r="0" g="0" b="0"/>
                          </a:effectRef>
                          <a:fontRef idx="none"/>
                        </wps:style>
                        <wps:bodyPr/>
                      </wps:wsp>
                    </wpg:wgp>
                  </a:graphicData>
                </a:graphic>
              </wp:anchor>
            </w:drawing>
          </mc:Choice>
          <mc:Fallback xmlns:a="http://schemas.openxmlformats.org/drawingml/2006/main">
            <w:pict>
              <v:group id="Group 579846" style="width:3.48001pt;height:16.08pt;position:absolute;z-index:-2147483617;mso-position-horizontal-relative:text;mso-position-horizontal:absolute;margin-left:271.85pt;mso-position-vertical-relative:text;margin-top:125.415pt;" coordsize="441,2042">
                <v:shape id="Shape 704894" style="position:absolute;width:441;height:2042;left:0;top:0;" coordsize="44196,204216" path="m0,0l44196,0l44196,204216l0,204216l0,0">
                  <v:stroke weight="0pt" endcap="flat" joinstyle="miter" miterlimit="10" on="false" color="#000000" opacity="0"/>
                  <v:fill on="true" color="#fbf1e1"/>
                </v:shape>
              </v:group>
            </w:pict>
          </mc:Fallback>
        </mc:AlternateContent>
      </w:r>
      <w:r>
        <w:t>Лесной фонд Беларуси как совокупность всех лесов страны натурального и искусственного происхождения включает покрытые лесом земли, а также другие земли, предназначенные для нужд лесного хозяй</w:t>
      </w:r>
      <w:r>
        <w:t>ства. Общая площадь лесного фонда составила 9,2 млн га, в том числе лесопокрытая (без прогалин, высечек, гарей) – 7,8 млн га. По сравнению с 1988 г. она увеличилась на 14,8 % в основном за счет искусственного и естественного облесения малопродуктивных и не</w:t>
      </w:r>
      <w:r>
        <w:t xml:space="preserve">удобных для сельскохозяйственного производства земель. Лесистость территории Беларуси составила 39,5 %, что в целом для нашей страны можно считать оптимальным [2]. </w:t>
      </w:r>
    </w:p>
    <w:p w:rsidR="002C0F56" w:rsidRDefault="00E67C6E">
      <w:pPr>
        <w:ind w:left="165" w:right="302"/>
      </w:pPr>
      <w:r>
        <w:t xml:space="preserve">Лесной фонд Республики Беларусь представлен следующими лесными породами, которые приведены </w:t>
      </w:r>
      <w:r>
        <w:t xml:space="preserve">в таблице 1.  </w:t>
      </w:r>
    </w:p>
    <w:p w:rsidR="002C0F56" w:rsidRDefault="00E67C6E">
      <w:pPr>
        <w:spacing w:after="0" w:line="259" w:lineRule="auto"/>
        <w:ind w:left="744" w:firstLine="0"/>
        <w:jc w:val="left"/>
      </w:pPr>
      <w:r>
        <w:t xml:space="preserve"> </w:t>
      </w:r>
    </w:p>
    <w:p w:rsidR="002C0F56" w:rsidRDefault="00E67C6E">
      <w:pPr>
        <w:spacing w:after="0" w:line="259" w:lineRule="auto"/>
        <w:ind w:left="0" w:right="689" w:firstLine="0"/>
        <w:jc w:val="center"/>
      </w:pPr>
      <w:r>
        <w:rPr>
          <w:i/>
          <w:sz w:val="24"/>
        </w:rPr>
        <w:t xml:space="preserve">Таблица 1 – </w:t>
      </w:r>
      <w:r>
        <w:rPr>
          <w:b/>
          <w:i/>
          <w:sz w:val="24"/>
        </w:rPr>
        <w:t xml:space="preserve">Основные породы древесины </w:t>
      </w:r>
    </w:p>
    <w:tbl>
      <w:tblPr>
        <w:tblStyle w:val="TableGrid"/>
        <w:tblW w:w="9573" w:type="dxa"/>
        <w:tblInd w:w="72" w:type="dxa"/>
        <w:tblCellMar>
          <w:top w:w="14" w:type="dxa"/>
          <w:left w:w="108" w:type="dxa"/>
          <w:bottom w:w="0" w:type="dxa"/>
          <w:right w:w="115" w:type="dxa"/>
        </w:tblCellMar>
        <w:tblLook w:val="04A0" w:firstRow="1" w:lastRow="0" w:firstColumn="1" w:lastColumn="0" w:noHBand="0" w:noVBand="1"/>
      </w:tblPr>
      <w:tblGrid>
        <w:gridCol w:w="4787"/>
        <w:gridCol w:w="4786"/>
      </w:tblGrid>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Породы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Доля в лесном фонде, %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Хвойные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60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Мягколиственные (осина, ольха, береза)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36,5 </w:t>
            </w:r>
          </w:p>
        </w:tc>
      </w:tr>
      <w:tr w:rsidR="002C0F56">
        <w:trPr>
          <w:trHeight w:val="286"/>
        </w:trPr>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Твердолиственные (дуб) </w:t>
            </w:r>
          </w:p>
        </w:tc>
        <w:tc>
          <w:tcPr>
            <w:tcW w:w="47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3,5 </w:t>
            </w:r>
          </w:p>
        </w:tc>
      </w:tr>
    </w:tbl>
    <w:p w:rsidR="002C0F56" w:rsidRDefault="00E67C6E">
      <w:pPr>
        <w:spacing w:after="27" w:line="259" w:lineRule="auto"/>
        <w:ind w:left="744" w:firstLine="0"/>
        <w:jc w:val="left"/>
      </w:pPr>
      <w:r>
        <w:t xml:space="preserve"> </w:t>
      </w:r>
    </w:p>
    <w:p w:rsidR="002C0F56" w:rsidRDefault="00E67C6E">
      <w:pPr>
        <w:ind w:left="165" w:right="866"/>
      </w:pPr>
      <w:r>
        <w:t xml:space="preserve">Согласно официальным статистическим данным  </w:t>
      </w:r>
      <w:r>
        <w:t>на одного жителя Республики Беларусь приходится около 0,85 га покрытых лесом земель и более 173 м</w:t>
      </w:r>
      <w:r>
        <w:rPr>
          <w:vertAlign w:val="superscript"/>
        </w:rPr>
        <w:t>3</w:t>
      </w:r>
      <w:r>
        <w:t xml:space="preserve"> древесного запаса. По наличию лесного сырья Беларусь входит в топ-10 ведущих лесных государств Европы. </w:t>
      </w:r>
    </w:p>
    <w:p w:rsidR="002C0F56" w:rsidRDefault="00E67C6E">
      <w:pPr>
        <w:spacing w:after="7"/>
        <w:ind w:left="165" w:right="868"/>
      </w:pPr>
      <w:r>
        <w:t>Все леса в Беларуси находятся в государственной собст</w:t>
      </w:r>
      <w:r>
        <w:t>венности. Поэтому лесное хозяйство Республики Беларусь является динамично развивающейся отраслью реального сектора экономики. В 2016 году в лесах нашей страны было заготовлено 21,0 млн. м</w:t>
      </w:r>
      <w:r>
        <w:rPr>
          <w:vertAlign w:val="superscript"/>
        </w:rPr>
        <w:t>3</w:t>
      </w:r>
      <w:r>
        <w:t xml:space="preserve"> . ликвидной древесины. Это является основным показателем для станов</w:t>
      </w:r>
      <w:r>
        <w:t xml:space="preserve">ления Беларуси в ряд основных европейских экспортеров лесной продукции. </w:t>
      </w:r>
    </w:p>
    <w:p w:rsidR="002C0F56" w:rsidRDefault="00E67C6E">
      <w:pPr>
        <w:ind w:left="165" w:right="302"/>
      </w:pPr>
      <w:r>
        <w:t xml:space="preserve">Почти 50% всех лесов Республики Беларусь приходится на долю средневозрастных лесов (рисунок 1). </w:t>
      </w:r>
    </w:p>
    <w:p w:rsidR="002C0F56" w:rsidRDefault="00E67C6E">
      <w:pPr>
        <w:spacing w:after="7"/>
        <w:ind w:left="165" w:right="866"/>
      </w:pPr>
      <w:r>
        <w:lastRenderedPageBreak/>
        <w:t>В Республике Беларусь большое внимание уделяется лесовосстановительным, лесозащитным и</w:t>
      </w:r>
      <w:r>
        <w:t xml:space="preserve"> лесоразведенческим работам. </w:t>
      </w:r>
      <w:r>
        <w:rPr>
          <w:b/>
        </w:rPr>
        <w:t xml:space="preserve">Лесовосстановление </w:t>
      </w:r>
      <w:r>
        <w:t>– комплекс мероприятий по созданию лесных насаждений на не покрытых лесом землях, где лес ранее произрастал (вырубки, гари, погибшие древостои, редины, пустыри, прогалины). Лесовосстановление включает посадку</w:t>
      </w:r>
      <w:r>
        <w:t xml:space="preserve">, посев леса, содействие естественному возобновлению леса и сохранение подроста. </w:t>
      </w:r>
      <w:r>
        <w:rPr>
          <w:b/>
        </w:rPr>
        <w:t>Лесоразведение</w:t>
      </w:r>
      <w:r>
        <w:t xml:space="preserve"> – комплекс мероприятий по созданию лесных насаждений на землях, где лес ранее не произрастал [3]. </w:t>
      </w:r>
    </w:p>
    <w:p w:rsidR="002C0F56" w:rsidRDefault="00E67C6E">
      <w:pPr>
        <w:spacing w:after="0" w:line="259" w:lineRule="auto"/>
        <w:ind w:left="744" w:firstLine="0"/>
        <w:jc w:val="left"/>
      </w:pPr>
      <w:r>
        <w:t xml:space="preserve"> </w:t>
      </w:r>
    </w:p>
    <w:p w:rsidR="002C0F56" w:rsidRDefault="00E67C6E">
      <w:pPr>
        <w:spacing w:after="0" w:line="259" w:lineRule="auto"/>
        <w:ind w:left="0" w:right="1841" w:firstLine="0"/>
        <w:jc w:val="right"/>
      </w:pPr>
      <w:r>
        <w:rPr>
          <w:noProof/>
        </w:rPr>
        <w:drawing>
          <wp:inline distT="0" distB="0" distL="0" distR="0">
            <wp:extent cx="4436110" cy="2583180"/>
            <wp:effectExtent l="0" t="0" r="0" b="0"/>
            <wp:docPr id="23120" name="Picture 23120"/>
            <wp:cNvGraphicFramePr/>
            <a:graphic xmlns:a="http://schemas.openxmlformats.org/drawingml/2006/main">
              <a:graphicData uri="http://schemas.openxmlformats.org/drawingml/2006/picture">
                <pic:pic xmlns:pic="http://schemas.openxmlformats.org/drawingml/2006/picture">
                  <pic:nvPicPr>
                    <pic:cNvPr id="23120" name="Picture 23120"/>
                    <pic:cNvPicPr/>
                  </pic:nvPicPr>
                  <pic:blipFill>
                    <a:blip r:embed="rId365"/>
                    <a:stretch>
                      <a:fillRect/>
                    </a:stretch>
                  </pic:blipFill>
                  <pic:spPr>
                    <a:xfrm>
                      <a:off x="0" y="0"/>
                      <a:ext cx="4436110" cy="2583180"/>
                    </a:xfrm>
                    <a:prstGeom prst="rect">
                      <a:avLst/>
                    </a:prstGeom>
                  </pic:spPr>
                </pic:pic>
              </a:graphicData>
            </a:graphic>
          </wp:inline>
        </w:drawing>
      </w:r>
      <w:r>
        <w:t xml:space="preserve"> </w:t>
      </w:r>
    </w:p>
    <w:p w:rsidR="002C0F56" w:rsidRDefault="00E67C6E">
      <w:pPr>
        <w:spacing w:after="5" w:line="271" w:lineRule="auto"/>
        <w:ind w:left="2106" w:right="396" w:hanging="10"/>
        <w:jc w:val="left"/>
      </w:pPr>
      <w:r>
        <w:rPr>
          <w:b/>
          <w:sz w:val="24"/>
        </w:rPr>
        <w:t xml:space="preserve">Рис. 1. Возрастная структура лесов Республики Беларусь. </w:t>
      </w:r>
    </w:p>
    <w:p w:rsidR="002C0F56" w:rsidRDefault="00E67C6E">
      <w:pPr>
        <w:spacing w:after="0" w:line="259" w:lineRule="auto"/>
        <w:ind w:left="744" w:firstLine="0"/>
        <w:jc w:val="left"/>
      </w:pPr>
      <w:r>
        <w:t xml:space="preserve"> </w:t>
      </w:r>
    </w:p>
    <w:p w:rsidR="002C0F56" w:rsidRDefault="00E67C6E">
      <w:pPr>
        <w:spacing w:after="0" w:line="259" w:lineRule="auto"/>
        <w:ind w:left="1323" w:firstLine="0"/>
        <w:jc w:val="left"/>
      </w:pPr>
      <w:r>
        <w:rPr>
          <w:i/>
          <w:sz w:val="24"/>
        </w:rPr>
        <w:t xml:space="preserve">Таблица 2 – </w:t>
      </w:r>
      <w:r>
        <w:rPr>
          <w:b/>
          <w:i/>
          <w:sz w:val="24"/>
        </w:rPr>
        <w:t>Воспроизводство леса и защита от вредителей болезней (га)</w:t>
      </w:r>
      <w:r>
        <w:rPr>
          <w:sz w:val="24"/>
        </w:rPr>
        <w:t xml:space="preserve"> </w:t>
      </w:r>
    </w:p>
    <w:tbl>
      <w:tblPr>
        <w:tblStyle w:val="TableGrid"/>
        <w:tblW w:w="9573" w:type="dxa"/>
        <w:tblInd w:w="72" w:type="dxa"/>
        <w:tblCellMar>
          <w:top w:w="14" w:type="dxa"/>
          <w:left w:w="108" w:type="dxa"/>
          <w:bottom w:w="0" w:type="dxa"/>
          <w:right w:w="49" w:type="dxa"/>
        </w:tblCellMar>
        <w:tblLook w:val="04A0" w:firstRow="1" w:lastRow="0" w:firstColumn="1" w:lastColumn="0" w:noHBand="0" w:noVBand="1"/>
      </w:tblPr>
      <w:tblGrid>
        <w:gridCol w:w="3085"/>
        <w:gridCol w:w="1987"/>
        <w:gridCol w:w="2108"/>
        <w:gridCol w:w="2393"/>
      </w:tblGrid>
      <w:tr w:rsidR="002C0F56">
        <w:trPr>
          <w:trHeight w:val="286"/>
        </w:trPr>
        <w:tc>
          <w:tcPr>
            <w:tcW w:w="30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Показатель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2014 </w:t>
            </w:r>
          </w:p>
        </w:tc>
        <w:tc>
          <w:tcPr>
            <w:tcW w:w="21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2015 </w:t>
            </w:r>
          </w:p>
        </w:tc>
        <w:tc>
          <w:tcPr>
            <w:tcW w:w="23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2016 </w:t>
            </w:r>
          </w:p>
        </w:tc>
      </w:tr>
      <w:tr w:rsidR="002C0F56">
        <w:trPr>
          <w:trHeight w:val="564"/>
        </w:trPr>
        <w:tc>
          <w:tcPr>
            <w:tcW w:w="3085"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2928"/>
              </w:tabs>
              <w:spacing w:after="26" w:line="259" w:lineRule="auto"/>
              <w:ind w:left="0" w:firstLine="0"/>
              <w:jc w:val="left"/>
            </w:pPr>
            <w:r>
              <w:rPr>
                <w:sz w:val="24"/>
              </w:rPr>
              <w:t xml:space="preserve">Лесовосстановление </w:t>
            </w:r>
            <w:r>
              <w:rPr>
                <w:sz w:val="24"/>
              </w:rPr>
              <w:tab/>
              <w:t xml:space="preserve">и </w:t>
            </w:r>
          </w:p>
          <w:p w:rsidR="002C0F56" w:rsidRDefault="00E67C6E">
            <w:pPr>
              <w:spacing w:after="0" w:line="259" w:lineRule="auto"/>
              <w:ind w:left="0" w:firstLine="0"/>
              <w:jc w:val="left"/>
            </w:pPr>
            <w:r>
              <w:rPr>
                <w:sz w:val="24"/>
              </w:rPr>
              <w:t xml:space="preserve">лесоразведение - всего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32 374 </w:t>
            </w:r>
          </w:p>
        </w:tc>
        <w:tc>
          <w:tcPr>
            <w:tcW w:w="21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33 094 </w:t>
            </w:r>
          </w:p>
        </w:tc>
        <w:tc>
          <w:tcPr>
            <w:tcW w:w="23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37 179 </w:t>
            </w:r>
          </w:p>
        </w:tc>
      </w:tr>
      <w:tr w:rsidR="002C0F56">
        <w:trPr>
          <w:trHeight w:val="286"/>
        </w:trPr>
        <w:tc>
          <w:tcPr>
            <w:tcW w:w="30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Посадка и посев леса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26 247 </w:t>
            </w:r>
          </w:p>
        </w:tc>
        <w:tc>
          <w:tcPr>
            <w:tcW w:w="21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26486 </w:t>
            </w:r>
          </w:p>
        </w:tc>
        <w:tc>
          <w:tcPr>
            <w:tcW w:w="23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31 576 </w:t>
            </w:r>
          </w:p>
        </w:tc>
      </w:tr>
      <w:tr w:rsidR="002C0F56">
        <w:trPr>
          <w:trHeight w:val="838"/>
        </w:trPr>
        <w:tc>
          <w:tcPr>
            <w:tcW w:w="3085"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0" w:firstLine="0"/>
            </w:pPr>
            <w:r>
              <w:rPr>
                <w:sz w:val="24"/>
              </w:rPr>
              <w:t xml:space="preserve">Содействие естественному возобновлению леса и </w:t>
            </w:r>
          </w:p>
          <w:p w:rsidR="002C0F56" w:rsidRDefault="00E67C6E">
            <w:pPr>
              <w:spacing w:after="0" w:line="259" w:lineRule="auto"/>
              <w:ind w:left="0" w:firstLine="0"/>
              <w:jc w:val="left"/>
            </w:pPr>
            <w:r>
              <w:rPr>
                <w:sz w:val="24"/>
              </w:rPr>
              <w:t xml:space="preserve">сохранению подроста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6 127 </w:t>
            </w:r>
          </w:p>
        </w:tc>
        <w:tc>
          <w:tcPr>
            <w:tcW w:w="21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6 608 </w:t>
            </w:r>
          </w:p>
        </w:tc>
        <w:tc>
          <w:tcPr>
            <w:tcW w:w="23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5 603 </w:t>
            </w:r>
          </w:p>
        </w:tc>
      </w:tr>
      <w:tr w:rsidR="002C0F56">
        <w:trPr>
          <w:trHeight w:val="838"/>
        </w:trPr>
        <w:tc>
          <w:tcPr>
            <w:tcW w:w="30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pPr>
            <w:r>
              <w:rPr>
                <w:sz w:val="24"/>
              </w:rPr>
              <w:t xml:space="preserve">Площадь защиты леса от вредителей и болезней биологическим методом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23 904 </w:t>
            </w:r>
          </w:p>
        </w:tc>
        <w:tc>
          <w:tcPr>
            <w:tcW w:w="21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22 458 </w:t>
            </w:r>
          </w:p>
        </w:tc>
        <w:tc>
          <w:tcPr>
            <w:tcW w:w="23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21 640 </w:t>
            </w:r>
          </w:p>
        </w:tc>
      </w:tr>
      <w:tr w:rsidR="002C0F56">
        <w:trPr>
          <w:trHeight w:val="838"/>
        </w:trPr>
        <w:tc>
          <w:tcPr>
            <w:tcW w:w="30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pPr>
            <w:r>
              <w:rPr>
                <w:sz w:val="24"/>
              </w:rPr>
              <w:t xml:space="preserve">Площадь защиты леса от вредителей и болезней химическим методом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356 </w:t>
            </w:r>
          </w:p>
        </w:tc>
        <w:tc>
          <w:tcPr>
            <w:tcW w:w="21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357</w:t>
            </w:r>
            <w:r>
              <w:rPr>
                <w:sz w:val="24"/>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1 367 </w:t>
            </w:r>
          </w:p>
        </w:tc>
      </w:tr>
    </w:tbl>
    <w:p w:rsidR="002C0F56" w:rsidRDefault="00E67C6E">
      <w:pPr>
        <w:spacing w:after="0" w:line="259" w:lineRule="auto"/>
        <w:ind w:left="744" w:firstLine="0"/>
        <w:jc w:val="left"/>
      </w:pPr>
      <w:r>
        <w:t xml:space="preserve"> </w:t>
      </w:r>
    </w:p>
    <w:p w:rsidR="002C0F56" w:rsidRDefault="00E67C6E">
      <w:pPr>
        <w:spacing w:after="0"/>
        <w:ind w:left="165" w:right="863"/>
      </w:pPr>
      <w:r>
        <w:t xml:space="preserve">Для проведения анализа лесовосстановления и защиты леса рассмотрим данные за 3 года. За анализируемый </w:t>
      </w:r>
      <w:r>
        <w:t xml:space="preserve">период наблюдается тенденция к росту </w:t>
      </w:r>
      <w:r>
        <w:lastRenderedPageBreak/>
        <w:t>лесовосстановительных и лесоразведенческих работ. Площадь посадки и посева лесов в 2016 году по отношению к 2014 году увеличилась на 20,3%. Показатель, который характеризует содействие естественному возобновлению леса и</w:t>
      </w:r>
      <w:r>
        <w:t xml:space="preserve"> сохранению подроста характеризуется нестабильной динамикой. В 2015 году по отношению к 2014 наблюдался прирост данного показателя на 7,8%, а в 2016 году наблюдается отрицательная динамика по отношению к 2015 году в размере 15,2%. Показатель площади защиты</w:t>
      </w:r>
      <w:r>
        <w:t xml:space="preserve"> лесов биологическим методом характеризуется тенденцией к снижению. За анализируемый период данный показатель снизился на 9,5%. Показатель площади защиты леса химическим методом характеризуется наибольшим ростом. За рассматриваемый период данный показатель</w:t>
      </w:r>
      <w:r>
        <w:t xml:space="preserve"> увеличился почти в 4 раза. </w:t>
      </w:r>
    </w:p>
    <w:p w:rsidR="002C0F56" w:rsidRDefault="00E67C6E">
      <w:pPr>
        <w:spacing w:after="0"/>
        <w:ind w:left="165" w:right="872"/>
      </w:pPr>
      <w:r>
        <w:t xml:space="preserve">Основной целью развития лесного хозяйства является повышение ресурсного потенциала лесов и обеспечение устойчивого, экономически эффективного, экологически ответственного и социально ориентированного лесопользования, </w:t>
      </w:r>
      <w:r>
        <w:tab/>
        <w:t>базирующе</w:t>
      </w:r>
      <w:r>
        <w:t xml:space="preserve">гося </w:t>
      </w:r>
      <w:r>
        <w:tab/>
        <w:t xml:space="preserve">на </w:t>
      </w:r>
      <w:r>
        <w:tab/>
        <w:t xml:space="preserve">принципах </w:t>
      </w:r>
      <w:r>
        <w:tab/>
        <w:t xml:space="preserve">равномерности, комплексности, постоянства и неистощительности в интересах живущих и будущих поколений людей [4].  </w:t>
      </w:r>
    </w:p>
    <w:p w:rsidR="002C0F56" w:rsidRDefault="00E67C6E">
      <w:pPr>
        <w:ind w:left="165" w:right="302"/>
      </w:pPr>
      <w:r>
        <w:t xml:space="preserve">Основными направлениями развития лесного хозяйства на период 2016– 2020 годов будут:  </w:t>
      </w:r>
    </w:p>
    <w:p w:rsidR="002C0F56" w:rsidRDefault="00E67C6E">
      <w:pPr>
        <w:numPr>
          <w:ilvl w:val="0"/>
          <w:numId w:val="67"/>
        </w:numPr>
        <w:ind w:right="302"/>
      </w:pPr>
      <w:r>
        <w:t>улучшение возрастной структуры ле</w:t>
      </w:r>
      <w:r>
        <w:t xml:space="preserve">сов на основе повышения доли площадей спелых и перестойных лесонасаждений;   </w:t>
      </w:r>
    </w:p>
    <w:p w:rsidR="002C0F56" w:rsidRDefault="00E67C6E">
      <w:pPr>
        <w:numPr>
          <w:ilvl w:val="0"/>
          <w:numId w:val="67"/>
        </w:numPr>
        <w:ind w:right="302"/>
      </w:pPr>
      <w:r>
        <w:t xml:space="preserve">расширение постояннодействующих лесосеменных плантаций;  </w:t>
      </w:r>
    </w:p>
    <w:p w:rsidR="002C0F56" w:rsidRDefault="00E67C6E">
      <w:pPr>
        <w:numPr>
          <w:ilvl w:val="0"/>
          <w:numId w:val="67"/>
        </w:numPr>
        <w:ind w:right="302"/>
      </w:pPr>
      <w:r>
        <w:t xml:space="preserve">формирование плантаций быстрорастущих древесных и кустарниковых пород;  </w:t>
      </w:r>
    </w:p>
    <w:p w:rsidR="002C0F56" w:rsidRDefault="00E67C6E">
      <w:pPr>
        <w:numPr>
          <w:ilvl w:val="0"/>
          <w:numId w:val="67"/>
        </w:numPr>
        <w:ind w:right="302"/>
      </w:pPr>
      <w:r>
        <w:t>присвоение молоднякам  категории ценных древесн</w:t>
      </w:r>
      <w:r>
        <w:t xml:space="preserve">ых насаждений;  </w:t>
      </w:r>
    </w:p>
    <w:p w:rsidR="002C0F56" w:rsidRDefault="00E67C6E">
      <w:pPr>
        <w:numPr>
          <w:ilvl w:val="0"/>
          <w:numId w:val="67"/>
        </w:numPr>
        <w:ind w:right="302"/>
      </w:pPr>
      <w:r>
        <w:t xml:space="preserve">совершенствование системы охраны лесного фонда от пожаров, его защиты от болезней и вредителей;  </w:t>
      </w:r>
    </w:p>
    <w:p w:rsidR="002C0F56" w:rsidRDefault="00E67C6E">
      <w:pPr>
        <w:numPr>
          <w:ilvl w:val="0"/>
          <w:numId w:val="67"/>
        </w:numPr>
        <w:ind w:right="302"/>
      </w:pPr>
      <w:r>
        <w:t xml:space="preserve">повышения квалификации работников лесного хозяйства; </w:t>
      </w:r>
    </w:p>
    <w:p w:rsidR="002C0F56" w:rsidRDefault="00E67C6E">
      <w:pPr>
        <w:numPr>
          <w:ilvl w:val="0"/>
          <w:numId w:val="67"/>
        </w:numPr>
        <w:ind w:right="302"/>
      </w:pPr>
      <w:r>
        <w:t xml:space="preserve">усовершенствование нормативно-правовой базы в области лесного хозяйства. </w:t>
      </w:r>
    </w:p>
    <w:p w:rsidR="002C0F56" w:rsidRDefault="00E67C6E">
      <w:pPr>
        <w:ind w:left="165" w:right="870"/>
      </w:pPr>
      <w:r>
        <w:t xml:space="preserve">На долгосрочную перспективу (2021–2030 годы) стратегия развития будет направлена на формирование экологически эффективного лесного хозяйства, обеспечивающего баланс между экологической функцией и биоразнообразием лесных экосистем. </w:t>
      </w:r>
    </w:p>
    <w:p w:rsidR="002C0F56" w:rsidRDefault="00E67C6E">
      <w:pPr>
        <w:ind w:left="744" w:right="302" w:firstLine="0"/>
      </w:pPr>
      <w:r>
        <w:t>К основным задачам относ</w:t>
      </w:r>
      <w:r>
        <w:t xml:space="preserve">ятся:  </w:t>
      </w:r>
    </w:p>
    <w:p w:rsidR="002C0F56" w:rsidRDefault="00E67C6E">
      <w:pPr>
        <w:numPr>
          <w:ilvl w:val="0"/>
          <w:numId w:val="67"/>
        </w:numPr>
        <w:ind w:right="302"/>
      </w:pPr>
      <w:r>
        <w:t xml:space="preserve">увеличение уровня лесистости территории;  </w:t>
      </w:r>
    </w:p>
    <w:p w:rsidR="002C0F56" w:rsidRDefault="00E67C6E">
      <w:pPr>
        <w:numPr>
          <w:ilvl w:val="0"/>
          <w:numId w:val="67"/>
        </w:numPr>
        <w:ind w:right="302"/>
      </w:pPr>
      <w:r>
        <w:t xml:space="preserve">совершенствование институциональной базы развития лесного бизнеса в стране;  </w:t>
      </w:r>
    </w:p>
    <w:p w:rsidR="002C0F56" w:rsidRDefault="00E67C6E">
      <w:pPr>
        <w:numPr>
          <w:ilvl w:val="0"/>
          <w:numId w:val="67"/>
        </w:numPr>
        <w:ind w:right="302"/>
      </w:pPr>
      <w:r>
        <w:lastRenderedPageBreak/>
        <w:t xml:space="preserve">внедрение новых технологий в лесохозяйственное производство;  </w:t>
      </w:r>
    </w:p>
    <w:p w:rsidR="002C0F56" w:rsidRDefault="00E67C6E">
      <w:pPr>
        <w:numPr>
          <w:ilvl w:val="0"/>
          <w:numId w:val="67"/>
        </w:numPr>
        <w:spacing w:after="12"/>
        <w:ind w:right="302"/>
      </w:pPr>
      <w:r>
        <w:t xml:space="preserve">сбалансированное использование лесов. </w:t>
      </w:r>
    </w:p>
    <w:p w:rsidR="002C0F56" w:rsidRDefault="00E67C6E">
      <w:pPr>
        <w:spacing w:after="25"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68"/>
        </w:numPr>
        <w:ind w:right="585"/>
      </w:pPr>
      <w:r>
        <w:t xml:space="preserve">Лесные ресурсы Беларуси [Электронный ресурс] / Белорусская универсальная товарная биржа. – Режим доступа: </w:t>
      </w:r>
      <w:hyperlink r:id="rId366">
        <w:r>
          <w:t>http://www.butb.by/торги</w:t>
        </w:r>
      </w:hyperlink>
      <w:hyperlink r:id="rId367"/>
      <w:hyperlink r:id="rId368">
        <w:r>
          <w:t>лесопродукцией/лесные</w:t>
        </w:r>
      </w:hyperlink>
      <w:hyperlink r:id="rId369">
        <w:r>
          <w:t>-</w:t>
        </w:r>
      </w:hyperlink>
      <w:hyperlink r:id="rId370">
        <w:r>
          <w:t>ресурсы</w:t>
        </w:r>
      </w:hyperlink>
      <w:hyperlink r:id="rId371">
        <w:r>
          <w:t>-</w:t>
        </w:r>
      </w:hyperlink>
      <w:hyperlink r:id="rId372">
        <w:r>
          <w:t>беларуси/</w:t>
        </w:r>
      </w:hyperlink>
      <w:hyperlink r:id="rId373">
        <w:r>
          <w:t xml:space="preserve"> </w:t>
        </w:r>
      </w:hyperlink>
      <w:r>
        <w:t xml:space="preserve">. – Дата доступа: 08.04.2017. </w:t>
      </w:r>
    </w:p>
    <w:p w:rsidR="002C0F56" w:rsidRDefault="00E67C6E">
      <w:pPr>
        <w:numPr>
          <w:ilvl w:val="0"/>
          <w:numId w:val="68"/>
        </w:numPr>
        <w:ind w:right="585"/>
      </w:pPr>
      <w:r>
        <w:t xml:space="preserve">Лесные ресурсы Беларуси [Электронный ресурс] / Завтра сессия. – Режим доступа: </w:t>
      </w:r>
      <w:hyperlink r:id="rId374">
        <w:r>
          <w:t>http://www.zavtrasessiya.com/index.pl?act=PRODUCT&amp;id=171</w:t>
        </w:r>
      </w:hyperlink>
      <w:hyperlink r:id="rId375">
        <w:r>
          <w:t xml:space="preserve"> </w:t>
        </w:r>
      </w:hyperlink>
      <w:r>
        <w:t xml:space="preserve">. – </w:t>
      </w:r>
    </w:p>
    <w:p w:rsidR="002C0F56" w:rsidRDefault="00E67C6E">
      <w:pPr>
        <w:ind w:left="165" w:right="302" w:firstLine="0"/>
      </w:pPr>
      <w:r>
        <w:t xml:space="preserve">Дата доступа: 08.04.2017. </w:t>
      </w:r>
    </w:p>
    <w:p w:rsidR="002C0F56" w:rsidRDefault="00E67C6E">
      <w:pPr>
        <w:numPr>
          <w:ilvl w:val="0"/>
          <w:numId w:val="68"/>
        </w:numPr>
        <w:ind w:right="585"/>
      </w:pPr>
      <w:r>
        <w:t xml:space="preserve">Краткий глоссарий статистических терминов [Электронный ресурс] / </w:t>
      </w:r>
    </w:p>
    <w:p w:rsidR="002C0F56" w:rsidRDefault="00E67C6E">
      <w:pPr>
        <w:spacing w:after="12"/>
        <w:ind w:left="165" w:right="302" w:firstLine="0"/>
      </w:pPr>
      <w:r>
        <w:t>Национальный статисти</w:t>
      </w:r>
      <w:r>
        <w:t xml:space="preserve">ческий комитет Республики Беларусь. – Режим </w:t>
      </w:r>
    </w:p>
    <w:p w:rsidR="002C0F56" w:rsidRDefault="00E67C6E">
      <w:pPr>
        <w:ind w:left="165" w:right="302" w:firstLine="0"/>
      </w:pPr>
      <w:r>
        <w:t xml:space="preserve">доступа: </w:t>
      </w:r>
      <w:hyperlink r:id="rId376">
        <w:r>
          <w:t>http://www.belstat.gov.by/metodologiya/kratkiy</w:t>
        </w:r>
      </w:hyperlink>
      <w:hyperlink r:id="rId377">
        <w:r>
          <w:t>-</w:t>
        </w:r>
      </w:hyperlink>
      <w:hyperlink r:id="rId378">
        <w:r>
          <w:t>glossariy</w:t>
        </w:r>
      </w:hyperlink>
      <w:hyperlink r:id="rId379">
        <w:r>
          <w:t>-</w:t>
        </w:r>
      </w:hyperlink>
      <w:hyperlink r:id="rId380">
        <w:r>
          <w:t>statisticheskikh</w:t>
        </w:r>
      </w:hyperlink>
      <w:hyperlink r:id="rId381"/>
      <w:hyperlink r:id="rId382">
        <w:r>
          <w:t>terminov/26/</w:t>
        </w:r>
      </w:hyperlink>
      <w:hyperlink r:id="rId383">
        <w:r>
          <w:t>.</w:t>
        </w:r>
      </w:hyperlink>
      <w:r>
        <w:t xml:space="preserve"> – Дата доступа: 08.04.2017. </w:t>
      </w:r>
    </w:p>
    <w:p w:rsidR="002C0F56" w:rsidRDefault="00E67C6E">
      <w:pPr>
        <w:numPr>
          <w:ilvl w:val="0"/>
          <w:numId w:val="68"/>
        </w:numPr>
        <w:spacing w:after="0"/>
        <w:ind w:right="585"/>
      </w:pPr>
      <w:r>
        <w:t xml:space="preserve">Национальная стратегия устойчивого социально-экономического развития Республики Беларусь на период до 2030 года [Электронный ресурс] / Министерство экономики Республики Беларусь. – Режим доступа: </w:t>
      </w:r>
      <w:hyperlink r:id="rId384">
        <w:r>
          <w:t>https:</w:t>
        </w:r>
        <w:r>
          <w:t xml:space="preserve">//docviewer.yandex.by/view/437124499/?*=iuzvh3LgCxvFbhvoxTFCdZ5KdG </w:t>
        </w:r>
      </w:hyperlink>
      <w:hyperlink r:id="rId385">
        <w:r>
          <w:t xml:space="preserve">p7InVybCI6Imh0dHA6Ly93d3cuc3JyYi5uaWtzLmJ5L2luZm8vcHJvZ3JhbS5wZG </w:t>
        </w:r>
      </w:hyperlink>
      <w:hyperlink r:id="rId386">
        <w:r>
          <w:t>YiLCJ0aXRsZSI6In</w:t>
        </w:r>
        <w:r>
          <w:t xml:space="preserve">Byb2dyYW0ucGRmIiwidWlkIjoiNDM3MTI0NDk5IiwieXUiOi </w:t>
        </w:r>
      </w:hyperlink>
      <w:hyperlink r:id="rId387">
        <w:r>
          <w:t xml:space="preserve">I4Mjg0NDg1MzYxNDc3NjA1ODM0Iiwibm9pZnJhbWUiOnRydWUsInRzIjoxNDk </w:t>
        </w:r>
      </w:hyperlink>
      <w:hyperlink r:id="rId388">
        <w:r>
          <w:t>xNzYzMTE0MzczfQ%3D%3D&amp;lang=ru</w:t>
        </w:r>
      </w:hyperlink>
      <w:hyperlink r:id="rId389">
        <w:r>
          <w:t xml:space="preserve"> </w:t>
        </w:r>
      </w:hyperlink>
      <w:r>
        <w:t xml:space="preserve">. – Дата доступа: 08.04.2017.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spacing w:after="25" w:line="259" w:lineRule="auto"/>
        <w:ind w:left="10" w:right="856" w:hanging="10"/>
        <w:jc w:val="right"/>
      </w:pPr>
      <w:r>
        <w:rPr>
          <w:b/>
        </w:rPr>
        <w:t xml:space="preserve">Горбань И.А. </w:t>
      </w:r>
    </w:p>
    <w:p w:rsidR="002C0F56" w:rsidRDefault="00E67C6E">
      <w:pPr>
        <w:spacing w:after="11" w:line="270" w:lineRule="auto"/>
        <w:ind w:left="10" w:right="862" w:hanging="10"/>
        <w:jc w:val="right"/>
      </w:pPr>
      <w:r>
        <w:rPr>
          <w:rFonts w:ascii="Calibri" w:eastAsia="Calibri" w:hAnsi="Calibri" w:cs="Calibri"/>
          <w:b/>
          <w:color w:val="345A8A"/>
        </w:rPr>
        <w:t xml:space="preserve">                          </w:t>
      </w:r>
      <w:r>
        <w:t xml:space="preserve">Научный руководитель: Чурилова В.Г. </w:t>
      </w:r>
    </w:p>
    <w:p w:rsidR="002C0F56" w:rsidRDefault="00E67C6E">
      <w:pPr>
        <w:spacing w:after="5" w:line="269" w:lineRule="auto"/>
        <w:ind w:left="754" w:hanging="10"/>
        <w:jc w:val="left"/>
      </w:pPr>
      <w:r>
        <w:rPr>
          <w:i/>
        </w:rPr>
        <w:t xml:space="preserve">                         Макеевская общеобразовательная школа I-III ступеней №44 </w:t>
      </w:r>
    </w:p>
    <w:p w:rsidR="002C0F56" w:rsidRDefault="00E67C6E">
      <w:pPr>
        <w:spacing w:after="29" w:line="259" w:lineRule="auto"/>
        <w:ind w:left="744" w:firstLine="0"/>
        <w:jc w:val="left"/>
      </w:pPr>
      <w:r>
        <w:rPr>
          <w:i/>
        </w:rPr>
        <w:t xml:space="preserve"> </w:t>
      </w:r>
    </w:p>
    <w:p w:rsidR="002C0F56" w:rsidRDefault="00E67C6E">
      <w:pPr>
        <w:pStyle w:val="1"/>
        <w:spacing w:after="15" w:line="271" w:lineRule="auto"/>
        <w:ind w:left="572" w:right="0"/>
        <w:jc w:val="left"/>
      </w:pPr>
      <w:r>
        <w:t xml:space="preserve">СРАВНИТЕЛЬНЫЙ АНАЛИЗ СОВРЕМЕННЫХ ИНСТРУМЕНТОВ </w:t>
      </w:r>
    </w:p>
    <w:p w:rsidR="002C0F56" w:rsidRDefault="00E67C6E">
      <w:pPr>
        <w:pStyle w:val="1"/>
        <w:ind w:left="700" w:right="1376"/>
      </w:pPr>
      <w:r>
        <w:t xml:space="preserve">ИНТЕРНЕТ-МАРКЕТИНГА </w:t>
      </w:r>
    </w:p>
    <w:p w:rsidR="002C0F56" w:rsidRDefault="00E67C6E">
      <w:pPr>
        <w:spacing w:after="0" w:line="259" w:lineRule="auto"/>
        <w:ind w:left="744" w:firstLine="0"/>
        <w:jc w:val="left"/>
      </w:pPr>
      <w:r>
        <w:rPr>
          <w:i/>
        </w:rPr>
        <w:t xml:space="preserve"> </w:t>
      </w:r>
    </w:p>
    <w:p w:rsidR="002C0F56" w:rsidRDefault="00E67C6E">
      <w:pPr>
        <w:ind w:left="165" w:right="867"/>
      </w:pPr>
      <w:r>
        <w:t xml:space="preserve">Актуальность изучаемой темы становится достаточно очевидной, так как многие отечественные товаропроизводители, даже имея конкурентную продукцию, не могут в достаточной степени заявить о </w:t>
      </w:r>
      <w:r>
        <w:t xml:space="preserve">себе в Интернет, создать собственный имидж и имидж своей продукции в создании целевых аудиторий, сформировать и поддерживать целевые группы лояльных потребителей и других экономических контрагентов. Таким образом, актуальным является анализ </w:t>
      </w:r>
      <w:r>
        <w:lastRenderedPageBreak/>
        <w:t>особенностей пр</w:t>
      </w:r>
      <w:r>
        <w:t xml:space="preserve">именения новейших инструментов интернетмаркетинга, сравнение их с уже известными и выявление их преимуществ и недостатков.  </w:t>
      </w:r>
    </w:p>
    <w:p w:rsidR="002C0F56" w:rsidRDefault="00E67C6E">
      <w:pPr>
        <w:ind w:left="165" w:right="302"/>
      </w:pPr>
      <w:r>
        <w:t xml:space="preserve">Цель данной работы – изучение и сравнительный анализ современных инструментов интернет-маркетинга.  </w:t>
      </w:r>
    </w:p>
    <w:p w:rsidR="002C0F56" w:rsidRDefault="00E67C6E">
      <w:pPr>
        <w:spacing w:after="1"/>
        <w:ind w:left="165" w:right="866"/>
      </w:pPr>
      <w:r>
        <w:t>Развитие интернет-маркетинга т</w:t>
      </w:r>
      <w:r>
        <w:t>есным образом связано с развитием сети Интернет. Появление интернет-маркетинга можно отнести к началу 1990-х годов. В это время существовали преимущественно текстовые сайты. Однако уже тогда на их страницах начали размещать необходимую информацию о товарах</w:t>
      </w:r>
      <w:r>
        <w:t>. Однако с течением времени сайты стали приобретать более привлекательный вид, к ним появился более широкий доступ. В результате этого интернет-маркетинг также претерпел значительные изменения. Помимо товаров через Интернет стало возможно приобретение торг</w:t>
      </w:r>
      <w:r>
        <w:t xml:space="preserve">овых пространств, предназначенных для размещения информации, которая становится доступной для широкого круга пользователей сети [1, c.37]. </w:t>
      </w:r>
    </w:p>
    <w:p w:rsidR="002C0F56" w:rsidRDefault="00E67C6E">
      <w:pPr>
        <w:ind w:left="165" w:right="866"/>
      </w:pPr>
      <w:r>
        <w:t>Анализ современной экономической литературы показывает, что существует широкое разнообразие определений интернет-мар</w:t>
      </w:r>
      <w:r>
        <w:t xml:space="preserve">кетинга. Так, Б. Элей и Ш. Тиллей определяют его как «рекламную деятельность в Интернете, в том числе по электронной почте» [6, с. 21]. </w:t>
      </w:r>
    </w:p>
    <w:p w:rsidR="002C0F56" w:rsidRDefault="00E67C6E">
      <w:pPr>
        <w:ind w:left="165" w:right="867"/>
      </w:pPr>
      <w:r>
        <w:t>Д. Чеффи, Р. Майер и другие при формулировании определения исходят от чисто рекламных функций интернет-маркетинга. По и</w:t>
      </w:r>
      <w:r>
        <w:t>х мнению, интернетмаркетинг – это достижение маркетинговых целей с использованием цифровых технологий. В список маркетинговых целей интернет-маркетинга авторы включают: информирование о компании, продукте или услуге; обеспечение продаж на онлайн площадках;</w:t>
      </w:r>
      <w:r>
        <w:t xml:space="preserve"> изучение клиентов; развитие программ лояльности и др. [7]. </w:t>
      </w:r>
    </w:p>
    <w:p w:rsidR="002C0F56" w:rsidRDefault="00E67C6E">
      <w:pPr>
        <w:ind w:left="165" w:right="866"/>
      </w:pPr>
      <w:r>
        <w:t>Л. Велла и Дж. Кестлер считают, что интернет-маркетинг – это использование Интернета и других форм электронной связи для коммуникации с целевыми рынками наиболее экономически эффективными способа</w:t>
      </w:r>
      <w:r>
        <w:t xml:space="preserve">ми. При этом интернет-маркетинг позволяет обращаться как к потенциальным потребителям, так и работать с уже существующим клиентами [8]. </w:t>
      </w:r>
    </w:p>
    <w:p w:rsidR="002C0F56" w:rsidRDefault="00E67C6E">
      <w:pPr>
        <w:spacing w:after="5"/>
        <w:ind w:left="165" w:right="864"/>
      </w:pPr>
      <w:r>
        <w:t>Кононов В.Я. рассматривает интернет-</w:t>
      </w:r>
      <w:r>
        <w:t>маркетинг «как особую философию бизнеса, принцип деятельности фирмы, вид управленческой деятельности, и как комплекс средств, инструментов (методов, решений и т.п.), с помощью которых производитель изучает ситуацию на рынке и соответственно реагирует на не</w:t>
      </w:r>
      <w:r>
        <w:t>е». Кроме того, он отмечает, что «интернет-маркетинг – это совокупность аналитических, творческих и технических средств и методов для получения желаемого отклика от аудитории глобальной сети» [4, с.7]. Можно отметить,  что в данном определении интернет-мар</w:t>
      </w:r>
      <w:r>
        <w:t xml:space="preserve">кетинг рассматривается уже не просто как способ донесения компанией нужной информации до потребителя, а как способ </w:t>
      </w:r>
      <w:r>
        <w:lastRenderedPageBreak/>
        <w:t xml:space="preserve">донесения тематического аналитического результата маркетингового исследования, направленного на конкретную целевую аудиторию. </w:t>
      </w:r>
    </w:p>
    <w:p w:rsidR="002C0F56" w:rsidRDefault="00E67C6E">
      <w:pPr>
        <w:ind w:left="165" w:right="866"/>
      </w:pPr>
      <w:r>
        <w:t>В статьях Иван</w:t>
      </w:r>
      <w:r>
        <w:t>ова А.В., Назарова Н.А. [3; 5]   проводится глубокий анализ трансформации и расширения сути понятия «интернет-маркетинг». Авторы делают вывод, что в условиях незначительного временного отрезка с момента появления данной маркетинговой технологии и в результ</w:t>
      </w:r>
      <w:r>
        <w:t>ате быстро меняющихся инструментов и методов её реализации, «существует проблема формирования понятийно-категориального аппарата интернет-маркетинга» [3, с.60].  По их мнению, наиболее объективная формулировка этого понятия дана в работе Дика В.В. и др. «Э</w:t>
      </w:r>
      <w:r>
        <w:t xml:space="preserve">лектронная коммерция»: «Интернет-маркетинг – это необходимый комплекс мер по исследованию такого специфического рынка, каким является сетевой рынок Интернета, по эффективному продвижению и продаже товаров (услуг) с помощью современных интернет-технологий» </w:t>
      </w:r>
      <w:r>
        <w:t xml:space="preserve">[2, с.122]. </w:t>
      </w:r>
    </w:p>
    <w:p w:rsidR="002C0F56" w:rsidRDefault="00E67C6E">
      <w:pPr>
        <w:ind w:left="165" w:right="873"/>
      </w:pPr>
      <w:r>
        <w:t xml:space="preserve">Как видно,  единства мнений в научных кругах в оценке понимания сути «интернет-маркетинга» не достигнуто. С одной стороны, каждое мнение имеет в себе рациональное зерно понимания данной инновационной маркетинговой технологии, с другой стороны </w:t>
      </w:r>
      <w:r>
        <w:t xml:space="preserve">- наблюдается несколько однобокое понимание сущности понятия. </w:t>
      </w:r>
    </w:p>
    <w:p w:rsidR="002C0F56" w:rsidRDefault="00E67C6E">
      <w:pPr>
        <w:ind w:left="165" w:right="866"/>
      </w:pPr>
      <w:r>
        <w:t>Таким образом,  интернет-маркетинг рассматривается  как инновационный вид маркетинговой деятельности с использованием возможностей глобальной сети Интернет. Полный комплекс технических средств,</w:t>
      </w:r>
      <w:r>
        <w:t xml:space="preserve"> творческих приёмов, различных инструментов и коммуникационных сетевых каналов донесения результатов аналитического исследования предметной области в соответствии с запросом конечного потребителя рыночных услуг с целью обеспечения эффективной деятельности </w:t>
      </w:r>
      <w:r>
        <w:t xml:space="preserve">бизнес-моделей любого организационного и функционального типа.  </w:t>
      </w:r>
    </w:p>
    <w:p w:rsidR="002C0F56" w:rsidRDefault="00E67C6E">
      <w:pPr>
        <w:spacing w:after="11"/>
        <w:ind w:left="165" w:right="871"/>
      </w:pPr>
      <w:r>
        <w:t>Надо отметить, что маркетинг в Интернете в основном соответствует классической концепции маркетинга. Он охватывает все элементы системы маркетинговой деятельности, однако, имеет свои особенно</w:t>
      </w:r>
      <w:r>
        <w:t xml:space="preserve">сти (таблица 1). </w:t>
      </w:r>
    </w:p>
    <w:p w:rsidR="002C0F56" w:rsidRDefault="00E67C6E">
      <w:pPr>
        <w:spacing w:after="0" w:line="259" w:lineRule="auto"/>
        <w:ind w:left="744" w:firstLine="0"/>
        <w:jc w:val="left"/>
      </w:pPr>
      <w:r>
        <w:t xml:space="preserve"> </w:t>
      </w:r>
    </w:p>
    <w:p w:rsidR="002C0F56" w:rsidRDefault="00E67C6E">
      <w:pPr>
        <w:pStyle w:val="4"/>
        <w:ind w:right="690"/>
      </w:pPr>
      <w:r>
        <w:rPr>
          <w:b w:val="0"/>
          <w:i/>
        </w:rPr>
        <w:t xml:space="preserve">Таблица 1 – </w:t>
      </w:r>
      <w:r>
        <w:t xml:space="preserve">Сравнение традиционного маркетинга и интернет-маркетинга </w:t>
      </w:r>
    </w:p>
    <w:tbl>
      <w:tblPr>
        <w:tblStyle w:val="TableGrid"/>
        <w:tblW w:w="9748" w:type="dxa"/>
        <w:tblInd w:w="180" w:type="dxa"/>
        <w:tblCellMar>
          <w:top w:w="59" w:type="dxa"/>
          <w:left w:w="108" w:type="dxa"/>
          <w:bottom w:w="0" w:type="dxa"/>
          <w:right w:w="49" w:type="dxa"/>
        </w:tblCellMar>
        <w:tblLook w:val="04A0" w:firstRow="1" w:lastRow="0" w:firstColumn="1" w:lastColumn="0" w:noHBand="0" w:noVBand="1"/>
      </w:tblPr>
      <w:tblGrid>
        <w:gridCol w:w="4878"/>
        <w:gridCol w:w="4870"/>
      </w:tblGrid>
      <w:tr w:rsidR="002C0F56">
        <w:trPr>
          <w:trHeight w:val="480"/>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4" w:firstLine="0"/>
              <w:jc w:val="center"/>
            </w:pPr>
            <w:r>
              <w:rPr>
                <w:b/>
                <w:sz w:val="24"/>
              </w:rPr>
              <w:t xml:space="preserve">Традиционный маркетинг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b/>
                <w:sz w:val="24"/>
              </w:rPr>
              <w:t xml:space="preserve">Интернет-маркетинг </w:t>
            </w:r>
          </w:p>
        </w:tc>
      </w:tr>
      <w:tr w:rsidR="002C0F56">
        <w:trPr>
          <w:trHeight w:val="564"/>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Предлагает: компания распространяет товар на рынке потенциальных покупателей.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Заинтересовывает: потенциальные покупатели самостоятельно находят товар. </w:t>
            </w:r>
          </w:p>
        </w:tc>
      </w:tr>
      <w:tr w:rsidR="002C0F56">
        <w:trPr>
          <w:trHeight w:val="1114"/>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5" w:firstLine="0"/>
            </w:pPr>
            <w:r>
              <w:rPr>
                <w:sz w:val="24"/>
              </w:rPr>
              <w:t xml:space="preserve">Пассивный: традиционные модели рекламы требуют, чтобы потенциальные покупатели сами нашли объявление путем пересмотра или целенаправленного поиска.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8" w:lineRule="auto"/>
              <w:ind w:left="0" w:right="61" w:firstLine="0"/>
            </w:pPr>
            <w:r>
              <w:rPr>
                <w:sz w:val="24"/>
              </w:rPr>
              <w:t xml:space="preserve">Агрессивный: рекламирование включает активный поиск покупателей и инициирует некоторые формы контакта с ними. </w:t>
            </w:r>
          </w:p>
          <w:p w:rsidR="002C0F56" w:rsidRDefault="00E67C6E">
            <w:pPr>
              <w:spacing w:after="0" w:line="259" w:lineRule="auto"/>
              <w:ind w:left="0" w:firstLine="0"/>
              <w:jc w:val="left"/>
            </w:pPr>
            <w:r>
              <w:rPr>
                <w:b/>
                <w:sz w:val="24"/>
              </w:rPr>
              <w:t xml:space="preserve"> </w:t>
            </w:r>
          </w:p>
        </w:tc>
      </w:tr>
      <w:tr w:rsidR="002C0F56">
        <w:trPr>
          <w:trHeight w:val="1114"/>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lastRenderedPageBreak/>
              <w:t xml:space="preserve">Не интерактивный: маркетинговые материалы печатаются и ожидают очереди для доставки в виде пакета. </w:t>
            </w:r>
          </w:p>
          <w:p w:rsidR="002C0F56" w:rsidRDefault="00E67C6E">
            <w:pPr>
              <w:spacing w:after="0" w:line="259" w:lineRule="auto"/>
              <w:ind w:left="0" w:firstLine="0"/>
              <w:jc w:val="left"/>
            </w:pPr>
            <w:r>
              <w:rPr>
                <w:b/>
                <w:sz w:val="24"/>
              </w:rPr>
              <w:t xml:space="preserve">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pPr>
            <w:r>
              <w:rPr>
                <w:sz w:val="24"/>
              </w:rPr>
              <w:t xml:space="preserve">Интерактивный: потенциальный покупатель </w:t>
            </w:r>
            <w:r>
              <w:rPr>
                <w:sz w:val="24"/>
              </w:rPr>
              <w:t xml:space="preserve">может связаться с компанией для того, чтобы узнать о ее продукции и услугах. </w:t>
            </w:r>
          </w:p>
        </w:tc>
      </w:tr>
      <w:tr w:rsidR="002C0F56">
        <w:trPr>
          <w:trHeight w:val="838"/>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Зависит от времени: материалы должны быть доставленными адресату вовремя.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Не зависит от времени: материалы доступны в течение 24 часов ежедневно в течение всего года. </w:t>
            </w:r>
          </w:p>
        </w:tc>
      </w:tr>
      <w:tr w:rsidR="002C0F56">
        <w:trPr>
          <w:trHeight w:val="838"/>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pPr>
            <w:r>
              <w:rPr>
                <w:sz w:val="24"/>
              </w:rPr>
              <w:t xml:space="preserve">От одного - многим: материал обычно передается от одного источника ко многим потенциальным покупателям.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pPr>
            <w:r>
              <w:rPr>
                <w:sz w:val="24"/>
              </w:rPr>
              <w:t xml:space="preserve">От одного - одному, от одного - многим, от многих - многим: материал доступен в различных контекстах. </w:t>
            </w:r>
          </w:p>
        </w:tc>
      </w:tr>
      <w:tr w:rsidR="002C0F56">
        <w:trPr>
          <w:trHeight w:val="1114"/>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pPr>
            <w:r>
              <w:rPr>
                <w:sz w:val="24"/>
              </w:rPr>
              <w:t xml:space="preserve">Информационная слабость: трудно собрать прямые </w:t>
            </w:r>
            <w:r>
              <w:rPr>
                <w:sz w:val="24"/>
              </w:rPr>
              <w:t xml:space="preserve">данные о влиянии традиционного маркетинга на определенные слои населения.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pPr>
            <w:r>
              <w:rPr>
                <w:sz w:val="24"/>
              </w:rPr>
              <w:t xml:space="preserve">Информационная сила: можно собрать большое количество данных по поиску покупателя, который предшествует окончательной покупке. </w:t>
            </w:r>
          </w:p>
        </w:tc>
      </w:tr>
      <w:tr w:rsidR="002C0F56">
        <w:trPr>
          <w:trHeight w:val="840"/>
        </w:trPr>
        <w:tc>
          <w:tcPr>
            <w:tcW w:w="487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pPr>
            <w:r>
              <w:rPr>
                <w:sz w:val="24"/>
              </w:rPr>
              <w:t xml:space="preserve">Зависимость от расположения: </w:t>
            </w:r>
            <w:r>
              <w:rPr>
                <w:sz w:val="24"/>
              </w:rPr>
              <w:t xml:space="preserve">маркетинг зависит от места, где находится маркетинговое агентство. </w:t>
            </w:r>
          </w:p>
        </w:tc>
        <w:tc>
          <w:tcPr>
            <w:tcW w:w="48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pPr>
            <w:r>
              <w:rPr>
                <w:sz w:val="24"/>
              </w:rPr>
              <w:t xml:space="preserve">Независимость от расположения: маркетинг в Интернете может осуществляться в международном масштабе с одного места. </w:t>
            </w:r>
          </w:p>
        </w:tc>
      </w:tr>
    </w:tbl>
    <w:p w:rsidR="002C0F56" w:rsidRDefault="00E67C6E">
      <w:pPr>
        <w:spacing w:after="25" w:line="259" w:lineRule="auto"/>
        <w:ind w:left="744" w:firstLine="0"/>
        <w:jc w:val="left"/>
      </w:pPr>
      <w:r>
        <w:t xml:space="preserve"> </w:t>
      </w:r>
    </w:p>
    <w:p w:rsidR="002C0F56" w:rsidRDefault="00E67C6E">
      <w:pPr>
        <w:ind w:left="165" w:right="866"/>
      </w:pPr>
      <w:r>
        <w:t xml:space="preserve"> Анализ данных таблицы свидетельствует, что цели и задачи у </w:t>
      </w:r>
      <w:r>
        <w:t>традиционного и интернет-маркетинга схожи: продвинуть товар или услугу, изучить отношение потребителей к товару, повысить конкурентоспособность фирмы и товара. Но при этом традиционный маркетинг ограничен территориально, он не имеет прямой обратной связи с</w:t>
      </w:r>
      <w:r>
        <w:t xml:space="preserve"> потребителем. Традиционный маркетинг учитывает интересы усредненного потребителя, тогда как интернет-маркетинг может мгновенно установить связь с потребителем и учесть его запросы. Кроме того, традиционный маркетинг, по сравнению с интернет-маркетингом, т</w:t>
      </w:r>
      <w:r>
        <w:t xml:space="preserve">ребует больших затрат. </w:t>
      </w:r>
    </w:p>
    <w:p w:rsidR="002C0F56" w:rsidRDefault="00E67C6E">
      <w:pPr>
        <w:ind w:left="165" w:right="870"/>
      </w:pPr>
      <w:r>
        <w:t xml:space="preserve">Таким образом, использование Интернета предоставляет новые возможности, что приводит к его большей привлекательности, чем традиционные технологии маркетинга. </w:t>
      </w:r>
    </w:p>
    <w:p w:rsidR="002C0F56" w:rsidRDefault="00E67C6E">
      <w:pPr>
        <w:ind w:left="165" w:right="302"/>
      </w:pPr>
      <w:r>
        <w:t>Методологию интернет-маркетинга можно разделить на несколько составляющих</w:t>
      </w:r>
      <w:r>
        <w:t xml:space="preserve">: </w:t>
      </w:r>
    </w:p>
    <w:p w:rsidR="002C0F56" w:rsidRDefault="00E67C6E">
      <w:pPr>
        <w:numPr>
          <w:ilvl w:val="0"/>
          <w:numId w:val="69"/>
        </w:numPr>
        <w:ind w:right="582"/>
      </w:pPr>
      <w:r>
        <w:t xml:space="preserve">привлечение посетителей, трафика (SEO, покупка контекстной рекламы и т.д.); </w:t>
      </w:r>
    </w:p>
    <w:p w:rsidR="002C0F56" w:rsidRDefault="00E67C6E">
      <w:pPr>
        <w:numPr>
          <w:ilvl w:val="0"/>
          <w:numId w:val="69"/>
        </w:numPr>
        <w:spacing w:after="11" w:line="270" w:lineRule="auto"/>
        <w:ind w:right="582"/>
      </w:pPr>
      <w:r>
        <w:t xml:space="preserve">удержание посетителей (увеличение числа просмотров, времени на </w:t>
      </w:r>
    </w:p>
    <w:p w:rsidR="002C0F56" w:rsidRDefault="00E67C6E">
      <w:pPr>
        <w:ind w:left="165" w:right="302" w:firstLine="0"/>
      </w:pPr>
      <w:r>
        <w:t xml:space="preserve">сайте); </w:t>
      </w:r>
    </w:p>
    <w:p w:rsidR="002C0F56" w:rsidRDefault="00E67C6E">
      <w:pPr>
        <w:numPr>
          <w:ilvl w:val="0"/>
          <w:numId w:val="69"/>
        </w:numPr>
        <w:ind w:right="582"/>
      </w:pPr>
      <w:r>
        <w:t xml:space="preserve">превращение посетителей в постоянных (регистрация, подписка на рассылку); </w:t>
      </w:r>
    </w:p>
    <w:p w:rsidR="002C0F56" w:rsidRDefault="00E67C6E">
      <w:pPr>
        <w:numPr>
          <w:ilvl w:val="0"/>
          <w:numId w:val="69"/>
        </w:numPr>
        <w:spacing w:after="9"/>
        <w:ind w:right="582"/>
      </w:pPr>
      <w:r>
        <w:lastRenderedPageBreak/>
        <w:t>продажа (в ряде случаев не т</w:t>
      </w:r>
      <w:r>
        <w:t xml:space="preserve">ребуется, когда речь о проектах ориентированных на монетизацию через рекламу, например о контентных проектах). </w:t>
      </w:r>
    </w:p>
    <w:p w:rsidR="002C0F56" w:rsidRDefault="00E67C6E">
      <w:pPr>
        <w:ind w:left="165" w:right="869"/>
      </w:pPr>
      <w:r>
        <w:t>Продвижение бренда в Интернете может осуществляться с помощью широкого набора инструментов. Выбор того или иного инструмента зависит от типа бизнеса, его размеров и конкретных ситуативных задач, стоящих перед маркетологом. Каждый инструмент решает свою зад</w:t>
      </w:r>
      <w:r>
        <w:t xml:space="preserve">ачу и может быть использован на отдельных стадиях работы с целевой аудиторией. Использование  различных  инструментов   продвижения товаров  и  услуг  в  Интернете  не  просто  позволяет  эффективно  наладить  коммуникацию  с  потенциальными  и  реальными </w:t>
      </w:r>
      <w:r>
        <w:t xml:space="preserve"> потребителями,  но  и  помогает реализации различных маркетинговых стратегий. </w:t>
      </w:r>
    </w:p>
    <w:p w:rsidR="002C0F56" w:rsidRDefault="00E67C6E">
      <w:pPr>
        <w:tabs>
          <w:tab w:val="center" w:pos="1451"/>
          <w:tab w:val="center" w:pos="3447"/>
          <w:tab w:val="center" w:pos="6007"/>
          <w:tab w:val="center" w:pos="8238"/>
          <w:tab w:val="center" w:pos="9511"/>
        </w:tabs>
        <w:spacing w:after="11" w:line="270" w:lineRule="auto"/>
        <w:ind w:left="0" w:firstLine="0"/>
        <w:jc w:val="left"/>
      </w:pPr>
      <w:r>
        <w:rPr>
          <w:rFonts w:ascii="Calibri" w:eastAsia="Calibri" w:hAnsi="Calibri" w:cs="Calibri"/>
          <w:sz w:val="22"/>
        </w:rPr>
        <w:tab/>
      </w:r>
      <w:r>
        <w:t xml:space="preserve">Основными </w:t>
      </w:r>
      <w:r>
        <w:tab/>
        <w:t xml:space="preserve">инструментами </w:t>
      </w:r>
      <w:r>
        <w:tab/>
        <w:t xml:space="preserve">интернет-маркетинга </w:t>
      </w:r>
      <w:r>
        <w:tab/>
        <w:t xml:space="preserve">являются: </w:t>
      </w:r>
      <w:r>
        <w:tab/>
        <w:t>SEO-</w:t>
      </w:r>
    </w:p>
    <w:p w:rsidR="002C0F56" w:rsidRDefault="00E67C6E">
      <w:pPr>
        <w:ind w:left="165" w:right="302" w:firstLine="0"/>
      </w:pPr>
      <w:r>
        <w:t>оптимизация (продвижение в поисковых системах); e-mail-рассылка; реклама в социальных сетях; контекстная реклама</w:t>
      </w:r>
      <w:r>
        <w:t xml:space="preserve">; баннерная реклама; арбитраж трафика. </w:t>
      </w:r>
    </w:p>
    <w:p w:rsidR="002C0F56" w:rsidRDefault="00E67C6E">
      <w:pPr>
        <w:ind w:left="165" w:right="868"/>
      </w:pPr>
      <w:r>
        <w:t>Один из основных недостатков получения информации в результате проведенных маркетинговых исследований в Интернете – это сомнительные социометрические данные о респондентах. Но, учитывая тот факт, что с каждым годом к</w:t>
      </w:r>
      <w:r>
        <w:t>оличество интернет-пользователей становится всё больше, следует проводить корректировку полученной информации методом выборки недостоверных данных и на дальнейшем уровне продолжать следить за тенденциями использования новых методов и видов маркетинговых ис</w:t>
      </w:r>
      <w:r>
        <w:t xml:space="preserve">следований в глобальной сети Интернет. </w:t>
      </w:r>
    </w:p>
    <w:p w:rsidR="002C0F56" w:rsidRDefault="00E67C6E">
      <w:pPr>
        <w:ind w:left="165" w:right="302"/>
      </w:pPr>
      <w:r>
        <w:t xml:space="preserve">Сравнение инструментов интернет-маркетинга позволяет выделить их основные положительные характеристики: </w:t>
      </w:r>
    </w:p>
    <w:p w:rsidR="002C0F56" w:rsidRDefault="00E67C6E">
      <w:pPr>
        <w:numPr>
          <w:ilvl w:val="0"/>
          <w:numId w:val="70"/>
        </w:numPr>
        <w:ind w:right="302"/>
      </w:pPr>
      <w:r>
        <w:t>легкость, полнота и совершенство учета и анализа в изучении действий респондентов и других объектов маркетингов</w:t>
      </w:r>
      <w:r>
        <w:t xml:space="preserve">ых исследований;  </w:t>
      </w:r>
    </w:p>
    <w:p w:rsidR="002C0F56" w:rsidRDefault="00E67C6E">
      <w:pPr>
        <w:numPr>
          <w:ilvl w:val="0"/>
          <w:numId w:val="70"/>
        </w:numPr>
        <w:ind w:right="302"/>
      </w:pPr>
      <w:r>
        <w:t xml:space="preserve">возможность автоматического измерения количественных изменений по степени полученных результатов;  </w:t>
      </w:r>
    </w:p>
    <w:p w:rsidR="002C0F56" w:rsidRDefault="00E67C6E">
      <w:pPr>
        <w:numPr>
          <w:ilvl w:val="0"/>
          <w:numId w:val="70"/>
        </w:numPr>
        <w:ind w:right="302"/>
      </w:pPr>
      <w:r>
        <w:t>возможность проведения маркетинговых исследований в режиме реального времени, что позволяет получать постоянно обновленные и актуальные р</w:t>
      </w:r>
      <w:r>
        <w:t xml:space="preserve">езультаты;  </w:t>
      </w:r>
    </w:p>
    <w:p w:rsidR="002C0F56" w:rsidRDefault="00E67C6E">
      <w:pPr>
        <w:numPr>
          <w:ilvl w:val="0"/>
          <w:numId w:val="70"/>
        </w:numPr>
        <w:ind w:right="302"/>
      </w:pPr>
      <w:r>
        <w:t xml:space="preserve">автоматизация сбора и обработки данных в режиме реального времени, что значительно снижает затраты на осуществление маркетинговых </w:t>
      </w:r>
    </w:p>
    <w:p w:rsidR="002C0F56" w:rsidRDefault="00E67C6E">
      <w:pPr>
        <w:ind w:left="165" w:right="302" w:firstLine="0"/>
      </w:pPr>
      <w:r>
        <w:t xml:space="preserve">исследований;  </w:t>
      </w:r>
    </w:p>
    <w:p w:rsidR="002C0F56" w:rsidRDefault="00E67C6E">
      <w:pPr>
        <w:numPr>
          <w:ilvl w:val="0"/>
          <w:numId w:val="70"/>
        </w:numPr>
        <w:ind w:right="302"/>
      </w:pPr>
      <w:r>
        <w:t>автоматическая обработка информации, что способствует устранению негативного влияния на конечный</w:t>
      </w:r>
      <w:r>
        <w:t xml:space="preserve"> результат человеческого фактора. </w:t>
      </w:r>
    </w:p>
    <w:p w:rsidR="002C0F56" w:rsidRDefault="00E67C6E">
      <w:pPr>
        <w:ind w:left="744" w:right="302" w:firstLine="0"/>
      </w:pPr>
      <w:r>
        <w:t xml:space="preserve">К основным недостаткам можно отнести:  </w:t>
      </w:r>
    </w:p>
    <w:p w:rsidR="002C0F56" w:rsidRDefault="00E67C6E">
      <w:pPr>
        <w:numPr>
          <w:ilvl w:val="0"/>
          <w:numId w:val="70"/>
        </w:numPr>
        <w:ind w:right="302"/>
      </w:pPr>
      <w:r>
        <w:lastRenderedPageBreak/>
        <w:t xml:space="preserve">хаотичность и информационная перегруженность большинства сайтов затрудняют привлечение и удержание потенциальных клиентов; </w:t>
      </w:r>
    </w:p>
    <w:p w:rsidR="002C0F56" w:rsidRDefault="00E67C6E">
      <w:pPr>
        <w:numPr>
          <w:ilvl w:val="0"/>
          <w:numId w:val="70"/>
        </w:numPr>
        <w:ind w:right="302"/>
      </w:pPr>
      <w:r>
        <w:t xml:space="preserve">не всегда есть возможность выбора целевой аудитории; </w:t>
      </w:r>
    </w:p>
    <w:p w:rsidR="002C0F56" w:rsidRDefault="00E67C6E">
      <w:pPr>
        <w:numPr>
          <w:ilvl w:val="0"/>
          <w:numId w:val="70"/>
        </w:numPr>
        <w:ind w:right="302"/>
      </w:pPr>
      <w:r>
        <w:t>бол</w:t>
      </w:r>
      <w:r>
        <w:t xml:space="preserve">ьшой объем информации и наличие конкурентов; </w:t>
      </w:r>
    </w:p>
    <w:p w:rsidR="002C0F56" w:rsidRDefault="00E67C6E">
      <w:pPr>
        <w:numPr>
          <w:ilvl w:val="0"/>
          <w:numId w:val="70"/>
        </w:numPr>
        <w:ind w:right="302"/>
      </w:pPr>
      <w:r>
        <w:t xml:space="preserve">значительные бюджеты; </w:t>
      </w:r>
    </w:p>
    <w:p w:rsidR="002C0F56" w:rsidRDefault="00E67C6E">
      <w:pPr>
        <w:numPr>
          <w:ilvl w:val="0"/>
          <w:numId w:val="70"/>
        </w:numPr>
        <w:ind w:right="302"/>
      </w:pPr>
      <w:r>
        <w:t xml:space="preserve">со стороны многих пользователей исходит недовольство из-за внесения персональных данных при регистрации на различных сайтах. </w:t>
      </w:r>
    </w:p>
    <w:p w:rsidR="002C0F56" w:rsidRDefault="00E67C6E">
      <w:pPr>
        <w:spacing w:after="0"/>
        <w:ind w:left="165" w:right="862"/>
      </w:pPr>
      <w:r>
        <w:t>Таким образом,  перечисленные в работе  инструменты интeрнет</w:t>
      </w:r>
      <w:r>
        <w:t xml:space="preserve">маркeтинга имеют свои особенности и специфику, это нужно обязательно учитывать при подборе наиболее эффективных инструментов для каждого конкретного проекта. Эти инструменты не исчерпывают весь перечень. Он  постоянно растёт и обогащается. И, конечно, для </w:t>
      </w:r>
      <w:r>
        <w:t xml:space="preserve">того чтобы оставаться конкурентоспособным на рынке,  необходимо вести бизнес с использованием современных инструментов интeрнет-маркeтинга.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71"/>
        </w:numPr>
        <w:ind w:right="302"/>
      </w:pPr>
      <w:r>
        <w:t xml:space="preserve">Бокарев, Т.А. Способы продвижения компании в сети Интернет / Т.А. Бокарев // Маркетинг и маркетинговые исследования в России, - 1999. - №  </w:t>
      </w:r>
    </w:p>
    <w:p w:rsidR="002C0F56" w:rsidRDefault="00E67C6E">
      <w:pPr>
        <w:numPr>
          <w:ilvl w:val="0"/>
          <w:numId w:val="71"/>
        </w:numPr>
        <w:ind w:right="302"/>
      </w:pPr>
      <w:r>
        <w:t xml:space="preserve">Дик В.В., Лужецкий М.Г., Родионов А.Э. Электронная коммерция. М.: Московская финансово-промышленная академия, 2005. </w:t>
      </w:r>
      <w:r>
        <w:t xml:space="preserve">376 с. </w:t>
      </w:r>
    </w:p>
    <w:p w:rsidR="002C0F56" w:rsidRDefault="00E67C6E">
      <w:pPr>
        <w:numPr>
          <w:ilvl w:val="0"/>
          <w:numId w:val="71"/>
        </w:numPr>
        <w:ind w:right="302"/>
      </w:pPr>
      <w:r>
        <w:t xml:space="preserve">Иванов А.В. К вопросу формирования понятийно-категориального аппарата Интернет-маркетинга // Известия Российского государственного педагогического университета им. А.И. Герцена. 2009. № 110. С. 59-67. </w:t>
      </w:r>
    </w:p>
    <w:p w:rsidR="002C0F56" w:rsidRDefault="00E67C6E">
      <w:pPr>
        <w:numPr>
          <w:ilvl w:val="0"/>
          <w:numId w:val="71"/>
        </w:numPr>
        <w:ind w:right="302"/>
      </w:pPr>
      <w:r>
        <w:t>Кононов В.О. Стратегия интернет-продвижения пр</w:t>
      </w:r>
      <w:r>
        <w:t xml:space="preserve">одукта в условиях конкурентной среды: автореф. дис. … канд. экон. наук. СПб., 2009. 18 с. </w:t>
      </w:r>
    </w:p>
    <w:p w:rsidR="002C0F56" w:rsidRDefault="00E67C6E">
      <w:pPr>
        <w:numPr>
          <w:ilvl w:val="0"/>
          <w:numId w:val="71"/>
        </w:numPr>
        <w:ind w:right="302"/>
      </w:pPr>
      <w:r>
        <w:t>Назарова Н.А. Анализ существующего понятийно-категориального аппарата Интернет-маркетинга // Известия Российского государственного педагогического университета им. А</w:t>
      </w:r>
      <w:r>
        <w:t xml:space="preserve">.И. Герцена. 2009. № 96. С. 100-107. </w:t>
      </w:r>
    </w:p>
    <w:p w:rsidR="002C0F56" w:rsidRDefault="00E67C6E">
      <w:pPr>
        <w:numPr>
          <w:ilvl w:val="0"/>
          <w:numId w:val="71"/>
        </w:numPr>
        <w:spacing w:after="12"/>
        <w:ind w:right="302"/>
      </w:pPr>
      <w:r>
        <w:t xml:space="preserve">Eley B., Tilley S. Online Marketing Inside Out. SitePoint Pty Ltd, 2009. </w:t>
      </w:r>
    </w:p>
    <w:p w:rsidR="002C0F56" w:rsidRDefault="00E67C6E">
      <w:pPr>
        <w:numPr>
          <w:ilvl w:val="0"/>
          <w:numId w:val="71"/>
        </w:numPr>
        <w:spacing w:after="12"/>
        <w:ind w:right="302"/>
      </w:pPr>
      <w:r>
        <w:t xml:space="preserve">Chaffey D. Internet Marketing : Strategy, Implementation and Prac-tice / </w:t>
      </w:r>
    </w:p>
    <w:p w:rsidR="002C0F56" w:rsidRDefault="00E67C6E">
      <w:pPr>
        <w:spacing w:after="12"/>
        <w:ind w:left="165" w:right="302" w:firstLine="0"/>
      </w:pPr>
      <w:r>
        <w:t xml:space="preserve">F.Ellis-Chadwick, R. Mayer, K. Johnston // Pearson Education. 2006. – </w:t>
      </w:r>
      <w:r>
        <w:t xml:space="preserve">579 p. </w:t>
      </w:r>
    </w:p>
    <w:p w:rsidR="002C0F56" w:rsidRDefault="00E67C6E">
      <w:pPr>
        <w:numPr>
          <w:ilvl w:val="0"/>
          <w:numId w:val="71"/>
        </w:numPr>
        <w:spacing w:after="0"/>
        <w:ind w:right="302"/>
      </w:pPr>
      <w:r>
        <w:t xml:space="preserve">Vella L., Kester J. Handbook on E-marketing for tourism destina-tion // World Tourism Organization and the European Travel commission : Madrid. – 21 p.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Горбунева А.В. </w:t>
      </w:r>
      <w:r>
        <w:rPr>
          <w:b w:val="0"/>
        </w:rPr>
        <w:t xml:space="preserve">Научный руководитель: Овчаренко О.И., к.т.н., доц.  </w:t>
      </w:r>
    </w:p>
    <w:p w:rsidR="002C0F56" w:rsidRDefault="00E67C6E">
      <w:pPr>
        <w:ind w:left="3963" w:right="302" w:hanging="396"/>
      </w:pPr>
      <w:r>
        <w:rPr>
          <w:i/>
        </w:rPr>
        <w:t xml:space="preserve">Таганрогский институт управления и экономики </w:t>
      </w:r>
    </w:p>
    <w:p w:rsidR="002C0F56" w:rsidRDefault="00E67C6E">
      <w:pPr>
        <w:spacing w:after="30" w:line="259" w:lineRule="auto"/>
        <w:ind w:left="744" w:firstLine="0"/>
        <w:jc w:val="left"/>
      </w:pPr>
      <w:r>
        <w:t xml:space="preserve"> </w:t>
      </w:r>
    </w:p>
    <w:p w:rsidR="002C0F56" w:rsidRDefault="00E67C6E">
      <w:pPr>
        <w:pStyle w:val="1"/>
        <w:spacing w:after="15" w:line="271" w:lineRule="auto"/>
        <w:ind w:left="201" w:right="0"/>
        <w:jc w:val="left"/>
      </w:pPr>
      <w:r>
        <w:lastRenderedPageBreak/>
        <w:t xml:space="preserve">ПУТИ ПОВЫШЕНИЯ ИНДЕКСА ЭЛЕКТРОННОГО ПРАВИТЕЛЬСТВА </w:t>
      </w:r>
    </w:p>
    <w:p w:rsidR="002C0F56" w:rsidRDefault="00E67C6E">
      <w:pPr>
        <w:spacing w:after="0" w:line="259" w:lineRule="auto"/>
        <w:ind w:left="744" w:firstLine="0"/>
        <w:jc w:val="left"/>
      </w:pPr>
      <w:r>
        <w:t xml:space="preserve"> </w:t>
      </w:r>
    </w:p>
    <w:p w:rsidR="002C0F56" w:rsidRDefault="00E67C6E">
      <w:pPr>
        <w:ind w:left="165" w:right="302"/>
      </w:pPr>
      <w:r>
        <w:t>В данной работе рассмотрена динамика изменения базовых компонентов, характеризующих уровень развития ИКТ-инфраструктуры и сервисов электронного правительст</w:t>
      </w:r>
      <w:r>
        <w:t xml:space="preserve">ва.  Проведен анализ итогов проектов, направленных на развитие информационного общества и формированию электронного правительства в Российской Федерации и определены пути повышения индекса электронного правительства в международных рейтингах. </w:t>
      </w:r>
    </w:p>
    <w:p w:rsidR="002C0F56" w:rsidRDefault="00E67C6E">
      <w:pPr>
        <w:ind w:left="165" w:right="867"/>
      </w:pPr>
      <w:r>
        <w:t>Одним из осн</w:t>
      </w:r>
      <w:r>
        <w:t>овных направлений Стратегии развития информационного общества в Российской Федерации является формирование современной информационной и телекоммуникационной инфраструктуры, предоставление на ее основе качественных услуг и обеспечение высокого уровня доступ</w:t>
      </w:r>
      <w:r>
        <w:t>ности для населения информации и технологий. В качестве одного из показателей успешной работы в данном направлении эксперты рассматривают положение страны в различных международных рейтингах. При этом наиболее распространённым является рейтинг развития эле</w:t>
      </w:r>
      <w:r>
        <w:t xml:space="preserve">ктронного правительства, публикуемый ООН один раз в два года.  Электронное правительство - это использование ИКТ для предоставления государственных услуг населению. Среди внедряющих его стран на сегодняшний день лидируют Великобритания, </w:t>
      </w:r>
    </w:p>
    <w:p w:rsidR="002C0F56" w:rsidRDefault="00E67C6E">
      <w:pPr>
        <w:ind w:left="165" w:right="302" w:firstLine="0"/>
      </w:pPr>
      <w:r>
        <w:t>Австралия и Респуб</w:t>
      </w:r>
      <w:r>
        <w:t xml:space="preserve">лика Корея. США занимают 12-е место, Казахстан -33-е,  </w:t>
      </w:r>
    </w:p>
    <w:p w:rsidR="002C0F56" w:rsidRDefault="00E67C6E">
      <w:pPr>
        <w:spacing w:after="14"/>
        <w:ind w:left="165" w:right="866" w:firstLine="0"/>
      </w:pPr>
      <w:r>
        <w:t>Азербайджан - 56-е. Грузия в этом списке на 61-й позиции, Украина - на 62-й, а Армения - на 87-й. Таджикистан в рейтинге стран мира по уровню развития электронного правительства - на 139 месте, а Турк</w:t>
      </w:r>
      <w:r>
        <w:t xml:space="preserve">менистан - на 140-м. В 2014 году Россия занимала 27 место, переместившись за 2 года на 32 позиции. В 2016 году Россия потеряла в рейтинге восемь позиций по отношению к 2014 году и теперь занимает 35 место [1]. </w:t>
      </w:r>
    </w:p>
    <w:p w:rsidR="002C0F56" w:rsidRDefault="00E67C6E">
      <w:pPr>
        <w:spacing w:after="10"/>
        <w:ind w:left="165" w:right="865"/>
      </w:pPr>
      <w:r>
        <w:t>Оценка готовности страны к электронному правительству складывается из нескольких базовых индексов, характеризующих уровень развития ИКТинфраструктуры, сервисов электронного правительства, а также степень развития человеческого потенциала. В таблице предста</w:t>
      </w:r>
      <w:r>
        <w:t xml:space="preserve">влены данные по указанным индексам за последние шесть лет. </w:t>
      </w:r>
    </w:p>
    <w:p w:rsidR="002C0F56" w:rsidRDefault="00E67C6E">
      <w:pPr>
        <w:spacing w:after="0" w:line="259" w:lineRule="auto"/>
        <w:ind w:left="744" w:firstLine="0"/>
        <w:jc w:val="left"/>
      </w:pPr>
      <w:r>
        <w:t xml:space="preserve"> </w:t>
      </w:r>
    </w:p>
    <w:p w:rsidR="002C0F56" w:rsidRDefault="00E67C6E">
      <w:pPr>
        <w:pStyle w:val="4"/>
        <w:ind w:right="494"/>
      </w:pPr>
      <w:r>
        <w:rPr>
          <w:b w:val="0"/>
          <w:i/>
        </w:rPr>
        <w:t xml:space="preserve">Таблица 1 - </w:t>
      </w:r>
      <w:r>
        <w:t xml:space="preserve">Основные индексы, входящие в рейтинг электронного правительства </w:t>
      </w:r>
    </w:p>
    <w:tbl>
      <w:tblPr>
        <w:tblStyle w:val="TableGrid"/>
        <w:tblW w:w="8674" w:type="dxa"/>
        <w:tblInd w:w="663" w:type="dxa"/>
        <w:tblCellMar>
          <w:top w:w="32" w:type="dxa"/>
          <w:left w:w="108" w:type="dxa"/>
          <w:bottom w:w="0" w:type="dxa"/>
          <w:right w:w="10" w:type="dxa"/>
        </w:tblCellMar>
        <w:tblLook w:val="04A0" w:firstRow="1" w:lastRow="0" w:firstColumn="1" w:lastColumn="0" w:noHBand="0" w:noVBand="1"/>
      </w:tblPr>
      <w:tblGrid>
        <w:gridCol w:w="4623"/>
        <w:gridCol w:w="1419"/>
        <w:gridCol w:w="1416"/>
        <w:gridCol w:w="1216"/>
      </w:tblGrid>
      <w:tr w:rsidR="002C0F56">
        <w:trPr>
          <w:trHeight w:val="440"/>
        </w:trPr>
        <w:tc>
          <w:tcPr>
            <w:tcW w:w="4623" w:type="dxa"/>
            <w:tcBorders>
              <w:top w:val="double" w:sz="4" w:space="0" w:color="000000"/>
              <w:left w:val="double" w:sz="4" w:space="0" w:color="000000"/>
              <w:bottom w:val="single" w:sz="6" w:space="0" w:color="000000"/>
              <w:right w:val="single" w:sz="6" w:space="0" w:color="000000"/>
            </w:tcBorders>
            <w:shd w:val="clear" w:color="auto" w:fill="F2F2F2"/>
          </w:tcPr>
          <w:p w:rsidR="002C0F56" w:rsidRDefault="00E67C6E">
            <w:pPr>
              <w:spacing w:after="0" w:line="259" w:lineRule="auto"/>
              <w:ind w:left="0" w:right="97" w:firstLine="0"/>
              <w:jc w:val="center"/>
            </w:pPr>
            <w:r>
              <w:rPr>
                <w:b/>
                <w:sz w:val="24"/>
              </w:rPr>
              <w:t xml:space="preserve">Индексы </w:t>
            </w:r>
          </w:p>
        </w:tc>
        <w:tc>
          <w:tcPr>
            <w:tcW w:w="1419" w:type="dxa"/>
            <w:tcBorders>
              <w:top w:val="double" w:sz="4" w:space="0" w:color="000000"/>
              <w:left w:val="single" w:sz="6" w:space="0" w:color="000000"/>
              <w:bottom w:val="single" w:sz="6" w:space="0" w:color="000000"/>
              <w:right w:val="single" w:sz="6" w:space="0" w:color="000000"/>
            </w:tcBorders>
            <w:shd w:val="clear" w:color="auto" w:fill="F2F2F2"/>
          </w:tcPr>
          <w:p w:rsidR="002C0F56" w:rsidRDefault="00E67C6E">
            <w:pPr>
              <w:spacing w:after="0" w:line="259" w:lineRule="auto"/>
              <w:ind w:left="0" w:right="100" w:firstLine="0"/>
              <w:jc w:val="center"/>
            </w:pPr>
            <w:r>
              <w:rPr>
                <w:b/>
                <w:sz w:val="24"/>
              </w:rPr>
              <w:t>2012</w:t>
            </w:r>
            <w:r>
              <w:rPr>
                <w:sz w:val="24"/>
              </w:rPr>
              <w:t xml:space="preserve"> </w:t>
            </w:r>
          </w:p>
        </w:tc>
        <w:tc>
          <w:tcPr>
            <w:tcW w:w="1416" w:type="dxa"/>
            <w:tcBorders>
              <w:top w:val="double" w:sz="4" w:space="0" w:color="000000"/>
              <w:left w:val="single" w:sz="6" w:space="0" w:color="000000"/>
              <w:bottom w:val="single" w:sz="6" w:space="0" w:color="000000"/>
              <w:right w:val="single" w:sz="6" w:space="0" w:color="000000"/>
            </w:tcBorders>
            <w:shd w:val="clear" w:color="auto" w:fill="F2F2F2"/>
          </w:tcPr>
          <w:p w:rsidR="002C0F56" w:rsidRDefault="00E67C6E">
            <w:pPr>
              <w:spacing w:after="0" w:line="259" w:lineRule="auto"/>
              <w:ind w:left="0" w:right="99" w:firstLine="0"/>
              <w:jc w:val="center"/>
            </w:pPr>
            <w:r>
              <w:rPr>
                <w:b/>
                <w:sz w:val="24"/>
              </w:rPr>
              <w:t>2014</w:t>
            </w:r>
            <w:r>
              <w:rPr>
                <w:sz w:val="24"/>
              </w:rPr>
              <w:t xml:space="preserve"> </w:t>
            </w:r>
          </w:p>
        </w:tc>
        <w:tc>
          <w:tcPr>
            <w:tcW w:w="1216" w:type="dxa"/>
            <w:tcBorders>
              <w:top w:val="double" w:sz="4" w:space="0" w:color="000000"/>
              <w:left w:val="single" w:sz="6" w:space="0" w:color="000000"/>
              <w:bottom w:val="single" w:sz="6" w:space="0" w:color="000000"/>
              <w:right w:val="double" w:sz="4" w:space="0" w:color="000000"/>
            </w:tcBorders>
            <w:shd w:val="clear" w:color="auto" w:fill="F2F2F2"/>
          </w:tcPr>
          <w:p w:rsidR="002C0F56" w:rsidRDefault="00E67C6E">
            <w:pPr>
              <w:spacing w:after="0" w:line="259" w:lineRule="auto"/>
              <w:ind w:left="0" w:right="94" w:firstLine="0"/>
              <w:jc w:val="center"/>
            </w:pPr>
            <w:r>
              <w:rPr>
                <w:b/>
                <w:sz w:val="24"/>
              </w:rPr>
              <w:t>2016</w:t>
            </w:r>
            <w:r>
              <w:rPr>
                <w:sz w:val="24"/>
              </w:rPr>
              <w:t xml:space="preserve"> </w:t>
            </w:r>
          </w:p>
        </w:tc>
      </w:tr>
      <w:tr w:rsidR="002C0F56">
        <w:trPr>
          <w:trHeight w:val="472"/>
        </w:trPr>
        <w:tc>
          <w:tcPr>
            <w:tcW w:w="4623" w:type="dxa"/>
            <w:tcBorders>
              <w:top w:val="single" w:sz="6" w:space="0" w:color="000000"/>
              <w:left w:val="double" w:sz="4" w:space="0" w:color="000000"/>
              <w:bottom w:val="single" w:sz="6" w:space="0" w:color="000000"/>
              <w:right w:val="single" w:sz="6" w:space="0" w:color="000000"/>
            </w:tcBorders>
          </w:tcPr>
          <w:p w:rsidR="002C0F56" w:rsidRDefault="00E67C6E">
            <w:pPr>
              <w:spacing w:after="0" w:line="259" w:lineRule="auto"/>
              <w:ind w:left="0" w:firstLine="0"/>
              <w:jc w:val="left"/>
            </w:pPr>
            <w:r>
              <w:rPr>
                <w:sz w:val="24"/>
              </w:rPr>
              <w:t xml:space="preserve">Электронные услуги (Online Service Index)  </w:t>
            </w:r>
          </w:p>
        </w:tc>
        <w:tc>
          <w:tcPr>
            <w:tcW w:w="1419"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right="99" w:firstLine="0"/>
              <w:jc w:val="center"/>
            </w:pPr>
            <w:r>
              <w:rPr>
                <w:sz w:val="24"/>
              </w:rPr>
              <w:t xml:space="preserve">0,6601 </w:t>
            </w:r>
          </w:p>
        </w:tc>
        <w:tc>
          <w:tcPr>
            <w:tcW w:w="1416" w:type="dxa"/>
            <w:tcBorders>
              <w:top w:val="single" w:sz="6" w:space="0" w:color="000000"/>
              <w:left w:val="single" w:sz="6" w:space="0" w:color="000000"/>
              <w:bottom w:val="single" w:sz="6" w:space="0" w:color="000000"/>
              <w:right w:val="single" w:sz="6" w:space="0" w:color="000000"/>
            </w:tcBorders>
          </w:tcPr>
          <w:p w:rsidR="002C0F56" w:rsidRDefault="00E67C6E">
            <w:pPr>
              <w:spacing w:after="0" w:line="259" w:lineRule="auto"/>
              <w:ind w:left="0" w:right="101" w:firstLine="0"/>
              <w:jc w:val="center"/>
            </w:pPr>
            <w:r>
              <w:rPr>
                <w:sz w:val="24"/>
              </w:rPr>
              <w:t xml:space="preserve">0,7087 </w:t>
            </w:r>
          </w:p>
        </w:tc>
        <w:tc>
          <w:tcPr>
            <w:tcW w:w="1216" w:type="dxa"/>
            <w:tcBorders>
              <w:top w:val="single" w:sz="6" w:space="0" w:color="000000"/>
              <w:left w:val="single" w:sz="6" w:space="0" w:color="000000"/>
              <w:bottom w:val="single" w:sz="6" w:space="0" w:color="000000"/>
              <w:right w:val="double" w:sz="4" w:space="0" w:color="000000"/>
            </w:tcBorders>
          </w:tcPr>
          <w:p w:rsidR="002C0F56" w:rsidRDefault="00E67C6E">
            <w:pPr>
              <w:spacing w:after="0" w:line="259" w:lineRule="auto"/>
              <w:ind w:left="0" w:right="97" w:firstLine="0"/>
              <w:jc w:val="center"/>
            </w:pPr>
            <w:r>
              <w:rPr>
                <w:sz w:val="24"/>
              </w:rPr>
              <w:t xml:space="preserve">0,7319 </w:t>
            </w:r>
          </w:p>
        </w:tc>
      </w:tr>
      <w:tr w:rsidR="002C0F56">
        <w:trPr>
          <w:trHeight w:val="581"/>
        </w:trPr>
        <w:tc>
          <w:tcPr>
            <w:tcW w:w="4623" w:type="dxa"/>
            <w:tcBorders>
              <w:top w:val="single" w:sz="6" w:space="0" w:color="000000"/>
              <w:left w:val="double" w:sz="4" w:space="0" w:color="000000"/>
              <w:bottom w:val="single" w:sz="6" w:space="0" w:color="000000"/>
              <w:right w:val="single" w:sz="6" w:space="0" w:color="000000"/>
            </w:tcBorders>
          </w:tcPr>
          <w:p w:rsidR="002C0F56" w:rsidRDefault="00E67C6E">
            <w:pPr>
              <w:spacing w:after="0" w:line="259" w:lineRule="auto"/>
              <w:ind w:left="0" w:firstLine="0"/>
            </w:pPr>
            <w:r>
              <w:rPr>
                <w:sz w:val="24"/>
              </w:rPr>
              <w:t xml:space="preserve">ИКТ-инфраструктура </w:t>
            </w:r>
            <w:r>
              <w:rPr>
                <w:sz w:val="24"/>
              </w:rPr>
              <w:t xml:space="preserve">(Telecommunication </w:t>
            </w:r>
          </w:p>
          <w:p w:rsidR="002C0F56" w:rsidRDefault="00E67C6E">
            <w:pPr>
              <w:spacing w:after="0" w:line="259" w:lineRule="auto"/>
              <w:ind w:left="0" w:firstLine="0"/>
              <w:jc w:val="left"/>
            </w:pPr>
            <w:r>
              <w:rPr>
                <w:sz w:val="24"/>
              </w:rPr>
              <w:t xml:space="preserve">Infrastructure Index)  </w:t>
            </w:r>
          </w:p>
        </w:tc>
        <w:tc>
          <w:tcPr>
            <w:tcW w:w="1419"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0" w:right="99" w:firstLine="0"/>
              <w:jc w:val="center"/>
            </w:pPr>
            <w:r>
              <w:rPr>
                <w:sz w:val="24"/>
              </w:rPr>
              <w:t xml:space="preserve">0,6583 </w:t>
            </w:r>
          </w:p>
        </w:tc>
        <w:tc>
          <w:tcPr>
            <w:tcW w:w="1416" w:type="dxa"/>
            <w:tcBorders>
              <w:top w:val="single" w:sz="6" w:space="0" w:color="000000"/>
              <w:left w:val="single" w:sz="6" w:space="0" w:color="000000"/>
              <w:bottom w:val="single" w:sz="6" w:space="0" w:color="000000"/>
              <w:right w:val="single" w:sz="6" w:space="0" w:color="000000"/>
            </w:tcBorders>
            <w:vAlign w:val="center"/>
          </w:tcPr>
          <w:p w:rsidR="002C0F56" w:rsidRDefault="00E67C6E">
            <w:pPr>
              <w:spacing w:after="0" w:line="259" w:lineRule="auto"/>
              <w:ind w:left="0" w:right="101" w:firstLine="0"/>
              <w:jc w:val="center"/>
            </w:pPr>
            <w:r>
              <w:rPr>
                <w:sz w:val="24"/>
              </w:rPr>
              <w:t xml:space="preserve">0,6413 </w:t>
            </w:r>
          </w:p>
        </w:tc>
        <w:tc>
          <w:tcPr>
            <w:tcW w:w="1216" w:type="dxa"/>
            <w:tcBorders>
              <w:top w:val="single" w:sz="6" w:space="0" w:color="000000"/>
              <w:left w:val="single" w:sz="6" w:space="0" w:color="000000"/>
              <w:bottom w:val="single" w:sz="6" w:space="0" w:color="000000"/>
              <w:right w:val="double" w:sz="4" w:space="0" w:color="000000"/>
            </w:tcBorders>
            <w:vAlign w:val="center"/>
          </w:tcPr>
          <w:p w:rsidR="002C0F56" w:rsidRDefault="00E67C6E">
            <w:pPr>
              <w:spacing w:after="0" w:line="259" w:lineRule="auto"/>
              <w:ind w:left="0" w:right="97" w:firstLine="0"/>
              <w:jc w:val="center"/>
            </w:pPr>
            <w:r>
              <w:rPr>
                <w:sz w:val="24"/>
              </w:rPr>
              <w:t xml:space="preserve">0,6091 </w:t>
            </w:r>
          </w:p>
        </w:tc>
      </w:tr>
      <w:tr w:rsidR="002C0F56">
        <w:trPr>
          <w:trHeight w:val="593"/>
        </w:trPr>
        <w:tc>
          <w:tcPr>
            <w:tcW w:w="4623" w:type="dxa"/>
            <w:tcBorders>
              <w:top w:val="single" w:sz="6" w:space="0" w:color="000000"/>
              <w:left w:val="double" w:sz="4" w:space="0" w:color="000000"/>
              <w:bottom w:val="double" w:sz="4" w:space="0" w:color="000000"/>
              <w:right w:val="single" w:sz="6" w:space="0" w:color="000000"/>
            </w:tcBorders>
          </w:tcPr>
          <w:p w:rsidR="002C0F56" w:rsidRDefault="00E67C6E">
            <w:pPr>
              <w:spacing w:after="0" w:line="259" w:lineRule="auto"/>
              <w:ind w:left="0" w:firstLine="0"/>
            </w:pPr>
            <w:r>
              <w:rPr>
                <w:sz w:val="24"/>
              </w:rPr>
              <w:lastRenderedPageBreak/>
              <w:t xml:space="preserve">Развитие человеческого потенциала (Human Capital Index)  </w:t>
            </w:r>
          </w:p>
        </w:tc>
        <w:tc>
          <w:tcPr>
            <w:tcW w:w="1419" w:type="dxa"/>
            <w:tcBorders>
              <w:top w:val="single" w:sz="6" w:space="0" w:color="000000"/>
              <w:left w:val="single" w:sz="6" w:space="0" w:color="000000"/>
              <w:bottom w:val="double" w:sz="4" w:space="0" w:color="000000"/>
              <w:right w:val="single" w:sz="6" w:space="0" w:color="000000"/>
            </w:tcBorders>
            <w:vAlign w:val="center"/>
          </w:tcPr>
          <w:p w:rsidR="002C0F56" w:rsidRDefault="00E67C6E">
            <w:pPr>
              <w:spacing w:after="0" w:line="259" w:lineRule="auto"/>
              <w:ind w:left="0" w:right="99" w:firstLine="0"/>
              <w:jc w:val="center"/>
            </w:pPr>
            <w:r>
              <w:rPr>
                <w:sz w:val="24"/>
              </w:rPr>
              <w:t xml:space="preserve">0,8850 </w:t>
            </w:r>
          </w:p>
        </w:tc>
        <w:tc>
          <w:tcPr>
            <w:tcW w:w="1416" w:type="dxa"/>
            <w:tcBorders>
              <w:top w:val="single" w:sz="6" w:space="0" w:color="000000"/>
              <w:left w:val="single" w:sz="6" w:space="0" w:color="000000"/>
              <w:bottom w:val="double" w:sz="4" w:space="0" w:color="000000"/>
              <w:right w:val="single" w:sz="6" w:space="0" w:color="000000"/>
            </w:tcBorders>
            <w:vAlign w:val="center"/>
          </w:tcPr>
          <w:p w:rsidR="002C0F56" w:rsidRDefault="00E67C6E">
            <w:pPr>
              <w:spacing w:after="0" w:line="259" w:lineRule="auto"/>
              <w:ind w:left="0" w:right="101" w:firstLine="0"/>
              <w:jc w:val="center"/>
            </w:pPr>
            <w:r>
              <w:rPr>
                <w:sz w:val="24"/>
              </w:rPr>
              <w:t xml:space="preserve">0,8388 </w:t>
            </w:r>
          </w:p>
        </w:tc>
        <w:tc>
          <w:tcPr>
            <w:tcW w:w="1216" w:type="dxa"/>
            <w:tcBorders>
              <w:top w:val="single" w:sz="6" w:space="0" w:color="000000"/>
              <w:left w:val="single" w:sz="6" w:space="0" w:color="000000"/>
              <w:bottom w:val="double" w:sz="4" w:space="0" w:color="000000"/>
              <w:right w:val="double" w:sz="4" w:space="0" w:color="000000"/>
            </w:tcBorders>
            <w:vAlign w:val="center"/>
          </w:tcPr>
          <w:p w:rsidR="002C0F56" w:rsidRDefault="00E67C6E">
            <w:pPr>
              <w:spacing w:after="0" w:line="259" w:lineRule="auto"/>
              <w:ind w:left="0" w:right="97" w:firstLine="0"/>
              <w:jc w:val="center"/>
            </w:pPr>
            <w:r>
              <w:rPr>
                <w:sz w:val="24"/>
              </w:rPr>
              <w:t xml:space="preserve">0,8234 </w:t>
            </w:r>
          </w:p>
        </w:tc>
      </w:tr>
    </w:tbl>
    <w:p w:rsidR="002C0F56" w:rsidRDefault="00E67C6E">
      <w:pPr>
        <w:spacing w:after="0" w:line="259" w:lineRule="auto"/>
        <w:ind w:left="744" w:firstLine="0"/>
        <w:jc w:val="left"/>
      </w:pPr>
      <w:r>
        <w:t xml:space="preserve"> </w:t>
      </w:r>
    </w:p>
    <w:p w:rsidR="002C0F56" w:rsidRDefault="00E67C6E">
      <w:pPr>
        <w:spacing w:after="0"/>
        <w:ind w:left="165" w:right="873"/>
      </w:pPr>
      <w:r>
        <w:t>Анализ данных таблицы показывает, что в течение последних шести лет рост продемонстрировал только один индекс из трех, влияющий на итоговую оценку. Так, положительную динамику показал индекс уровня развития электронных услуг, увеличившись с 0,6 до 0,7 в 20</w:t>
      </w:r>
      <w:r>
        <w:t>14 году, но в 2016 году прирост оказался только на 0,02. При формировании данного индекса оцениваются правительственные сайты и порталы по различным направлениям, среди которых следует выделить оказание электронных услуг,  вовлечение граждан в деятельность</w:t>
      </w:r>
      <w:r>
        <w:t xml:space="preserve"> государственных органов и принятие решений. </w:t>
      </w:r>
    </w:p>
    <w:p w:rsidR="002C0F56" w:rsidRDefault="00E67C6E">
      <w:pPr>
        <w:spacing w:after="7"/>
        <w:ind w:left="165" w:right="869"/>
      </w:pPr>
      <w:r>
        <w:t>Индекс, демонстрирующий уровень развития ИКТ-инфраструктуры в 2014 году снизился с 0,65 до 0,64, в 2016 он упал до цифры 0,60. При расчете данного индекса определяется среднее по пяти компонентам: число абонент</w:t>
      </w:r>
      <w:r>
        <w:t>ов фиксированного широкополосного доступа к интернету на 100 человек населения; число абонентов беспроводного широкополосного доступа к интернету на 100 чел.; число активных абонентов мобильной телефонной связи на 100 чел.; число телефонных аппаратов на 10</w:t>
      </w:r>
      <w:r>
        <w:t xml:space="preserve">0 человек населения; удельный вес населения, использующего Интернет (рис. 1). </w:t>
      </w:r>
    </w:p>
    <w:p w:rsidR="002C0F56" w:rsidRDefault="00E67C6E">
      <w:pPr>
        <w:spacing w:after="0" w:line="259" w:lineRule="auto"/>
        <w:ind w:left="744" w:firstLine="0"/>
        <w:jc w:val="left"/>
      </w:pPr>
      <w:r>
        <w:t xml:space="preserve"> </w:t>
      </w:r>
    </w:p>
    <w:p w:rsidR="002C0F56" w:rsidRDefault="00E67C6E">
      <w:pPr>
        <w:spacing w:after="0" w:line="259" w:lineRule="auto"/>
        <w:ind w:left="0" w:right="2331" w:firstLine="0"/>
        <w:jc w:val="right"/>
      </w:pPr>
      <w:r>
        <w:rPr>
          <w:noProof/>
        </w:rPr>
        <w:drawing>
          <wp:inline distT="0" distB="0" distL="0" distR="0">
            <wp:extent cx="4788535" cy="2440305"/>
            <wp:effectExtent l="0" t="0" r="0" b="0"/>
            <wp:docPr id="24608" name="Picture 24608"/>
            <wp:cNvGraphicFramePr/>
            <a:graphic xmlns:a="http://schemas.openxmlformats.org/drawingml/2006/main">
              <a:graphicData uri="http://schemas.openxmlformats.org/drawingml/2006/picture">
                <pic:pic xmlns:pic="http://schemas.openxmlformats.org/drawingml/2006/picture">
                  <pic:nvPicPr>
                    <pic:cNvPr id="24608" name="Picture 24608"/>
                    <pic:cNvPicPr/>
                  </pic:nvPicPr>
                  <pic:blipFill>
                    <a:blip r:embed="rId390"/>
                    <a:stretch>
                      <a:fillRect/>
                    </a:stretch>
                  </pic:blipFill>
                  <pic:spPr>
                    <a:xfrm>
                      <a:off x="0" y="0"/>
                      <a:ext cx="4788535" cy="2440305"/>
                    </a:xfrm>
                    <a:prstGeom prst="rect">
                      <a:avLst/>
                    </a:prstGeom>
                  </pic:spPr>
                </pic:pic>
              </a:graphicData>
            </a:graphic>
          </wp:inline>
        </w:drawing>
      </w:r>
      <w:r>
        <w:t xml:space="preserve"> </w:t>
      </w:r>
    </w:p>
    <w:p w:rsidR="002C0F56" w:rsidRDefault="00E67C6E">
      <w:pPr>
        <w:spacing w:after="5" w:line="271" w:lineRule="auto"/>
        <w:ind w:left="1395" w:right="396" w:hanging="10"/>
        <w:jc w:val="left"/>
      </w:pPr>
      <w:r>
        <w:rPr>
          <w:b/>
          <w:sz w:val="24"/>
        </w:rPr>
        <w:t xml:space="preserve">Рис. 1. Компоненты индекса телекоммуникационной инфраструктуры </w:t>
      </w:r>
    </w:p>
    <w:p w:rsidR="002C0F56" w:rsidRDefault="00E67C6E">
      <w:pPr>
        <w:spacing w:after="25" w:line="259" w:lineRule="auto"/>
        <w:ind w:left="744" w:firstLine="0"/>
        <w:jc w:val="left"/>
      </w:pPr>
      <w:r>
        <w:t xml:space="preserve"> </w:t>
      </w:r>
    </w:p>
    <w:p w:rsidR="002C0F56" w:rsidRDefault="00E67C6E">
      <w:pPr>
        <w:spacing w:after="11"/>
        <w:ind w:left="165" w:right="873"/>
      </w:pPr>
      <w:r>
        <w:t xml:space="preserve"> </w:t>
      </w:r>
      <w:r>
        <w:t xml:space="preserve">Падение данного индекса обусловлено, прежде всего, недостаточно высокими темпами развития фиксированного широкополосного доступа к интернету и уменьшением плотности фиксированной телефонной связи [2]. </w:t>
      </w:r>
    </w:p>
    <w:p w:rsidR="002C0F56" w:rsidRDefault="00E67C6E">
      <w:pPr>
        <w:spacing w:after="10"/>
        <w:ind w:left="165" w:right="869"/>
      </w:pPr>
      <w:r>
        <w:t xml:space="preserve">Отрицательную динамику также продемонстрировал индекс </w:t>
      </w:r>
      <w:r>
        <w:t xml:space="preserve">развития человеческого капитала – в 2014 году он снизился с 0,88 до 0,83, а в 2016 опустился до 0,82. Падение данного индекса за шесть лет превысило 11%. </w:t>
      </w:r>
      <w:r>
        <w:lastRenderedPageBreak/>
        <w:t>Основными направлениями оценки данного индекса являются: уровень грамотности среди взрослого населения</w:t>
      </w:r>
      <w:r>
        <w:t xml:space="preserve"> и совокупная доля учащихся (рис.2).  </w:t>
      </w:r>
    </w:p>
    <w:p w:rsidR="002C0F56" w:rsidRDefault="00E67C6E">
      <w:pPr>
        <w:spacing w:after="0" w:line="259" w:lineRule="auto"/>
        <w:ind w:left="2357" w:firstLine="0"/>
        <w:jc w:val="left"/>
      </w:pPr>
      <w:r>
        <w:rPr>
          <w:noProof/>
        </w:rPr>
        <w:drawing>
          <wp:inline distT="0" distB="0" distL="0" distR="0">
            <wp:extent cx="3712210" cy="1656080"/>
            <wp:effectExtent l="0" t="0" r="0" b="0"/>
            <wp:docPr id="24630" name="Picture 24630"/>
            <wp:cNvGraphicFramePr/>
            <a:graphic xmlns:a="http://schemas.openxmlformats.org/drawingml/2006/main">
              <a:graphicData uri="http://schemas.openxmlformats.org/drawingml/2006/picture">
                <pic:pic xmlns:pic="http://schemas.openxmlformats.org/drawingml/2006/picture">
                  <pic:nvPicPr>
                    <pic:cNvPr id="24630" name="Picture 24630"/>
                    <pic:cNvPicPr/>
                  </pic:nvPicPr>
                  <pic:blipFill>
                    <a:blip r:embed="rId391"/>
                    <a:stretch>
                      <a:fillRect/>
                    </a:stretch>
                  </pic:blipFill>
                  <pic:spPr>
                    <a:xfrm>
                      <a:off x="0" y="0"/>
                      <a:ext cx="3712210" cy="1656080"/>
                    </a:xfrm>
                    <a:prstGeom prst="rect">
                      <a:avLst/>
                    </a:prstGeom>
                  </pic:spPr>
                </pic:pic>
              </a:graphicData>
            </a:graphic>
          </wp:inline>
        </w:drawing>
      </w:r>
      <w:r>
        <w:t xml:space="preserve"> </w:t>
      </w:r>
    </w:p>
    <w:p w:rsidR="002C0F56" w:rsidRDefault="00E67C6E">
      <w:pPr>
        <w:spacing w:after="5" w:line="271" w:lineRule="auto"/>
        <w:ind w:left="1722" w:right="396" w:hanging="10"/>
        <w:jc w:val="left"/>
      </w:pPr>
      <w:r>
        <w:rPr>
          <w:b/>
          <w:sz w:val="24"/>
        </w:rPr>
        <w:t xml:space="preserve">Рис.2 . Компоненты, входящие в индекс человеческого капитала </w:t>
      </w:r>
    </w:p>
    <w:p w:rsidR="002C0F56" w:rsidRDefault="00E67C6E">
      <w:pPr>
        <w:spacing w:after="25" w:line="259" w:lineRule="auto"/>
        <w:ind w:left="744" w:firstLine="0"/>
        <w:jc w:val="left"/>
      </w:pPr>
      <w:r>
        <w:t xml:space="preserve"> </w:t>
      </w:r>
    </w:p>
    <w:p w:rsidR="002C0F56" w:rsidRDefault="00E67C6E">
      <w:pPr>
        <w:ind w:left="744" w:right="302" w:firstLine="0"/>
      </w:pPr>
      <w:r>
        <w:t xml:space="preserve">Индекс человеческого капитала рассчитывается по формуле:  </w:t>
      </w:r>
    </w:p>
    <w:p w:rsidR="002C0F56" w:rsidRDefault="00E67C6E">
      <w:pPr>
        <w:spacing w:after="35" w:line="259" w:lineRule="auto"/>
        <w:ind w:left="744" w:firstLine="0"/>
        <w:jc w:val="left"/>
      </w:pPr>
      <w:r>
        <w:t xml:space="preserve"> </w:t>
      </w:r>
    </w:p>
    <w:p w:rsidR="002C0F56" w:rsidRDefault="00E67C6E">
      <w:pPr>
        <w:spacing w:after="15" w:line="268" w:lineRule="auto"/>
        <w:ind w:left="10" w:right="821" w:hanging="10"/>
        <w:jc w:val="center"/>
      </w:pPr>
      <w:r>
        <w:t xml:space="preserve">ИНД </w:t>
      </w:r>
      <w:r>
        <w:rPr>
          <w:vertAlign w:val="subscript"/>
        </w:rPr>
        <w:t>ч к</w:t>
      </w:r>
      <w:r>
        <w:t xml:space="preserve"> =2/3 Индекс уровня грамотности +1/3 Индекс доли учащихся. </w:t>
      </w:r>
    </w:p>
    <w:p w:rsidR="002C0F56" w:rsidRDefault="00E67C6E">
      <w:pPr>
        <w:spacing w:after="0" w:line="259" w:lineRule="auto"/>
        <w:ind w:left="744" w:firstLine="0"/>
        <w:jc w:val="left"/>
      </w:pPr>
      <w:r>
        <w:t xml:space="preserve"> </w:t>
      </w:r>
    </w:p>
    <w:p w:rsidR="002C0F56" w:rsidRDefault="00E67C6E">
      <w:pPr>
        <w:spacing w:after="0"/>
        <w:ind w:left="165" w:right="872"/>
      </w:pPr>
      <w:r>
        <w:t xml:space="preserve">По данным экспертов в ближайшее время не стоит ожидать существенного роста данного индекса, поскольку уровень грамотности взрослого населения и охват различными видами образования в России приблизился к максимально возможному значению. Важнейшей задачей в </w:t>
      </w:r>
      <w:r>
        <w:t xml:space="preserve">сложившихся условиях становится задача подготовки специалистов в сфере информационных технологий, способных участвовать в реализации проектов электронного правительства на всех уровнях управления [3]. </w:t>
      </w:r>
    </w:p>
    <w:p w:rsidR="002C0F56" w:rsidRDefault="00E67C6E">
      <w:pPr>
        <w:spacing w:after="0"/>
        <w:ind w:left="165" w:right="874"/>
      </w:pPr>
      <w:r>
        <w:t>В качестве примера развития регионального электронного</w:t>
      </w:r>
      <w:r>
        <w:t xml:space="preserve"> правительства в России можно привести Ростовскую область. Ростовская область располагается на шестом месте в рейтинге субъектов Российской Федерации по уровню внедрения электронного правительства, занимая лидирующую позицию в Южном федеральном округе.  </w:t>
      </w:r>
    </w:p>
    <w:p w:rsidR="002C0F56" w:rsidRDefault="00E67C6E">
      <w:pPr>
        <w:spacing w:after="0"/>
        <w:ind w:left="165" w:right="870"/>
      </w:pPr>
      <w:r>
        <w:t>П</w:t>
      </w:r>
      <w:r>
        <w:t>о результатам экспертного опроса был составлен список барьеров в реализации концепции электронного муниципалитета в Ростовской области, к ним относятся: недостаточная активность населения, отсутствие спроса на электронные услуги, низкий уровень компьютерно</w:t>
      </w:r>
      <w:r>
        <w:t>й грамотности среди населения; отсутствие экономических механизмов и правовых норм взаимодействия субъектов муниципалитета в едином информационном пространстве; несовместимость форматов и протоколов информационного обмена; низкий уровень квалификации кадро</w:t>
      </w:r>
      <w:r>
        <w:t xml:space="preserve">в в сфере информационных технологий. </w:t>
      </w:r>
    </w:p>
    <w:p w:rsidR="002C0F56" w:rsidRDefault="00E67C6E">
      <w:pPr>
        <w:spacing w:after="0"/>
        <w:ind w:left="165" w:right="873"/>
      </w:pPr>
      <w:r>
        <w:t xml:space="preserve">Были сформулированы основные направления развития концепции электронного муниципалитета в Ростовской области: обеспечение открытости </w:t>
      </w:r>
      <w:r>
        <w:lastRenderedPageBreak/>
        <w:t>информации органов местного самоуправления; организация разработки и создания интегри</w:t>
      </w:r>
      <w:r>
        <w:t xml:space="preserve">рованной автоматизированной территориальной информационной системы [4]. </w:t>
      </w:r>
    </w:p>
    <w:p w:rsidR="002C0F56" w:rsidRDefault="00E67C6E">
      <w:pPr>
        <w:spacing w:after="62"/>
        <w:ind w:left="165" w:right="869"/>
      </w:pPr>
      <w:r>
        <w:t>Поскольку достижение высоких мест в рейтинге ООН является одной из задач государственной программы «Информационное общество», то в заключение хотелось бы отметить основные направления</w:t>
      </w:r>
      <w:r>
        <w:t xml:space="preserve">, на которые необходимо обратить внимание для обеспечения роста места России в рейтинге: </w:t>
      </w:r>
    </w:p>
    <w:p w:rsidR="002C0F56" w:rsidRDefault="00E67C6E">
      <w:pPr>
        <w:numPr>
          <w:ilvl w:val="0"/>
          <w:numId w:val="72"/>
        </w:numPr>
        <w:spacing w:after="60"/>
        <w:ind w:right="586"/>
      </w:pPr>
      <w:r>
        <w:t xml:space="preserve">необходимо доработать сайты указанных ведомств таким образом, чтобы ничего не препятствовало учету необходимых показателей; </w:t>
      </w:r>
    </w:p>
    <w:p w:rsidR="002C0F56" w:rsidRDefault="00E67C6E">
      <w:pPr>
        <w:numPr>
          <w:ilvl w:val="0"/>
          <w:numId w:val="72"/>
        </w:numPr>
        <w:spacing w:after="59"/>
        <w:ind w:right="586"/>
      </w:pPr>
      <w:r>
        <w:t>развивать и совершенствовать на правитель</w:t>
      </w:r>
      <w:r>
        <w:t xml:space="preserve">ственных сайтах средства обратной связи для привлечения граждан в принятие решений; </w:t>
      </w:r>
    </w:p>
    <w:p w:rsidR="002C0F56" w:rsidRDefault="00E67C6E">
      <w:pPr>
        <w:numPr>
          <w:ilvl w:val="0"/>
          <w:numId w:val="72"/>
        </w:numPr>
        <w:ind w:right="586"/>
      </w:pPr>
      <w:r>
        <w:t xml:space="preserve">обеспечить динамичное распространение фиксированного широкополосного доступа к интернету (до настоящего времени он развивался значительно слабее, чем мобильный) [2];  </w:t>
      </w:r>
    </w:p>
    <w:p w:rsidR="002C0F56" w:rsidRDefault="00E67C6E">
      <w:pPr>
        <w:numPr>
          <w:ilvl w:val="0"/>
          <w:numId w:val="72"/>
        </w:numPr>
        <w:spacing w:after="10"/>
        <w:ind w:right="586"/>
      </w:pPr>
      <w:r>
        <w:t>соз</w:t>
      </w:r>
      <w:r>
        <w:t xml:space="preserve">дать условия для эффективного взаимодействия между гражданами и государством, а также обеспечить необходимый уровень популяризации электронных услуг.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73"/>
        </w:numPr>
        <w:spacing w:after="12"/>
        <w:ind w:right="865"/>
      </w:pPr>
      <w:r>
        <w:t xml:space="preserve">United Nations e-Government Survey 2016. E-Government for the People / </w:t>
      </w:r>
    </w:p>
    <w:p w:rsidR="002C0F56" w:rsidRDefault="00E67C6E">
      <w:pPr>
        <w:spacing w:after="12"/>
        <w:ind w:left="165" w:right="302" w:firstLine="0"/>
      </w:pPr>
      <w:r>
        <w:t xml:space="preserve">Department of Economic and Social Affairs. Division for Public Administration and </w:t>
      </w:r>
    </w:p>
    <w:p w:rsidR="002C0F56" w:rsidRDefault="00E67C6E">
      <w:pPr>
        <w:ind w:left="165" w:right="866" w:firstLine="0"/>
      </w:pPr>
      <w:r>
        <w:t xml:space="preserve">Development Management. 2016 [Электронный ресурс]. — Режим доступа: </w:t>
      </w:r>
      <w:hyperlink r:id="rId392">
        <w:r>
          <w:t>http://workspace.un</w:t>
        </w:r>
        <w:r>
          <w:t>pan.org/sites/Internet/Documents/UNPAN96407.pdf</w:t>
        </w:r>
      </w:hyperlink>
      <w:hyperlink r:id="rId393">
        <w:r>
          <w:t>,</w:t>
        </w:r>
      </w:hyperlink>
      <w:r>
        <w:t xml:space="preserve"> свободный, (дата обращения 17.03.17). </w:t>
      </w:r>
    </w:p>
    <w:p w:rsidR="002C0F56" w:rsidRDefault="00E67C6E">
      <w:pPr>
        <w:numPr>
          <w:ilvl w:val="0"/>
          <w:numId w:val="73"/>
        </w:numPr>
        <w:ind w:right="865"/>
      </w:pPr>
      <w:r>
        <w:t xml:space="preserve">Г.И. Абдрахманова и др. [Текст] / Г.И. Абдрахманова // Россия в рейтинге развития </w:t>
      </w:r>
      <w:r>
        <w:t xml:space="preserve">электронного правительства: информационный бюллетень. – М.: ИСИЭЗ НИУ ВШЭ. -  2016. №5(10) .  </w:t>
      </w:r>
    </w:p>
    <w:p w:rsidR="002C0F56" w:rsidRDefault="00E67C6E">
      <w:pPr>
        <w:numPr>
          <w:ilvl w:val="0"/>
          <w:numId w:val="73"/>
        </w:numPr>
        <w:spacing w:after="4"/>
        <w:ind w:right="865"/>
      </w:pPr>
      <w:r>
        <w:t>Овчаренко О.И. Формирование профессиональных компетенций с использованием информационных технологий. [Текст] /Овчаренко О.И. //Современные тенденции в науке, тех</w:t>
      </w:r>
      <w:r>
        <w:t>нике, образовании: материалы междунар. науч. конф. 31 янв. 2016 г. в 3-х частях. - Смоленск: «НОВАЛЕНСО».- 2016. - Ч.2. - С.83-85.  4.</w:t>
      </w:r>
      <w:r>
        <w:rPr>
          <w:rFonts w:ascii="Arial" w:eastAsia="Arial" w:hAnsi="Arial" w:cs="Arial"/>
        </w:rPr>
        <w:t xml:space="preserve"> </w:t>
      </w:r>
      <w:r>
        <w:t xml:space="preserve">Баранов А.В.  </w:t>
      </w:r>
      <w:r>
        <w:t>Формирование электронного правительства в субъекте Российской Федерации: проблемы и перспективы развития региональных проектов. [Текст] / Баранов А.В. //Технологии информационного общества в науке, образовании и культуре: сб. статей XVII Всерос. конф. «Инт</w:t>
      </w:r>
      <w:r>
        <w:t xml:space="preserve">ернет и современное общество».- СПб. 2014. - С.180-188.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lastRenderedPageBreak/>
        <w:t xml:space="preserve"> </w:t>
      </w:r>
    </w:p>
    <w:p w:rsidR="002C0F56" w:rsidRDefault="00E67C6E">
      <w:pPr>
        <w:spacing w:after="25" w:line="259" w:lineRule="auto"/>
        <w:ind w:left="10" w:right="856" w:hanging="10"/>
        <w:jc w:val="right"/>
      </w:pPr>
      <w:r>
        <w:rPr>
          <w:b/>
        </w:rPr>
        <w:t xml:space="preserve">Горохова Л.А. </w:t>
      </w:r>
    </w:p>
    <w:p w:rsidR="002C0F56" w:rsidRDefault="00E67C6E">
      <w:pPr>
        <w:spacing w:after="11" w:line="270" w:lineRule="auto"/>
        <w:ind w:left="10" w:right="862" w:hanging="10"/>
        <w:jc w:val="right"/>
      </w:pPr>
      <w:r>
        <w:t xml:space="preserve">Научный руководитель: Бычкова Н.А. </w:t>
      </w:r>
    </w:p>
    <w:p w:rsidR="002C0F56" w:rsidRDefault="00E67C6E">
      <w:pPr>
        <w:spacing w:after="0" w:line="267" w:lineRule="auto"/>
        <w:ind w:left="905" w:right="860" w:hanging="10"/>
        <w:jc w:val="right"/>
      </w:pPr>
      <w:r>
        <w:rPr>
          <w:i/>
        </w:rPr>
        <w:t xml:space="preserve">Рязанский государственный радиотехнический университет </w:t>
      </w:r>
    </w:p>
    <w:p w:rsidR="002C0F56" w:rsidRDefault="00E67C6E">
      <w:pPr>
        <w:spacing w:after="29" w:line="259" w:lineRule="auto"/>
        <w:ind w:left="744" w:firstLine="0"/>
        <w:jc w:val="left"/>
      </w:pPr>
      <w:r>
        <w:t xml:space="preserve"> </w:t>
      </w:r>
    </w:p>
    <w:p w:rsidR="002C0F56" w:rsidRDefault="00E67C6E">
      <w:pPr>
        <w:pStyle w:val="1"/>
        <w:ind w:left="700" w:right="937"/>
      </w:pPr>
      <w:r>
        <w:t xml:space="preserve">ПРИМЕНЕНИЕ УПРАВЛЕНЧЕСКОГО КОНСАЛТИНГА В  </w:t>
      </w:r>
    </w:p>
    <w:p w:rsidR="002C0F56" w:rsidRDefault="00E67C6E">
      <w:pPr>
        <w:pStyle w:val="1"/>
        <w:ind w:left="700" w:right="937"/>
      </w:pPr>
      <w:r>
        <w:t xml:space="preserve">МУНИЦИПАЛЬНОМ УПРАВЛЕНИИ В ГОРОДЕ РЯЗАНИ </w:t>
      </w:r>
    </w:p>
    <w:p w:rsidR="002C0F56" w:rsidRDefault="00E67C6E">
      <w:pPr>
        <w:spacing w:after="0" w:line="259" w:lineRule="auto"/>
        <w:ind w:left="744" w:firstLine="0"/>
        <w:jc w:val="left"/>
      </w:pPr>
      <w:r>
        <w:rPr>
          <w:b/>
        </w:rPr>
        <w:t xml:space="preserve"> </w:t>
      </w:r>
    </w:p>
    <w:p w:rsidR="002C0F56" w:rsidRDefault="00E67C6E">
      <w:pPr>
        <w:ind w:left="165" w:right="873"/>
      </w:pPr>
      <w:r>
        <w:t>В настоящее время ни одна крупная или мелкая организация не может обойтись без услуг консультирования. Оно развито по всему миру, потому что многие нуждаются в помощи высококвалифицированных специалистов по вопросам поиска новых средств повышения эффекти</w:t>
      </w:r>
      <w:r>
        <w:t xml:space="preserve">вности производства. </w:t>
      </w:r>
    </w:p>
    <w:p w:rsidR="002C0F56" w:rsidRDefault="00E67C6E">
      <w:pPr>
        <w:spacing w:after="0"/>
        <w:ind w:left="165" w:right="866"/>
      </w:pPr>
      <w:r>
        <w:t>Именно благодаря консалтинговым фирмам во многих странах рыночной экономики развивается бизнес. Но не только бизнесу нужны управленческие навыки. Управленческий консалтинг практикуется во всех сферах жизни человека, в том числе в сфер</w:t>
      </w:r>
      <w:r>
        <w:t xml:space="preserve">е государственного и муниципального управления. Эта сфера требует от служащего управленческие, аналитические, организационные, экономические, коммуникативные и многие другие способности. Но на первом месте стоят, конечно же, управленческие способности.  </w:t>
      </w:r>
    </w:p>
    <w:p w:rsidR="002C0F56" w:rsidRDefault="00E67C6E">
      <w:pPr>
        <w:ind w:left="165" w:right="865"/>
      </w:pPr>
      <w:r>
        <w:t>У</w:t>
      </w:r>
      <w:r>
        <w:t>правленческое консультирование (консалтинг) рассматривается с двух разных сторон: как помощь в консультации по структуре и содержанию какойто задачи или серий задач, по решению какой-то проблемы, то есть определенный метод, механизм, причем сам консультант</w:t>
      </w:r>
      <w:r>
        <w:t xml:space="preserve"> не несет ответственность за выполнение задачи, он просто помогает в консультировании человеку, отвечающему за эту проблему; как особый вид профессиональной службы по выявлению управленческой проблемы, ее анализу, нахождению путей решения и возможному соде</w:t>
      </w:r>
      <w:r>
        <w:t xml:space="preserve">йствию в устранении этой проблемы. Обе точки зрения дополняют друг друга и создают объёмное понятие </w:t>
      </w:r>
    </w:p>
    <w:p w:rsidR="002C0F56" w:rsidRDefault="00E67C6E">
      <w:pPr>
        <w:spacing w:after="12"/>
        <w:ind w:left="165" w:right="302" w:firstLine="0"/>
      </w:pPr>
      <w:r>
        <w:t xml:space="preserve">«управленческого консультирования». [1] </w:t>
      </w:r>
    </w:p>
    <w:p w:rsidR="002C0F56" w:rsidRDefault="00E67C6E">
      <w:pPr>
        <w:spacing w:after="11"/>
        <w:ind w:left="165" w:right="877"/>
      </w:pPr>
      <w:r>
        <w:t>Метод консалтинга очень важен для различных организаций и трудовых коллективов. Он помогает совершенствовать практ</w:t>
      </w:r>
      <w:r>
        <w:t xml:space="preserve">ику управления и повышать индивидуальную производительность и эффективность работы в целом. </w:t>
      </w:r>
    </w:p>
    <w:p w:rsidR="002C0F56" w:rsidRDefault="00E67C6E">
      <w:pPr>
        <w:spacing w:after="0"/>
        <w:ind w:left="165" w:right="867"/>
      </w:pPr>
      <w:r>
        <w:t>Что касается российского рынка консалтинга, то он сформировался весьма специфическим образом. В советский период экономика предприятий имела жесткие рамки централизованного планирования и распределения ресурсов, где естественно не было места профессиональн</w:t>
      </w:r>
      <w:r>
        <w:t xml:space="preserve">ым советникам по управлению. Важные изменения в данную ситуацию внес процесс трансформации рынка и </w:t>
      </w:r>
      <w:r>
        <w:lastRenderedPageBreak/>
        <w:t>перемещение центра тяжести принятия хозяйственных решений на уровень предприятий. Руководители предприятий, которые оказались в совершенно непривычных для ни</w:t>
      </w:r>
      <w:r>
        <w:t xml:space="preserve">х экономических условиях, столкнулись с множеством незнакомых для них проблем и сразу стали потенциальным источником огромного спроса на управленческое консультирование. Но для преобразования этого потенциального спроса в действительный понадобились годы. </w:t>
      </w:r>
      <w:r>
        <w:t>Первые ростки деятельности консалтинга появились давно, но профессиональная деятельность в нашей стране возникла немногим более десяти лет назад. Отличительной чертой начального этапа развития рынка управленческого консалтинга в России являлось почти полно</w:t>
      </w:r>
      <w:r>
        <w:t xml:space="preserve">е доминирование крупнейших международных консалтинговых фирм. Появлявшиеся в тот период отечественные консалтинговые объединения не могли составить международным фирмам какой-либо конкуренции. С приходом кризиса 1998 года участники консультационного рынка </w:t>
      </w:r>
      <w:r>
        <w:t>– отечественные и иностранные компании – чувствуют на себе негативное влияние. В результате этого крупнейшим промышленным компаниям и банкам пришлось уменьшить расходы на внешних консультантов. В начале 1999 года спрос на услуги консалтинга вновь появляетс</w:t>
      </w:r>
      <w:r>
        <w:t xml:space="preserve">я, причем с большей силой. </w:t>
      </w:r>
    </w:p>
    <w:p w:rsidR="002C0F56" w:rsidRDefault="00E67C6E">
      <w:pPr>
        <w:spacing w:after="0"/>
        <w:ind w:left="165" w:right="873"/>
      </w:pPr>
      <w:r>
        <w:t>На рынке управленческого консалтинга в России образовалось несколько направлений: совершенствование организационных вопросов, разработка мероприятий для мотивационного управления персоналом, эффективное управления продажами, кад</w:t>
      </w:r>
      <w:r>
        <w:t>ровый потенциал и формирование организационной культуры, стратегическое и операционное планирования, финансовый менеджмента и вопросы бюджетирования. Большое количество больших консалтинговых фирм в России имеют особенность работы в нескольких направлениях</w:t>
      </w:r>
      <w:r>
        <w:t xml:space="preserve"> - аудит, корпоративные финансы, управление, инвестирование, информационные технологии. [2] </w:t>
      </w:r>
    </w:p>
    <w:p w:rsidR="002C0F56" w:rsidRDefault="00E67C6E">
      <w:pPr>
        <w:spacing w:after="10"/>
        <w:ind w:left="165" w:right="867"/>
      </w:pPr>
      <w:r>
        <w:t>По причине несовершенства отношения рынка и отсутствия опыта осмысления его системной организации в виде значительных проектов в России спрос на управленческие кон</w:t>
      </w:r>
      <w:r>
        <w:t>сультационные услуги пока еще недостаточно развит. В настоящий момент можно сделать вывод, что важным условием модернизации экономики РФ в новых социально-экономических условиях становится формирование активно развивающейся системы управления - гарантии со</w:t>
      </w:r>
      <w:r>
        <w:t xml:space="preserve">кращения цикла «исследование производства».  </w:t>
      </w:r>
    </w:p>
    <w:p w:rsidR="002C0F56" w:rsidRDefault="00E67C6E">
      <w:pPr>
        <w:spacing w:after="1"/>
        <w:ind w:left="165" w:right="869"/>
      </w:pPr>
      <w:r>
        <w:t>В результате чего на передний план выходят такие мероприятия, как: создание эффективных научно-технических решений, характерного инновационного фонда; уменьшение финансовых потерь, связанных с формированием, ма</w:t>
      </w:r>
      <w:r>
        <w:t xml:space="preserve">ксимально эффективным введением в производственную практику инноваций и получением от них полной отдачи; масштабное и </w:t>
      </w:r>
      <w:r>
        <w:lastRenderedPageBreak/>
        <w:t>рациональное введение инноваций во все возможные сферы деятельности, в которых они можно получить успех и прибыль. Управленческое консульт</w:t>
      </w:r>
      <w:r>
        <w:t>ирование может быть одним из таких механизмов активизации деятельности. Основными процессами активизации являются: осуществление деятельности по оказанию помощи производственным объектам в процессе определения направлений специализации производства, его мо</w:t>
      </w:r>
      <w:r>
        <w:t xml:space="preserve">дернизации и путей ее осуществления; предоставление практических, научно обоснованных советов тем бизнес - организациям, которые попали в трудное финансовое положение. [3] </w:t>
      </w:r>
    </w:p>
    <w:p w:rsidR="002C0F56" w:rsidRDefault="00E67C6E">
      <w:pPr>
        <w:spacing w:after="0"/>
        <w:ind w:left="165" w:right="866"/>
      </w:pPr>
      <w:r>
        <w:t>В современных условиях функционирования системы публичного управления в различных с</w:t>
      </w:r>
      <w:r>
        <w:t>транах значительно возрастает актуальность проблемы повышения эффективности государственного администрирования. Данная проблема не может быть решена без внедрения в работу органов государственной власти эффективных современных методик управления, адекватны</w:t>
      </w:r>
      <w:r>
        <w:t>х по сложности новым условиям и требующих от системы публичного администрирования открытости, оперативности и адекватности по отношению к запросам внешней среды. Повышение эффективности государственного и муниципального управления является основной целью п</w:t>
      </w:r>
      <w:r>
        <w:t xml:space="preserve">роводимой в современной России административной реформы.  </w:t>
      </w:r>
    </w:p>
    <w:p w:rsidR="002C0F56" w:rsidRDefault="00E67C6E">
      <w:pPr>
        <w:spacing w:after="0"/>
        <w:ind w:left="165" w:right="865"/>
      </w:pPr>
      <w:r>
        <w:t>В международной практике изменения институтов (отношений, организаций, правил функционирования) исполнительной власти определяют понятием «административная реформа». Под этим термином понимаются ко</w:t>
      </w:r>
      <w:r>
        <w:t>мплексные изменения в системе государственного управления: как в функционировании самих органов администрирования (внутренние административные процессы и процедуры), так и в организации взаимодействия с гражданами и различными общественными институтами и о</w:t>
      </w:r>
      <w:r>
        <w:t xml:space="preserve">рганизациями. При этом следует отметить, что административная реформа как проект (программа) охватывает ограниченный период времени. [4] </w:t>
      </w:r>
    </w:p>
    <w:p w:rsidR="002C0F56" w:rsidRDefault="00E67C6E">
      <w:pPr>
        <w:ind w:left="165" w:right="867"/>
      </w:pPr>
      <w:r>
        <w:t>Как демонстрирует практика административных преобразований последних лет в современной России, одной из сложностей про</w:t>
      </w:r>
      <w:r>
        <w:t>водимых реформ является отсутствие единого методического обеспечения реализуемых мероприятий. К примеру, в федеральном законодательстве не сформулировано четкое определение качества публичных услуг. В науке же существует несколько подходов, оценивающих кач</w:t>
      </w:r>
      <w:r>
        <w:t xml:space="preserve">ество услуг с различных позиций. Подход к определению качества государственной (муниципальной) услуги обусловлен с точки зрения двух важнейших параметров:  </w:t>
      </w:r>
    </w:p>
    <w:p w:rsidR="002C0F56" w:rsidRDefault="00E67C6E">
      <w:pPr>
        <w:numPr>
          <w:ilvl w:val="0"/>
          <w:numId w:val="74"/>
        </w:numPr>
        <w:spacing w:after="12"/>
        <w:ind w:right="302"/>
      </w:pPr>
      <w:r>
        <w:t xml:space="preserve">качество содержания ее конечного результата;  </w:t>
      </w:r>
      <w:r>
        <w:tab/>
        <w:t xml:space="preserve"> </w:t>
      </w:r>
    </w:p>
    <w:p w:rsidR="002C0F56" w:rsidRDefault="00E67C6E">
      <w:pPr>
        <w:numPr>
          <w:ilvl w:val="0"/>
          <w:numId w:val="74"/>
        </w:numPr>
        <w:ind w:right="302"/>
      </w:pPr>
      <w:r>
        <w:t>качество получения услуги, связанного с комфортнос</w:t>
      </w:r>
      <w:r>
        <w:t xml:space="preserve">тью её оказания и доступностью для потребителя.  </w:t>
      </w:r>
    </w:p>
    <w:p w:rsidR="002C0F56" w:rsidRDefault="00E67C6E">
      <w:pPr>
        <w:spacing w:after="0"/>
        <w:ind w:left="165" w:right="870"/>
      </w:pPr>
      <w:r>
        <w:lastRenderedPageBreak/>
        <w:t>При этом данные параметры должны быть четко прописаны в административных регламентах и стандартах государственных и муниципальных услуг и выступать в качестве основы формирования системы нормативных требова</w:t>
      </w:r>
      <w:r>
        <w:t>ний к качеству, доступности публичных услуг и комфортности их оказания. На сегодняшний день проблема построения комплексной системы оценки эффективности публичных услуг является актуальной ввиду отсутствия сложившихся общепринятых моделей мониторинга на фе</w:t>
      </w:r>
      <w:r>
        <w:t xml:space="preserve">деральном и региональном уровнях. Все это позволяет сделать вывод, что одним из важных компонентов преобразований в сфере публичного управления является переход на принципы клиентской ориентации в деятельности исполнительных органов государственной власти </w:t>
      </w:r>
      <w:r>
        <w:t xml:space="preserve">и местного самоуправления. При этом важнейшим становится поиск путей повышения качества оказания государственных и муниципальных услуг. [5] </w:t>
      </w:r>
    </w:p>
    <w:p w:rsidR="002C0F56" w:rsidRDefault="00E67C6E">
      <w:pPr>
        <w:ind w:left="165" w:right="865"/>
      </w:pPr>
      <w:r>
        <w:t>Управленческий консалтинг является эффективным механизмом в функционировании любой организации, поэтому представляе</w:t>
      </w:r>
      <w:r>
        <w:t xml:space="preserve">тся целесообразным создание консалтинговой фирмы при органах местного самоуправления, в том числе в городе Рязани и Рязанской области. </w:t>
      </w:r>
    </w:p>
    <w:p w:rsidR="002C0F56" w:rsidRDefault="00E67C6E">
      <w:pPr>
        <w:spacing w:after="12"/>
        <w:ind w:left="744" w:right="302" w:firstLine="0"/>
      </w:pPr>
      <w:r>
        <w:t xml:space="preserve">Данная организация поможет в разрешении следующих вопросов:  </w:t>
      </w:r>
    </w:p>
    <w:p w:rsidR="002C0F56" w:rsidRDefault="00E67C6E">
      <w:pPr>
        <w:numPr>
          <w:ilvl w:val="0"/>
          <w:numId w:val="75"/>
        </w:numPr>
        <w:ind w:right="302"/>
      </w:pPr>
      <w:r>
        <w:t xml:space="preserve">определение подхода в общении с подчиненными (поддержание благоприятной атмосферы работы внутри органа власти);  </w:t>
      </w:r>
    </w:p>
    <w:p w:rsidR="002C0F56" w:rsidRDefault="00E67C6E">
      <w:pPr>
        <w:numPr>
          <w:ilvl w:val="0"/>
          <w:numId w:val="75"/>
        </w:numPr>
        <w:ind w:right="302"/>
      </w:pPr>
      <w:r>
        <w:t xml:space="preserve">выбор наиболее эффективного ежедневного плана действий (принцип тайм-менеджмента);  </w:t>
      </w:r>
    </w:p>
    <w:p w:rsidR="002C0F56" w:rsidRDefault="00E67C6E">
      <w:pPr>
        <w:numPr>
          <w:ilvl w:val="0"/>
          <w:numId w:val="75"/>
        </w:numPr>
        <w:ind w:right="302"/>
      </w:pPr>
      <w:r>
        <w:t>организация хозяйственных вопросов деятельности (различны</w:t>
      </w:r>
      <w:r>
        <w:t xml:space="preserve">е бытовые вопросы по управлению внутри органа власти);  </w:t>
      </w:r>
    </w:p>
    <w:p w:rsidR="002C0F56" w:rsidRDefault="00E67C6E">
      <w:pPr>
        <w:numPr>
          <w:ilvl w:val="0"/>
          <w:numId w:val="75"/>
        </w:numPr>
        <w:ind w:right="302"/>
      </w:pPr>
      <w:r>
        <w:t xml:space="preserve">постоянный мониторинг выполнения задач и программ (аналитика деятельности органа власти, выдача экспертного заключения); </w:t>
      </w:r>
    </w:p>
    <w:p w:rsidR="002C0F56" w:rsidRDefault="00E67C6E">
      <w:pPr>
        <w:numPr>
          <w:ilvl w:val="0"/>
          <w:numId w:val="75"/>
        </w:numPr>
        <w:ind w:right="302"/>
      </w:pPr>
      <w:r>
        <w:t>выявление проблем в деятельности власти (в связи с большой загруженностью орг</w:t>
      </w:r>
      <w:r>
        <w:t xml:space="preserve">анов власти уменьшается контроль выполнения работ). </w:t>
      </w:r>
    </w:p>
    <w:p w:rsidR="002C0F56" w:rsidRDefault="00E67C6E">
      <w:pPr>
        <w:ind w:left="165" w:right="302"/>
      </w:pPr>
      <w:r>
        <w:t>Данную консалтинговую фирму можно вписать в структуру местного самоуправления двумя способами. Первый способ - как совещательный орган при главе муниципального образования города Рязани. Таким образом, с</w:t>
      </w:r>
      <w:r>
        <w:t xml:space="preserve">окращается управленческая цепочка, так как глава муниципального образования – основное лицо взаимодействия с Администрацией города Рязани. [6][7]  </w:t>
      </w:r>
    </w:p>
    <w:p w:rsidR="002C0F56" w:rsidRDefault="00E67C6E">
      <w:pPr>
        <w:spacing w:after="2"/>
        <w:ind w:left="165" w:right="870"/>
      </w:pPr>
      <w:r>
        <w:t>Второй способ – как частную компанию на условиях аутсорсинга. Но в этом случае возникает проблема конфиденци</w:t>
      </w:r>
      <w:r>
        <w:t xml:space="preserve">альности информации. Необходимо тщательно подходить к выбору компании, либо не открывать всю полноту информации.  </w:t>
      </w:r>
    </w:p>
    <w:p w:rsidR="002C0F56" w:rsidRDefault="00E67C6E">
      <w:pPr>
        <w:ind w:left="165" w:right="516"/>
      </w:pPr>
      <w:r>
        <w:t xml:space="preserve">На мой взгляд, целесообразным было бы выбрать первый способ, так как он имеет ряд важных преимуществ: </w:t>
      </w:r>
    </w:p>
    <w:p w:rsidR="002C0F56" w:rsidRDefault="00E67C6E">
      <w:pPr>
        <w:numPr>
          <w:ilvl w:val="0"/>
          <w:numId w:val="76"/>
        </w:numPr>
        <w:ind w:right="302"/>
      </w:pPr>
      <w:r>
        <w:lastRenderedPageBreak/>
        <w:t>органы власти могут свободно предостав</w:t>
      </w:r>
      <w:r>
        <w:t xml:space="preserve">лять информацию без страха нарушения политики конфиденциальности; </w:t>
      </w:r>
    </w:p>
    <w:p w:rsidR="002C0F56" w:rsidRDefault="00E67C6E">
      <w:pPr>
        <w:numPr>
          <w:ilvl w:val="0"/>
          <w:numId w:val="76"/>
        </w:numPr>
        <w:ind w:right="302"/>
      </w:pPr>
      <w:r>
        <w:t xml:space="preserve">к совещательному органу достаточно быстро обратиться при появлении проблемы, и так же быстро можно получить обратную реакцию от него; </w:t>
      </w:r>
    </w:p>
    <w:p w:rsidR="002C0F56" w:rsidRDefault="00E67C6E">
      <w:pPr>
        <w:numPr>
          <w:ilvl w:val="0"/>
          <w:numId w:val="76"/>
        </w:numPr>
        <w:ind w:right="302"/>
      </w:pPr>
      <w:r>
        <w:t xml:space="preserve">цели данной структуры совпадают с целями органа; </w:t>
      </w:r>
    </w:p>
    <w:p w:rsidR="002C0F56" w:rsidRDefault="00E67C6E">
      <w:pPr>
        <w:numPr>
          <w:ilvl w:val="0"/>
          <w:numId w:val="76"/>
        </w:numPr>
        <w:spacing w:after="10"/>
        <w:ind w:right="302"/>
      </w:pPr>
      <w:r>
        <w:t>в си</w:t>
      </w:r>
      <w:r>
        <w:t xml:space="preserve">лу своего внутреннего положения данное консалтинговое образование будет иметь обширную информационную базу, что является большим преимуществом по сравнению с частной компанией. </w:t>
      </w:r>
    </w:p>
    <w:p w:rsidR="002C0F56" w:rsidRDefault="00E67C6E">
      <w:pPr>
        <w:spacing w:after="0"/>
        <w:ind w:left="165" w:right="867"/>
      </w:pPr>
      <w:r>
        <w:t>Таким образом, внедрение управленческого консультирования в структуру муниципа</w:t>
      </w:r>
      <w:r>
        <w:t xml:space="preserve">льного управления города Рязани и Рязанской области является актуальным, так как приобретает важное значение, превращаясь в необходимый предмет теоретической и практической помощи в процессе функционирования органов местного самоуправления. </w:t>
      </w:r>
    </w:p>
    <w:p w:rsidR="002C0F56" w:rsidRDefault="00E67C6E">
      <w:pPr>
        <w:spacing w:after="23" w:line="259" w:lineRule="auto"/>
        <w:ind w:left="744" w:firstLine="0"/>
        <w:jc w:val="left"/>
      </w:pPr>
      <w:r>
        <w:t xml:space="preserve"> </w:t>
      </w:r>
    </w:p>
    <w:p w:rsidR="002C0F56" w:rsidRDefault="00E67C6E">
      <w:pPr>
        <w:spacing w:after="15" w:line="268" w:lineRule="auto"/>
        <w:ind w:left="1262" w:right="1373" w:hanging="10"/>
        <w:jc w:val="center"/>
      </w:pPr>
      <w:r>
        <w:t>Список литер</w:t>
      </w:r>
      <w:r>
        <w:t xml:space="preserve">атуры: </w:t>
      </w:r>
    </w:p>
    <w:p w:rsidR="002C0F56" w:rsidRDefault="00E67C6E">
      <w:pPr>
        <w:ind w:left="165" w:right="867"/>
      </w:pPr>
      <w:r>
        <w:t xml:space="preserve">1.Маринко Г.И. Управленческий консалтинг: Учеб. пособие. - М.: ИНФРАМ, 2005.- 381 с. - (Учебники факультета государственного управления МГУ им. М.В. Ломоносова). </w:t>
      </w:r>
    </w:p>
    <w:p w:rsidR="002C0F56" w:rsidRDefault="00E67C6E">
      <w:pPr>
        <w:ind w:left="165" w:right="302"/>
      </w:pPr>
      <w:r>
        <w:t xml:space="preserve">2. Цыцарова, Т. Е. Управленческое консультирование: текст лекций / Т. Е. Цыцарова. - </w:t>
      </w:r>
      <w:r>
        <w:t xml:space="preserve">Ульяновск: УлГТУ, 2009. - 63 с. </w:t>
      </w:r>
    </w:p>
    <w:p w:rsidR="002C0F56" w:rsidRDefault="00E67C6E">
      <w:pPr>
        <w:ind w:left="165" w:right="864"/>
      </w:pPr>
      <w:r>
        <w:t xml:space="preserve">3..Управленческое консультирование: в 2-х т. Второе издание (переработанное) под ред. Милана Кубра. Пер. с англ. - М.: СП Интерэксперт, 1992. Т. 1 - 319 с., Т. 2 - 350 с. </w:t>
      </w:r>
    </w:p>
    <w:p w:rsidR="002C0F56" w:rsidRDefault="00E67C6E">
      <w:pPr>
        <w:spacing w:after="0"/>
        <w:ind w:left="165" w:right="869"/>
      </w:pPr>
      <w:r>
        <w:t xml:space="preserve">4.Мониторинг государственных и муниципальных услуг в регионе как стратегический инструмент повышения качества регионального управления: опыт, проблемы, рекомендации / С.И. Неделько, А.В. Осташков, С.В. Матюкин, В.Н. Ретинская, И.А. Мурзина, И.Г. Кревский, </w:t>
      </w:r>
      <w:r>
        <w:t xml:space="preserve">А.В. Луканин, О.С. Кошевой. Под общ. ред. В.В. Маркина, А.В. Осташкова. - Москва, 2008. - 321 с.  </w:t>
      </w:r>
    </w:p>
    <w:p w:rsidR="002C0F56" w:rsidRDefault="00E67C6E">
      <w:pPr>
        <w:ind w:left="165" w:right="865"/>
      </w:pPr>
      <w:r>
        <w:t>5.Макарова Ж.А. “Управленческое консультирование как профессиональная деятельность”  Научный журнал ”Фундаментальные исследования” [Электронный ресурс]. Режи</w:t>
      </w:r>
      <w:r>
        <w:t xml:space="preserve">м доступа:  http://www.fundamentalresearch.ru/ru/article/view?id=32461 – (Дата обращения:17.04.17). </w:t>
      </w:r>
    </w:p>
    <w:p w:rsidR="002C0F56" w:rsidRDefault="00E67C6E">
      <w:pPr>
        <w:spacing w:after="9"/>
        <w:ind w:left="165" w:right="871"/>
      </w:pPr>
      <w:r>
        <w:t xml:space="preserve">6.Официальный сайт Администрация города Рязани [Электронный ресурс]. Режим доступа: </w:t>
      </w:r>
      <w:hyperlink r:id="rId394">
        <w:r>
          <w:t>http://admrzn.ru</w:t>
        </w:r>
      </w:hyperlink>
      <w:hyperlink r:id="rId395">
        <w:r>
          <w:t xml:space="preserve"> </w:t>
        </w:r>
      </w:hyperlink>
      <w:r>
        <w:t xml:space="preserve">– (Дата обращения:17.04.17). 7.Официальный сайт Рязанской городской Думы [Электронный ресурс]. Режим доступа: </w:t>
      </w:r>
      <w:hyperlink r:id="rId396">
        <w:r>
          <w:t>http://www.rgdrzn.ru</w:t>
        </w:r>
      </w:hyperlink>
      <w:hyperlink r:id="rId397">
        <w:r>
          <w:t xml:space="preserve"> </w:t>
        </w:r>
      </w:hyperlink>
      <w:r>
        <w:t>– (Дата обращения:17.04</w:t>
      </w:r>
      <w:r>
        <w:t xml:space="preserve">.17). </w:t>
      </w:r>
    </w:p>
    <w:p w:rsidR="002C0F56" w:rsidRDefault="00E67C6E">
      <w:pPr>
        <w:spacing w:after="0" w:line="259" w:lineRule="auto"/>
        <w:ind w:left="744" w:firstLine="0"/>
        <w:jc w:val="left"/>
      </w:pPr>
      <w:r>
        <w:t xml:space="preserve"> </w:t>
      </w:r>
    </w:p>
    <w:p w:rsidR="002C0F56" w:rsidRDefault="00E67C6E">
      <w:pPr>
        <w:spacing w:after="29" w:line="259" w:lineRule="auto"/>
        <w:ind w:left="744" w:firstLine="0"/>
        <w:jc w:val="left"/>
      </w:pPr>
      <w:r>
        <w:lastRenderedPageBreak/>
        <w:t xml:space="preserve"> </w:t>
      </w:r>
    </w:p>
    <w:p w:rsidR="002C0F56" w:rsidRDefault="00E67C6E">
      <w:pPr>
        <w:pStyle w:val="1"/>
        <w:spacing w:after="25" w:line="259" w:lineRule="auto"/>
        <w:ind w:right="856"/>
        <w:jc w:val="right"/>
      </w:pPr>
      <w:r>
        <w:t xml:space="preserve">Готто Я.В., Рыхтер Е.С. </w:t>
      </w:r>
      <w:r>
        <w:rPr>
          <w:b w:val="0"/>
        </w:rPr>
        <w:t xml:space="preserve">Научный руководитель: к.э.н. Забродская К.А. </w:t>
      </w:r>
    </w:p>
    <w:p w:rsidR="002C0F56" w:rsidRDefault="00E67C6E">
      <w:pPr>
        <w:spacing w:after="0" w:line="267" w:lineRule="auto"/>
        <w:ind w:left="905" w:right="860" w:hanging="10"/>
        <w:jc w:val="right"/>
      </w:pPr>
      <w:r>
        <w:rPr>
          <w:i/>
        </w:rPr>
        <w:t xml:space="preserve">Белорусский государственный экономический университет </w:t>
      </w:r>
    </w:p>
    <w:p w:rsidR="002C0F56" w:rsidRDefault="00E67C6E">
      <w:pPr>
        <w:spacing w:after="0" w:line="259" w:lineRule="auto"/>
        <w:ind w:left="744" w:firstLine="0"/>
        <w:jc w:val="left"/>
      </w:pPr>
      <w:r>
        <w:t xml:space="preserve"> </w:t>
      </w:r>
    </w:p>
    <w:p w:rsidR="002C0F56" w:rsidRDefault="00E67C6E">
      <w:pPr>
        <w:pStyle w:val="1"/>
        <w:ind w:left="700" w:right="1377"/>
      </w:pPr>
      <w:r>
        <w:t xml:space="preserve">АНАЛИЗ ДИНАМИКИ ЗАРАБОТНОЙ ПЛАТЫ В РЕСПУБЛИКЕ БЕЛАРУСЬ </w:t>
      </w:r>
    </w:p>
    <w:p w:rsidR="002C0F56" w:rsidRDefault="00E67C6E">
      <w:pPr>
        <w:spacing w:after="0" w:line="259" w:lineRule="auto"/>
        <w:ind w:left="744" w:firstLine="0"/>
        <w:jc w:val="left"/>
      </w:pPr>
      <w:r>
        <w:t xml:space="preserve"> </w:t>
      </w:r>
    </w:p>
    <w:p w:rsidR="002C0F56" w:rsidRDefault="00E67C6E">
      <w:pPr>
        <w:spacing w:after="0"/>
        <w:ind w:left="165" w:right="869"/>
      </w:pPr>
      <w:r>
        <w:t>Особую роль в структуре доходов работника занимает заработная плата. Анализ публикаций по теме исследования [1] показал, что она в настоящее время, и в ближайшие годы остается для подавляющего числа работников основным источником доходов, а значит, и в пер</w:t>
      </w:r>
      <w:r>
        <w:t xml:space="preserve">спективе будет наиболее мощным стимулом повышения результативности труда и производства в целом. </w:t>
      </w:r>
    </w:p>
    <w:p w:rsidR="002C0F56" w:rsidRDefault="00E67C6E">
      <w:pPr>
        <w:spacing w:after="10"/>
        <w:ind w:left="165" w:right="873"/>
      </w:pPr>
      <w:r>
        <w:t xml:space="preserve">Одним из важнейших условий эффективности производства является обеспечение оптимального соотношения между темпами роста производительности труда и заработной </w:t>
      </w:r>
      <w:r>
        <w:t xml:space="preserve">платы (таблица 1).  </w:t>
      </w:r>
    </w:p>
    <w:p w:rsidR="002C0F56" w:rsidRDefault="00E67C6E">
      <w:pPr>
        <w:spacing w:after="0" w:line="259" w:lineRule="auto"/>
        <w:ind w:left="744" w:firstLine="0"/>
        <w:jc w:val="left"/>
      </w:pPr>
      <w:r>
        <w:rPr>
          <w:i/>
        </w:rPr>
        <w:t xml:space="preserve"> </w:t>
      </w:r>
    </w:p>
    <w:p w:rsidR="002C0F56" w:rsidRDefault="00E67C6E">
      <w:pPr>
        <w:pStyle w:val="4"/>
        <w:ind w:right="502"/>
      </w:pPr>
      <w:r>
        <w:rPr>
          <w:b w:val="0"/>
          <w:i/>
        </w:rPr>
        <w:t>Таблица 1</w:t>
      </w:r>
      <w:r>
        <w:rPr>
          <w:b w:val="0"/>
        </w:rPr>
        <w:t xml:space="preserve"> – </w:t>
      </w:r>
      <w:r>
        <w:t xml:space="preserve">Модели соотношений темпов роста производительности труда и заработной платы </w:t>
      </w:r>
    </w:p>
    <w:tbl>
      <w:tblPr>
        <w:tblStyle w:val="TableGrid"/>
        <w:tblW w:w="10197" w:type="dxa"/>
        <w:tblInd w:w="72" w:type="dxa"/>
        <w:tblCellMar>
          <w:top w:w="15" w:type="dxa"/>
          <w:left w:w="108" w:type="dxa"/>
          <w:bottom w:w="0" w:type="dxa"/>
          <w:right w:w="45" w:type="dxa"/>
        </w:tblCellMar>
        <w:tblLook w:val="04A0" w:firstRow="1" w:lastRow="0" w:firstColumn="1" w:lastColumn="0" w:noHBand="0" w:noVBand="1"/>
      </w:tblPr>
      <w:tblGrid>
        <w:gridCol w:w="3341"/>
        <w:gridCol w:w="3344"/>
        <w:gridCol w:w="3512"/>
      </w:tblGrid>
      <w:tr w:rsidR="002C0F56">
        <w:trPr>
          <w:trHeight w:val="1407"/>
        </w:trPr>
        <w:tc>
          <w:tcPr>
            <w:tcW w:w="3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81" w:lineRule="auto"/>
              <w:ind w:left="0" w:firstLine="0"/>
            </w:pPr>
            <w:r>
              <w:rPr>
                <w:sz w:val="24"/>
              </w:rPr>
              <w:t xml:space="preserve">Рост заработной платы </w:t>
            </w:r>
            <w:r>
              <w:rPr>
                <w:b/>
                <w:sz w:val="24"/>
              </w:rPr>
              <w:t>пропорционален</w:t>
            </w:r>
            <w:r>
              <w:rPr>
                <w:sz w:val="24"/>
              </w:rPr>
              <w:t xml:space="preserve"> росту </w:t>
            </w:r>
          </w:p>
          <w:p w:rsidR="002C0F56" w:rsidRDefault="00E67C6E">
            <w:pPr>
              <w:spacing w:after="0" w:line="259" w:lineRule="auto"/>
              <w:ind w:left="0" w:firstLine="0"/>
              <w:jc w:val="left"/>
            </w:pPr>
            <w:r>
              <w:rPr>
                <w:sz w:val="24"/>
              </w:rPr>
              <w:t xml:space="preserve">производительности труда </w:t>
            </w:r>
          </w:p>
        </w:tc>
        <w:tc>
          <w:tcPr>
            <w:tcW w:w="33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80" w:lineRule="auto"/>
              <w:ind w:left="2" w:firstLine="0"/>
            </w:pPr>
            <w:r>
              <w:rPr>
                <w:sz w:val="24"/>
              </w:rPr>
              <w:t xml:space="preserve">Рост заработной платы </w:t>
            </w:r>
            <w:r>
              <w:rPr>
                <w:b/>
                <w:sz w:val="24"/>
              </w:rPr>
              <w:t>отстает</w:t>
            </w:r>
            <w:r>
              <w:rPr>
                <w:sz w:val="24"/>
              </w:rPr>
              <w:t xml:space="preserve"> от роста </w:t>
            </w:r>
          </w:p>
          <w:p w:rsidR="002C0F56" w:rsidRDefault="00E67C6E">
            <w:pPr>
              <w:spacing w:after="0" w:line="259" w:lineRule="auto"/>
              <w:ind w:left="2" w:firstLine="0"/>
              <w:jc w:val="left"/>
            </w:pPr>
            <w:r>
              <w:rPr>
                <w:sz w:val="24"/>
              </w:rPr>
              <w:t xml:space="preserve">производительности труда; </w:t>
            </w:r>
          </w:p>
        </w:tc>
        <w:tc>
          <w:tcPr>
            <w:tcW w:w="35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80" w:lineRule="auto"/>
              <w:ind w:left="2" w:firstLine="0"/>
            </w:pPr>
            <w:r>
              <w:rPr>
                <w:sz w:val="24"/>
              </w:rPr>
              <w:t>Рост за</w:t>
            </w:r>
            <w:r>
              <w:rPr>
                <w:sz w:val="24"/>
              </w:rPr>
              <w:t xml:space="preserve">работной платы </w:t>
            </w:r>
            <w:r>
              <w:rPr>
                <w:b/>
                <w:sz w:val="24"/>
              </w:rPr>
              <w:t>опережает</w:t>
            </w:r>
            <w:r>
              <w:rPr>
                <w:sz w:val="24"/>
              </w:rPr>
              <w:t xml:space="preserve"> рост </w:t>
            </w:r>
          </w:p>
          <w:p w:rsidR="002C0F56" w:rsidRDefault="00E67C6E">
            <w:pPr>
              <w:spacing w:after="0" w:line="259" w:lineRule="auto"/>
              <w:ind w:left="2" w:firstLine="0"/>
              <w:jc w:val="left"/>
            </w:pPr>
            <w:r>
              <w:rPr>
                <w:sz w:val="24"/>
              </w:rPr>
              <w:t xml:space="preserve">производительности труда </w:t>
            </w:r>
          </w:p>
        </w:tc>
      </w:tr>
      <w:tr w:rsidR="002C0F56">
        <w:trPr>
          <w:trHeight w:val="2494"/>
        </w:trPr>
        <w:tc>
          <w:tcPr>
            <w:tcW w:w="3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Первую модель можно считать идеальной. На макроуровне она не порождает инфляции, а на микроуровне обеспечивает стимул к повышению производительности труда работников. </w:t>
            </w:r>
          </w:p>
        </w:tc>
        <w:tc>
          <w:tcPr>
            <w:tcW w:w="33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38" w:lineRule="auto"/>
              <w:ind w:left="2" w:firstLine="0"/>
            </w:pPr>
            <w:r>
              <w:rPr>
                <w:sz w:val="24"/>
              </w:rPr>
              <w:t xml:space="preserve">Вторая модель обеспечивает повышение темпов </w:t>
            </w:r>
          </w:p>
          <w:p w:rsidR="002C0F56" w:rsidRDefault="00E67C6E">
            <w:pPr>
              <w:spacing w:after="0" w:line="259" w:lineRule="auto"/>
              <w:ind w:left="2" w:firstLine="0"/>
              <w:jc w:val="left"/>
            </w:pPr>
            <w:r>
              <w:rPr>
                <w:sz w:val="24"/>
              </w:rPr>
              <w:t xml:space="preserve">расширенного воспроизводства и не должна порождать инфляцию, но не содержит </w:t>
            </w:r>
            <w:r>
              <w:rPr>
                <w:sz w:val="24"/>
              </w:rPr>
              <w:tab/>
              <w:t xml:space="preserve">стимула </w:t>
            </w:r>
            <w:r>
              <w:rPr>
                <w:sz w:val="24"/>
              </w:rPr>
              <w:tab/>
              <w:t xml:space="preserve">к повышению производительности труда. </w:t>
            </w:r>
          </w:p>
        </w:tc>
        <w:tc>
          <w:tcPr>
            <w:tcW w:w="35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38" w:lineRule="auto"/>
              <w:ind w:left="2" w:right="62" w:firstLine="0"/>
            </w:pPr>
            <w:r>
              <w:rPr>
                <w:sz w:val="24"/>
              </w:rPr>
              <w:t xml:space="preserve">Третья стимулирует рост производительности труда, но порождает инфляцию. </w:t>
            </w:r>
          </w:p>
          <w:p w:rsidR="002C0F56" w:rsidRDefault="00E67C6E">
            <w:pPr>
              <w:spacing w:after="0" w:line="238" w:lineRule="auto"/>
              <w:ind w:left="2" w:firstLine="0"/>
            </w:pPr>
            <w:r>
              <w:rPr>
                <w:sz w:val="24"/>
              </w:rPr>
              <w:t>Проблема в д</w:t>
            </w:r>
            <w:r>
              <w:rPr>
                <w:sz w:val="24"/>
              </w:rPr>
              <w:t xml:space="preserve">анном случае состоит в ограничении </w:t>
            </w:r>
          </w:p>
          <w:p w:rsidR="002C0F56" w:rsidRDefault="00E67C6E">
            <w:pPr>
              <w:spacing w:after="0" w:line="259" w:lineRule="auto"/>
              <w:ind w:left="2" w:right="63" w:firstLine="0"/>
            </w:pPr>
            <w:r>
              <w:rPr>
                <w:sz w:val="24"/>
              </w:rPr>
              <w:t xml:space="preserve">возможности производственного накопления и сдерживании расширенного воспроизводства. </w:t>
            </w:r>
          </w:p>
        </w:tc>
      </w:tr>
      <w:tr w:rsidR="002C0F56">
        <w:trPr>
          <w:trHeight w:val="1390"/>
        </w:trPr>
        <w:tc>
          <w:tcPr>
            <w:tcW w:w="3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6855"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right="65" w:firstLine="0"/>
            </w:pPr>
            <w:r>
              <w:rPr>
                <w:sz w:val="24"/>
              </w:rPr>
              <w:t xml:space="preserve">Во второй и третьей моделях затруднение состоит в определении оптимального соотношения темпов прироста данных показателей, так как может быть нарушена связь между затратами труда и его оплатой, что приведет к снижению его производительности. </w:t>
            </w:r>
          </w:p>
        </w:tc>
      </w:tr>
    </w:tbl>
    <w:p w:rsidR="002C0F56" w:rsidRDefault="00E67C6E">
      <w:pPr>
        <w:spacing w:after="5" w:line="271" w:lineRule="auto"/>
        <w:ind w:left="673" w:hanging="10"/>
        <w:jc w:val="left"/>
      </w:pPr>
      <w:r>
        <w:rPr>
          <w:sz w:val="24"/>
        </w:rPr>
        <w:t xml:space="preserve">Источник: собственная разработка на основе [2] </w:t>
      </w:r>
    </w:p>
    <w:p w:rsidR="002C0F56" w:rsidRDefault="00E67C6E">
      <w:pPr>
        <w:spacing w:after="0" w:line="259" w:lineRule="auto"/>
        <w:ind w:left="744" w:firstLine="0"/>
        <w:jc w:val="left"/>
      </w:pPr>
      <w:r>
        <w:t xml:space="preserve"> </w:t>
      </w:r>
      <w:r>
        <w:tab/>
        <w:t xml:space="preserve"> </w:t>
      </w:r>
    </w:p>
    <w:p w:rsidR="002C0F56" w:rsidRDefault="00E67C6E">
      <w:pPr>
        <w:spacing w:after="11"/>
        <w:ind w:left="165" w:right="875"/>
      </w:pPr>
      <w:r>
        <w:lastRenderedPageBreak/>
        <w:t xml:space="preserve">Сокращение разрыва в темпах роста производительности труда и реальной заработной платы является одной из актуальных задач, стоящих перед экономикой страны.  </w:t>
      </w:r>
    </w:p>
    <w:p w:rsidR="002C0F56" w:rsidRDefault="00E67C6E">
      <w:pPr>
        <w:spacing w:after="10"/>
        <w:ind w:left="165" w:right="874"/>
      </w:pPr>
      <w:r>
        <w:t>Анализ соотношения темпов роста производительн</w:t>
      </w:r>
      <w:r>
        <w:t xml:space="preserve">ости труда и заработной платы (рисунок 1) показал, что до 2014 года для Республики Беларусь был характерен третий вариант модели. </w:t>
      </w:r>
    </w:p>
    <w:p w:rsidR="002C0F56" w:rsidRDefault="00E67C6E">
      <w:pPr>
        <w:spacing w:after="0" w:line="259" w:lineRule="auto"/>
        <w:ind w:left="0" w:right="108" w:firstLine="0"/>
        <w:jc w:val="right"/>
      </w:pPr>
      <w:r>
        <w:rPr>
          <w:noProof/>
        </w:rPr>
        <w:drawing>
          <wp:inline distT="0" distB="0" distL="0" distR="0">
            <wp:extent cx="6199505" cy="3026410"/>
            <wp:effectExtent l="0" t="0" r="0" b="0"/>
            <wp:docPr id="25518" name="Picture 25518"/>
            <wp:cNvGraphicFramePr/>
            <a:graphic xmlns:a="http://schemas.openxmlformats.org/drawingml/2006/main">
              <a:graphicData uri="http://schemas.openxmlformats.org/drawingml/2006/picture">
                <pic:pic xmlns:pic="http://schemas.openxmlformats.org/drawingml/2006/picture">
                  <pic:nvPicPr>
                    <pic:cNvPr id="25518" name="Picture 25518"/>
                    <pic:cNvPicPr/>
                  </pic:nvPicPr>
                  <pic:blipFill>
                    <a:blip r:embed="rId398"/>
                    <a:stretch>
                      <a:fillRect/>
                    </a:stretch>
                  </pic:blipFill>
                  <pic:spPr>
                    <a:xfrm>
                      <a:off x="0" y="0"/>
                      <a:ext cx="6199505" cy="3026410"/>
                    </a:xfrm>
                    <a:prstGeom prst="rect">
                      <a:avLst/>
                    </a:prstGeom>
                  </pic:spPr>
                </pic:pic>
              </a:graphicData>
            </a:graphic>
          </wp:inline>
        </w:drawing>
      </w:r>
      <w:r>
        <w:t xml:space="preserve"> </w:t>
      </w:r>
    </w:p>
    <w:p w:rsidR="002C0F56" w:rsidRDefault="00E67C6E">
      <w:pPr>
        <w:spacing w:after="5" w:line="271" w:lineRule="auto"/>
        <w:ind w:left="356" w:right="396" w:hanging="10"/>
        <w:jc w:val="left"/>
      </w:pPr>
      <w:r>
        <w:rPr>
          <w:b/>
          <w:sz w:val="24"/>
        </w:rPr>
        <w:t xml:space="preserve">Рис. 1. Соотношение темпов роста производительности труда и заработной платы, % </w:t>
      </w:r>
    </w:p>
    <w:p w:rsidR="002C0F56" w:rsidRDefault="00E67C6E">
      <w:pPr>
        <w:spacing w:after="5" w:line="271" w:lineRule="auto"/>
        <w:ind w:left="673" w:hanging="10"/>
        <w:jc w:val="left"/>
      </w:pPr>
      <w:r>
        <w:rPr>
          <w:sz w:val="24"/>
        </w:rPr>
        <w:t>Источник: собственная разработка на основ</w:t>
      </w:r>
      <w:r>
        <w:rPr>
          <w:sz w:val="24"/>
        </w:rPr>
        <w:t xml:space="preserve">е [3, 4] </w:t>
      </w:r>
    </w:p>
    <w:p w:rsidR="002C0F56" w:rsidRDefault="00E67C6E">
      <w:pPr>
        <w:spacing w:after="0" w:line="259" w:lineRule="auto"/>
        <w:ind w:left="744" w:firstLine="0"/>
        <w:jc w:val="left"/>
      </w:pPr>
      <w:r>
        <w:t xml:space="preserve"> </w:t>
      </w:r>
    </w:p>
    <w:p w:rsidR="002C0F56" w:rsidRDefault="00E67C6E">
      <w:pPr>
        <w:spacing w:after="5" w:line="268" w:lineRule="auto"/>
        <w:ind w:left="165" w:right="293" w:firstLine="554"/>
        <w:jc w:val="left"/>
      </w:pPr>
      <w:r>
        <w:t xml:space="preserve">Как видно из приведенных данных в 2014 году были обеспечены опережающие темпы роста производительности труда над темпами заработной платы. В 2016 году это соотношение несколько улучшилось и составило 1,06.  </w:t>
      </w:r>
    </w:p>
    <w:p w:rsidR="002C0F56" w:rsidRDefault="00E67C6E">
      <w:pPr>
        <w:spacing w:after="2"/>
        <w:ind w:left="165" w:right="873"/>
      </w:pPr>
      <w:r>
        <w:t>В настоящее время в реальном секторе экономики главным условием роста заработной платы является эффективность хозяйствования организаций, в том числе опережающие темпы роста производительности труда над темпами роста заработной платы, и их финансовое состо</w:t>
      </w:r>
      <w:r>
        <w:t xml:space="preserve">яние [5]. </w:t>
      </w:r>
    </w:p>
    <w:p w:rsidR="002C0F56" w:rsidRDefault="00E67C6E">
      <w:pPr>
        <w:spacing w:after="0"/>
        <w:ind w:left="165" w:right="871"/>
      </w:pPr>
      <w:r>
        <w:t>Ученые отмечают, что уровень дохода зависит не только от производительности труда, но и от выбора специальности работника, а точнее, популярности последней на трудовом рынке [6]. В процессе исследования нами были определены следующие самые востр</w:t>
      </w:r>
      <w:r>
        <w:t>ебованные профессии: менеджер по продажам, продавец-консультант, инженерные специальности, программист, врач, педагог, повар и швея [6]. Однако не по всем из них имеется возможность получать высокую заработную плату, так как действует фактор простоты получ</w:t>
      </w:r>
      <w:r>
        <w:t xml:space="preserve">ения некоторых профессий.  </w:t>
      </w:r>
    </w:p>
    <w:p w:rsidR="002C0F56" w:rsidRDefault="00E67C6E">
      <w:pPr>
        <w:spacing w:after="9"/>
        <w:ind w:left="165" w:right="874"/>
      </w:pPr>
      <w:r>
        <w:lastRenderedPageBreak/>
        <w:t xml:space="preserve">На основе данных Национального статистического комитета Республики Беларусь нами был построен рейтинг средней заработной платы работников по отраслям (рисунок 2): </w:t>
      </w:r>
    </w:p>
    <w:p w:rsidR="002C0F56" w:rsidRDefault="00E67C6E">
      <w:pPr>
        <w:spacing w:after="0" w:line="259" w:lineRule="auto"/>
        <w:ind w:left="744" w:firstLine="0"/>
        <w:jc w:val="left"/>
      </w:pPr>
      <w:r>
        <w:t xml:space="preserve"> </w:t>
      </w:r>
    </w:p>
    <w:p w:rsidR="002C0F56" w:rsidRDefault="00E67C6E">
      <w:pPr>
        <w:spacing w:after="0" w:line="259" w:lineRule="auto"/>
        <w:ind w:left="0" w:right="60" w:firstLine="0"/>
        <w:jc w:val="right"/>
      </w:pPr>
      <w:r>
        <w:rPr>
          <w:noProof/>
        </w:rPr>
        <w:drawing>
          <wp:inline distT="0" distB="0" distL="0" distR="0">
            <wp:extent cx="6229985" cy="2529840"/>
            <wp:effectExtent l="0" t="0" r="0" b="0"/>
            <wp:docPr id="25576" name="Picture 25576"/>
            <wp:cNvGraphicFramePr/>
            <a:graphic xmlns:a="http://schemas.openxmlformats.org/drawingml/2006/main">
              <a:graphicData uri="http://schemas.openxmlformats.org/drawingml/2006/picture">
                <pic:pic xmlns:pic="http://schemas.openxmlformats.org/drawingml/2006/picture">
                  <pic:nvPicPr>
                    <pic:cNvPr id="25576" name="Picture 25576"/>
                    <pic:cNvPicPr/>
                  </pic:nvPicPr>
                  <pic:blipFill>
                    <a:blip r:embed="rId399"/>
                    <a:stretch>
                      <a:fillRect/>
                    </a:stretch>
                  </pic:blipFill>
                  <pic:spPr>
                    <a:xfrm>
                      <a:off x="0" y="0"/>
                      <a:ext cx="6229985" cy="2529840"/>
                    </a:xfrm>
                    <a:prstGeom prst="rect">
                      <a:avLst/>
                    </a:prstGeom>
                  </pic:spPr>
                </pic:pic>
              </a:graphicData>
            </a:graphic>
          </wp:inline>
        </w:drawing>
      </w:r>
      <w:r>
        <w:t xml:space="preserve"> </w:t>
      </w:r>
    </w:p>
    <w:p w:rsidR="002C0F56" w:rsidRDefault="00E67C6E">
      <w:pPr>
        <w:spacing w:after="5" w:line="271" w:lineRule="auto"/>
        <w:ind w:left="4542" w:right="497" w:hanging="3716"/>
        <w:jc w:val="left"/>
      </w:pPr>
      <w:r>
        <w:rPr>
          <w:i/>
          <w:sz w:val="24"/>
        </w:rPr>
        <w:t>Рис. 2.</w:t>
      </w:r>
      <w:r>
        <w:rPr>
          <w:sz w:val="24"/>
        </w:rPr>
        <w:t xml:space="preserve"> </w:t>
      </w:r>
      <w:r>
        <w:rPr>
          <w:b/>
          <w:sz w:val="24"/>
        </w:rPr>
        <w:t>Средняя заработная плата работников по состоянию на</w:t>
      </w:r>
      <w:r>
        <w:rPr>
          <w:b/>
          <w:sz w:val="24"/>
        </w:rPr>
        <w:t xml:space="preserve"> декабрь 2016 года, бел. руб. </w:t>
      </w:r>
    </w:p>
    <w:p w:rsidR="002C0F56" w:rsidRDefault="00E67C6E">
      <w:pPr>
        <w:spacing w:after="5" w:line="271" w:lineRule="auto"/>
        <w:ind w:left="673" w:hanging="10"/>
        <w:jc w:val="left"/>
      </w:pPr>
      <w:r>
        <w:rPr>
          <w:sz w:val="24"/>
        </w:rPr>
        <w:t xml:space="preserve">Источник: собственная разработка на основе [7] </w:t>
      </w:r>
    </w:p>
    <w:p w:rsidR="002C0F56" w:rsidRDefault="00E67C6E">
      <w:pPr>
        <w:spacing w:after="27" w:line="259" w:lineRule="auto"/>
        <w:ind w:left="744" w:firstLine="0"/>
        <w:jc w:val="left"/>
      </w:pPr>
      <w:r>
        <w:rPr>
          <w:b/>
        </w:rPr>
        <w:t xml:space="preserve"> </w:t>
      </w:r>
    </w:p>
    <w:p w:rsidR="002C0F56" w:rsidRDefault="00E67C6E">
      <w:pPr>
        <w:spacing w:after="9"/>
        <w:ind w:left="165" w:right="866"/>
      </w:pPr>
      <w:r>
        <w:t>Самую высокую зарплату по-прежнему получают IT-специалисты: в декабре прошлого года она составила 3502,8 рубля. Самую маленькую зарплату в декабре имели социальные работники —</w:t>
      </w:r>
      <w:r>
        <w:t xml:space="preserve"> 435,3 рубля. Таким образом, у ITспециалистов средняя зарплата была в восемь раз больше, чем у работников сферы социальных услуг. </w:t>
      </w:r>
    </w:p>
    <w:p w:rsidR="002C0F56" w:rsidRDefault="00E67C6E">
      <w:pPr>
        <w:spacing w:after="0" w:line="259" w:lineRule="auto"/>
        <w:ind w:left="0" w:right="214" w:firstLine="0"/>
        <w:jc w:val="right"/>
      </w:pPr>
      <w:r>
        <w:rPr>
          <w:noProof/>
        </w:rPr>
        <w:drawing>
          <wp:inline distT="0" distB="0" distL="0" distR="0">
            <wp:extent cx="6132195" cy="2868295"/>
            <wp:effectExtent l="0" t="0" r="0" b="0"/>
            <wp:docPr id="25608" name="Picture 25608"/>
            <wp:cNvGraphicFramePr/>
            <a:graphic xmlns:a="http://schemas.openxmlformats.org/drawingml/2006/main">
              <a:graphicData uri="http://schemas.openxmlformats.org/drawingml/2006/picture">
                <pic:pic xmlns:pic="http://schemas.openxmlformats.org/drawingml/2006/picture">
                  <pic:nvPicPr>
                    <pic:cNvPr id="25608" name="Picture 25608"/>
                    <pic:cNvPicPr/>
                  </pic:nvPicPr>
                  <pic:blipFill>
                    <a:blip r:embed="rId400"/>
                    <a:stretch>
                      <a:fillRect/>
                    </a:stretch>
                  </pic:blipFill>
                  <pic:spPr>
                    <a:xfrm>
                      <a:off x="0" y="0"/>
                      <a:ext cx="6132195" cy="2868295"/>
                    </a:xfrm>
                    <a:prstGeom prst="rect">
                      <a:avLst/>
                    </a:prstGeom>
                  </pic:spPr>
                </pic:pic>
              </a:graphicData>
            </a:graphic>
          </wp:inline>
        </w:drawing>
      </w:r>
      <w:r>
        <w:rPr>
          <w:b/>
        </w:rPr>
        <w:t xml:space="preserve"> </w:t>
      </w:r>
    </w:p>
    <w:p w:rsidR="002C0F56" w:rsidRDefault="00E67C6E">
      <w:pPr>
        <w:spacing w:after="5" w:line="271" w:lineRule="auto"/>
        <w:ind w:left="3812" w:right="841" w:hanging="2098"/>
        <w:jc w:val="left"/>
      </w:pPr>
      <w:r>
        <w:rPr>
          <w:b/>
          <w:sz w:val="24"/>
        </w:rPr>
        <w:lastRenderedPageBreak/>
        <w:t xml:space="preserve">Рис. 3. Динамика среднемесячной заработной платы в Беларуси, долларов США и бел. руб. </w:t>
      </w:r>
    </w:p>
    <w:p w:rsidR="002C0F56" w:rsidRDefault="00E67C6E">
      <w:pPr>
        <w:spacing w:after="5" w:line="271" w:lineRule="auto"/>
        <w:ind w:left="673" w:hanging="10"/>
        <w:jc w:val="left"/>
      </w:pPr>
      <w:r>
        <w:rPr>
          <w:sz w:val="24"/>
        </w:rPr>
        <w:t xml:space="preserve">Источник: собственная разработка на основе [3, 8] </w:t>
      </w:r>
    </w:p>
    <w:p w:rsidR="002C0F56" w:rsidRDefault="00E67C6E">
      <w:pPr>
        <w:spacing w:after="0" w:line="259" w:lineRule="auto"/>
        <w:ind w:left="744" w:firstLine="0"/>
        <w:jc w:val="left"/>
      </w:pPr>
      <w:r>
        <w:t xml:space="preserve"> </w:t>
      </w:r>
    </w:p>
    <w:p w:rsidR="002C0F56" w:rsidRDefault="00E67C6E">
      <w:pPr>
        <w:ind w:left="165" w:right="869"/>
      </w:pPr>
      <w:r>
        <w:t>Средняя номинальная начисленная заработная плата в декабре 2016 года составила 801,6 рубля или примерно 400 долларов. Вместе с тем это не соответствует прогнозу Минэкономики, которое ожидало рост этого п</w:t>
      </w:r>
      <w:r>
        <w:t xml:space="preserve">оказателя в декабре на 14% по отношению к декабрю 2015 года — до 884,1 рубля. </w:t>
      </w:r>
    </w:p>
    <w:p w:rsidR="002C0F56" w:rsidRDefault="00E67C6E">
      <w:pPr>
        <w:ind w:left="165" w:right="302" w:firstLine="0"/>
      </w:pPr>
      <w:r>
        <w:t xml:space="preserve">Исторический максимум зарплат в долларовом эквиваленте можно было наблюдать в июле 2014 года – 629,6 долларов. </w:t>
      </w:r>
      <w:r>
        <w:rPr>
          <w:i/>
        </w:rPr>
        <w:t xml:space="preserve"> </w:t>
      </w:r>
    </w:p>
    <w:p w:rsidR="002C0F56" w:rsidRDefault="00E67C6E">
      <w:pPr>
        <w:ind w:left="165" w:right="302"/>
      </w:pPr>
      <w:r>
        <w:t>Изменение средней заработной платы в Республике Беларусь в декаб</w:t>
      </w:r>
      <w:r>
        <w:t xml:space="preserve">ре 2016 года по областям выглядит следующим образом (рисунок 4):  </w:t>
      </w:r>
    </w:p>
    <w:p w:rsidR="002C0F56" w:rsidRDefault="00E67C6E">
      <w:pPr>
        <w:spacing w:after="0" w:line="259" w:lineRule="auto"/>
        <w:ind w:left="0" w:right="89" w:firstLine="0"/>
        <w:jc w:val="right"/>
      </w:pPr>
      <w:r>
        <w:rPr>
          <w:noProof/>
        </w:rPr>
        <w:drawing>
          <wp:inline distT="0" distB="0" distL="0" distR="0">
            <wp:extent cx="6211570" cy="1901825"/>
            <wp:effectExtent l="0" t="0" r="0" b="0"/>
            <wp:docPr id="25657" name="Picture 25657"/>
            <wp:cNvGraphicFramePr/>
            <a:graphic xmlns:a="http://schemas.openxmlformats.org/drawingml/2006/main">
              <a:graphicData uri="http://schemas.openxmlformats.org/drawingml/2006/picture">
                <pic:pic xmlns:pic="http://schemas.openxmlformats.org/drawingml/2006/picture">
                  <pic:nvPicPr>
                    <pic:cNvPr id="25657" name="Picture 25657"/>
                    <pic:cNvPicPr/>
                  </pic:nvPicPr>
                  <pic:blipFill>
                    <a:blip r:embed="rId401"/>
                    <a:stretch>
                      <a:fillRect/>
                    </a:stretch>
                  </pic:blipFill>
                  <pic:spPr>
                    <a:xfrm>
                      <a:off x="0" y="0"/>
                      <a:ext cx="6211570" cy="1901825"/>
                    </a:xfrm>
                    <a:prstGeom prst="rect">
                      <a:avLst/>
                    </a:prstGeom>
                  </pic:spPr>
                </pic:pic>
              </a:graphicData>
            </a:graphic>
          </wp:inline>
        </w:drawing>
      </w:r>
      <w:r>
        <w:t xml:space="preserve"> </w:t>
      </w:r>
    </w:p>
    <w:p w:rsidR="002C0F56" w:rsidRDefault="00E67C6E">
      <w:pPr>
        <w:spacing w:after="5" w:line="271" w:lineRule="auto"/>
        <w:ind w:left="1580" w:right="396" w:hanging="10"/>
        <w:jc w:val="left"/>
      </w:pPr>
      <w:r>
        <w:rPr>
          <w:b/>
          <w:sz w:val="24"/>
        </w:rPr>
        <w:t xml:space="preserve">Рис. 4. Средняя заработная плата в Беларуси по областям, бел. руб. </w:t>
      </w:r>
    </w:p>
    <w:p w:rsidR="002C0F56" w:rsidRDefault="00E67C6E">
      <w:pPr>
        <w:spacing w:after="5" w:line="271" w:lineRule="auto"/>
        <w:ind w:left="673" w:hanging="10"/>
        <w:jc w:val="left"/>
      </w:pPr>
      <w:r>
        <w:rPr>
          <w:sz w:val="24"/>
        </w:rPr>
        <w:t xml:space="preserve">Источник: собственная разработка на основе [4] </w:t>
      </w:r>
    </w:p>
    <w:p w:rsidR="002C0F56" w:rsidRDefault="00E67C6E">
      <w:pPr>
        <w:spacing w:after="0" w:line="259" w:lineRule="auto"/>
        <w:ind w:left="744" w:firstLine="0"/>
        <w:jc w:val="left"/>
      </w:pPr>
      <w:r>
        <w:t xml:space="preserve"> </w:t>
      </w:r>
    </w:p>
    <w:p w:rsidR="002C0F56" w:rsidRDefault="00E67C6E">
      <w:pPr>
        <w:spacing w:after="5" w:line="268" w:lineRule="auto"/>
        <w:ind w:left="165" w:right="293" w:firstLine="554"/>
        <w:jc w:val="left"/>
      </w:pPr>
      <w:r>
        <w:t xml:space="preserve">Сравнительный анализ средней заработной платы за декабрь 2016 года по областям Республики Беларусь показал, что лидирующую позицию сохраняет город Минск с показателем 1151,8 рублей. Это обусловлено серьезными производственными </w:t>
      </w:r>
      <w:r>
        <w:tab/>
        <w:t xml:space="preserve">мощностями, </w:t>
      </w:r>
      <w:r>
        <w:tab/>
        <w:t>сосредоточенным</w:t>
      </w:r>
      <w:r>
        <w:t xml:space="preserve">и </w:t>
      </w:r>
      <w:r>
        <w:tab/>
        <w:t xml:space="preserve">там, </w:t>
      </w:r>
      <w:r>
        <w:tab/>
        <w:t xml:space="preserve">сохраняется тенденция притока населения в столицу на постоянное место жительства, что позволяет удовлетворить потребность в специалистах не только на текущих рабочих местах, но и вновь создаваемых. Здесь концентрируется потенциал не только </w:t>
      </w:r>
      <w:r>
        <w:tab/>
        <w:t>тяжело</w:t>
      </w:r>
      <w:r>
        <w:t xml:space="preserve">й </w:t>
      </w:r>
      <w:r>
        <w:tab/>
        <w:t xml:space="preserve">и </w:t>
      </w:r>
      <w:r>
        <w:tab/>
        <w:t xml:space="preserve">легкой </w:t>
      </w:r>
      <w:r>
        <w:tab/>
        <w:t xml:space="preserve">промышленности, </w:t>
      </w:r>
      <w:r>
        <w:tab/>
        <w:t xml:space="preserve">но </w:t>
      </w:r>
      <w:r>
        <w:tab/>
        <w:t xml:space="preserve">и </w:t>
      </w:r>
      <w:r>
        <w:tab/>
        <w:t xml:space="preserve">науки, </w:t>
      </w:r>
      <w:r>
        <w:tab/>
        <w:t xml:space="preserve">культуры, информационных технологий, развлекательной индустрии.  </w:t>
      </w:r>
    </w:p>
    <w:p w:rsidR="002C0F56" w:rsidRDefault="00E67C6E">
      <w:pPr>
        <w:ind w:left="165" w:right="873"/>
      </w:pPr>
      <w:r>
        <w:t xml:space="preserve">Далее следуют Минская и Брестская области (зарплаты 803,5 рублей и 702,8 рублей соответственно). Самая низкая средняя заработная плата отмечена </w:t>
      </w:r>
      <w:r>
        <w:t xml:space="preserve">в Могилевской и Витебской областях – 666,0, рублей и 669,0 рублей соответственно.  </w:t>
      </w:r>
    </w:p>
    <w:p w:rsidR="002C0F56" w:rsidRDefault="00E67C6E">
      <w:pPr>
        <w:spacing w:after="0"/>
        <w:ind w:left="165" w:right="867"/>
      </w:pPr>
      <w:r>
        <w:t xml:space="preserve">Следует отметить, что ценность заработной платы может изменяться соответственно изменению покупательской способности валюты, в которой она </w:t>
      </w:r>
      <w:r>
        <w:lastRenderedPageBreak/>
        <w:t>начисляется [9]. Поэтому важной з</w:t>
      </w:r>
      <w:r>
        <w:t xml:space="preserve">адачей является корректировка размера номинальной заработной платы для приближения ее к реальной. Для перерасчета номинальной зарплаты учитывается изменение </w:t>
      </w:r>
      <w:hyperlink r:id="rId402">
        <w:r>
          <w:t xml:space="preserve">индекса </w:t>
        </w:r>
      </w:hyperlink>
      <w:hyperlink r:id="rId403">
        <w:r>
          <w:t>потребительских цен</w:t>
        </w:r>
      </w:hyperlink>
      <w:hyperlink r:id="rId404">
        <w:r>
          <w:t xml:space="preserve"> </w:t>
        </w:r>
      </w:hyperlink>
      <w:r>
        <w:t>(рисунок 5). Такие изменения периодически производятся в Республике Беларусь и многих других г</w:t>
      </w:r>
      <w:r>
        <w:t xml:space="preserve">осударствах. На практике законодательные действия направлены на изменение номинальной зарплаты в сторону ее увеличения и имеют целью компенсацию негативного эффекта </w:t>
      </w:r>
      <w:hyperlink r:id="rId405">
        <w:r>
          <w:t>инфляции</w:t>
        </w:r>
      </w:hyperlink>
      <w:hyperlink r:id="rId406">
        <w:r>
          <w:t>.</w:t>
        </w:r>
      </w:hyperlink>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0" w:right="1078" w:firstLine="0"/>
        <w:jc w:val="right"/>
      </w:pPr>
      <w:r>
        <w:rPr>
          <w:noProof/>
        </w:rPr>
        <w:drawing>
          <wp:inline distT="0" distB="0" distL="0" distR="0">
            <wp:extent cx="5941695" cy="2835910"/>
            <wp:effectExtent l="0" t="0" r="0" b="0"/>
            <wp:docPr id="25744" name="Picture 25744"/>
            <wp:cNvGraphicFramePr/>
            <a:graphic xmlns:a="http://schemas.openxmlformats.org/drawingml/2006/main">
              <a:graphicData uri="http://schemas.openxmlformats.org/drawingml/2006/picture">
                <pic:pic xmlns:pic="http://schemas.openxmlformats.org/drawingml/2006/picture">
                  <pic:nvPicPr>
                    <pic:cNvPr id="25744" name="Picture 25744"/>
                    <pic:cNvPicPr/>
                  </pic:nvPicPr>
                  <pic:blipFill>
                    <a:blip r:embed="rId407"/>
                    <a:stretch>
                      <a:fillRect/>
                    </a:stretch>
                  </pic:blipFill>
                  <pic:spPr>
                    <a:xfrm>
                      <a:off x="0" y="0"/>
                      <a:ext cx="5941695" cy="2835910"/>
                    </a:xfrm>
                    <a:prstGeom prst="rect">
                      <a:avLst/>
                    </a:prstGeom>
                  </pic:spPr>
                </pic:pic>
              </a:graphicData>
            </a:graphic>
          </wp:inline>
        </w:drawing>
      </w:r>
      <w:r>
        <w:t xml:space="preserve"> </w:t>
      </w:r>
    </w:p>
    <w:p w:rsidR="002C0F56" w:rsidRDefault="00E67C6E">
      <w:pPr>
        <w:spacing w:after="5" w:line="271" w:lineRule="auto"/>
        <w:ind w:left="2002" w:right="396" w:hanging="1058"/>
        <w:jc w:val="left"/>
      </w:pPr>
      <w:r>
        <w:rPr>
          <w:b/>
          <w:sz w:val="24"/>
        </w:rPr>
        <w:t xml:space="preserve">Рис. 5. Изменение базового индекса потребительских цен и средней заработной платы в Беларуси за 2016 год по месяцам, % и бел. руб. </w:t>
      </w:r>
    </w:p>
    <w:p w:rsidR="002C0F56" w:rsidRDefault="00E67C6E">
      <w:pPr>
        <w:spacing w:after="5" w:line="271" w:lineRule="auto"/>
        <w:ind w:left="673" w:hanging="10"/>
        <w:jc w:val="left"/>
      </w:pPr>
      <w:r>
        <w:rPr>
          <w:sz w:val="24"/>
        </w:rPr>
        <w:t xml:space="preserve">Источник: собственная разработка на основе [3, 10] </w:t>
      </w:r>
    </w:p>
    <w:p w:rsidR="002C0F56" w:rsidRDefault="00E67C6E">
      <w:pPr>
        <w:spacing w:after="0" w:line="259" w:lineRule="auto"/>
        <w:ind w:left="744" w:firstLine="0"/>
        <w:jc w:val="left"/>
      </w:pPr>
      <w:r>
        <w:t xml:space="preserve"> </w:t>
      </w:r>
    </w:p>
    <w:p w:rsidR="002C0F56" w:rsidRDefault="00E67C6E">
      <w:pPr>
        <w:ind w:left="165" w:right="862"/>
      </w:pPr>
      <w:r>
        <w:t>Снижение реальной зарплаты в годовом изм</w:t>
      </w:r>
      <w:r>
        <w:t>ерении (месяц к месяцу) наблюдается уже год. В январе 2016 года она сократилась на 2,6%, в феврале — на 4,6%, марте — на 3,2%, апреле — на 3,8%, мае — на 4,6%, июне — на 4,5%, июле — на 5,3%, августе — на 3,9%, сентябре — на 4,1%, октябре — на 5%, ноябре —</w:t>
      </w:r>
      <w:r>
        <w:t xml:space="preserve"> на 4,8%. </w:t>
      </w:r>
    </w:p>
    <w:p w:rsidR="002C0F56" w:rsidRDefault="00E67C6E">
      <w:pPr>
        <w:ind w:left="165" w:right="872"/>
      </w:pPr>
      <w:r>
        <w:t>Индексация заработной платы и иных доходов в Республике Беларусь, получаемых из бюджетных источников осуществляется при превышении инфляцией пятипроцентного барьера за расчетный период [11]. Началом расчетного периода является дата предыдущей ин</w:t>
      </w:r>
      <w:r>
        <w:t xml:space="preserve">дексации.  </w:t>
      </w:r>
    </w:p>
    <w:p w:rsidR="002C0F56" w:rsidRDefault="00E67C6E">
      <w:pPr>
        <w:spacing w:after="5"/>
        <w:ind w:left="165" w:right="865"/>
      </w:pPr>
      <w:r>
        <w:t>Можно заметить, что в период экономической нестабильности и инфляции увеличение номинальной заработной платы имеет скорее «догоняющий эффект», т.е. частично компенсирует падение покупательской способности денег, но это увеличение провоцирует но</w:t>
      </w:r>
      <w:r>
        <w:t xml:space="preserve">вый виток инфляции и роста цен. В периоды же </w:t>
      </w:r>
      <w:r>
        <w:lastRenderedPageBreak/>
        <w:t xml:space="preserve">экономического благополучия и стабильности, повышение номинальной зарплаты означает реальный рост доходов граждан. </w:t>
      </w:r>
    </w:p>
    <w:p w:rsidR="002C0F56" w:rsidRDefault="00E67C6E">
      <w:pPr>
        <w:ind w:left="165" w:right="873"/>
      </w:pPr>
      <w:r>
        <w:t xml:space="preserve">По данным Национального статистического комитета, реальная зарплата (с учетом роста потребительских цен на товары и услуги) по итогам прошлого года сократилась на 4% [7]. </w:t>
      </w:r>
    </w:p>
    <w:p w:rsidR="002C0F56" w:rsidRDefault="00E67C6E">
      <w:pPr>
        <w:spacing w:after="10"/>
        <w:ind w:left="165" w:right="871"/>
      </w:pPr>
      <w:r>
        <w:t xml:space="preserve">Заработная плата различается также по странам. Для преодоления негативных тенденций </w:t>
      </w:r>
      <w:r>
        <w:t xml:space="preserve">на рынке труда необходимо изучить передовой опыт развитых государств (рисунок 6), например, стран «Большой семёрки».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rPr>
          <w:b/>
        </w:rPr>
        <w:t xml:space="preserve"> </w:t>
      </w:r>
    </w:p>
    <w:p w:rsidR="002C0F56" w:rsidRDefault="00E67C6E">
      <w:pPr>
        <w:spacing w:after="0" w:line="259" w:lineRule="auto"/>
        <w:ind w:left="0" w:firstLine="0"/>
        <w:jc w:val="right"/>
      </w:pPr>
      <w:r>
        <w:rPr>
          <w:noProof/>
        </w:rPr>
        <w:drawing>
          <wp:inline distT="0" distB="0" distL="0" distR="0">
            <wp:extent cx="6268085" cy="1883410"/>
            <wp:effectExtent l="0" t="0" r="0" b="0"/>
            <wp:docPr id="25839" name="Picture 25839"/>
            <wp:cNvGraphicFramePr/>
            <a:graphic xmlns:a="http://schemas.openxmlformats.org/drawingml/2006/main">
              <a:graphicData uri="http://schemas.openxmlformats.org/drawingml/2006/picture">
                <pic:pic xmlns:pic="http://schemas.openxmlformats.org/drawingml/2006/picture">
                  <pic:nvPicPr>
                    <pic:cNvPr id="25839" name="Picture 25839"/>
                    <pic:cNvPicPr/>
                  </pic:nvPicPr>
                  <pic:blipFill>
                    <a:blip r:embed="rId408"/>
                    <a:stretch>
                      <a:fillRect/>
                    </a:stretch>
                  </pic:blipFill>
                  <pic:spPr>
                    <a:xfrm>
                      <a:off x="0" y="0"/>
                      <a:ext cx="6268085" cy="1883410"/>
                    </a:xfrm>
                    <a:prstGeom prst="rect">
                      <a:avLst/>
                    </a:prstGeom>
                  </pic:spPr>
                </pic:pic>
              </a:graphicData>
            </a:graphic>
          </wp:inline>
        </w:drawing>
      </w:r>
      <w:r>
        <w:t xml:space="preserve"> </w:t>
      </w:r>
    </w:p>
    <w:p w:rsidR="002C0F56" w:rsidRDefault="00E67C6E">
      <w:pPr>
        <w:spacing w:after="5" w:line="271" w:lineRule="auto"/>
        <w:ind w:left="872" w:right="396" w:hanging="10"/>
        <w:jc w:val="left"/>
      </w:pPr>
      <w:r>
        <w:rPr>
          <w:b/>
          <w:sz w:val="24"/>
        </w:rPr>
        <w:t xml:space="preserve">Рис.6. Средняя заработная плата в странах «Большой семёрки», долларов США </w:t>
      </w:r>
    </w:p>
    <w:p w:rsidR="002C0F56" w:rsidRDefault="00E67C6E">
      <w:pPr>
        <w:spacing w:after="5" w:line="271" w:lineRule="auto"/>
        <w:ind w:left="673" w:hanging="10"/>
        <w:jc w:val="left"/>
      </w:pPr>
      <w:r>
        <w:rPr>
          <w:sz w:val="24"/>
        </w:rPr>
        <w:t xml:space="preserve">Источник: собственная разработка на основе [12] </w:t>
      </w:r>
    </w:p>
    <w:p w:rsidR="002C0F56" w:rsidRDefault="00E67C6E">
      <w:pPr>
        <w:spacing w:after="0" w:line="259" w:lineRule="auto"/>
        <w:ind w:left="744" w:firstLine="0"/>
        <w:jc w:val="left"/>
      </w:pPr>
      <w:r>
        <w:t xml:space="preserve"> </w:t>
      </w:r>
    </w:p>
    <w:p w:rsidR="002C0F56" w:rsidRDefault="00E67C6E">
      <w:pPr>
        <w:ind w:left="165" w:right="867"/>
      </w:pPr>
      <w:r>
        <w:t>Анали</w:t>
      </w:r>
      <w:r>
        <w:t xml:space="preserve">з экономического развития указанных стран показал, что уровень средней заработной платы зависит от уровня образования, здравоохранения, науки, культуры, что связано с привлечением инвестиций в инновационное обновление общества.  </w:t>
      </w:r>
    </w:p>
    <w:p w:rsidR="002C0F56" w:rsidRDefault="00E67C6E">
      <w:pPr>
        <w:spacing w:after="5" w:line="268" w:lineRule="auto"/>
        <w:ind w:left="165" w:right="293" w:firstLine="554"/>
        <w:jc w:val="left"/>
      </w:pPr>
      <w:r>
        <w:t>В 2017 году одной из задач</w:t>
      </w:r>
      <w:r>
        <w:t xml:space="preserve"> социально-экономического развития, поставленных </w:t>
      </w:r>
      <w:r>
        <w:tab/>
        <w:t xml:space="preserve">перед </w:t>
      </w:r>
      <w:r>
        <w:tab/>
        <w:t xml:space="preserve">правительством </w:t>
      </w:r>
      <w:r>
        <w:tab/>
        <w:t xml:space="preserve">Республики </w:t>
      </w:r>
      <w:r>
        <w:tab/>
        <w:t xml:space="preserve">Беларусь, </w:t>
      </w:r>
      <w:r>
        <w:tab/>
        <w:t xml:space="preserve">является увеличение заработной платы в валютном эквиваленте до 500 долларов [13]. </w:t>
      </w:r>
    </w:p>
    <w:p w:rsidR="002C0F56" w:rsidRDefault="00E67C6E">
      <w:pPr>
        <w:spacing w:after="0"/>
        <w:ind w:left="165" w:right="872"/>
      </w:pPr>
      <w:r>
        <w:t>Сегодня вопрос адекватного увеличения заработной платы и доходов населения яв</w:t>
      </w:r>
      <w:r>
        <w:t>ляется, вероятно, более важным, чем проблема инфляции и ряд других вопросов экономической политики. Без повышения средней заработной платы по РБ, можно ожидать заметного ослабления внутреннего спроса в экономике, а также усиления оттока квалифицированных к</w:t>
      </w:r>
      <w:r>
        <w:t xml:space="preserve">адров за рубеж. Стагнация реальной (то есть с учетом роста инфляции) зарплаты работников создает предпосылки для роста социальной напряженности в стране. </w:t>
      </w:r>
    </w:p>
    <w:p w:rsidR="002C0F56" w:rsidRDefault="00E67C6E">
      <w:pPr>
        <w:spacing w:after="5"/>
        <w:ind w:left="165" w:right="867"/>
      </w:pPr>
      <w:r>
        <w:t xml:space="preserve">В настоящее время государственной политикой определён целый ряд мер, которые предполагается использовать для ее увеличения. Во-первых, с помощью создания новых рабочих мест, новых предприятий, развития </w:t>
      </w:r>
      <w:r>
        <w:lastRenderedPageBreak/>
        <w:t xml:space="preserve">предпринимательства и инициативы, а также наращивания </w:t>
      </w:r>
      <w:r>
        <w:t xml:space="preserve">экспорта и сокращения затрат. Во-вторых, в бюджетной сфере наращивать зарплату следует за счет мероприятий по оптимизации и росту внебюджетных доходов </w:t>
      </w:r>
    </w:p>
    <w:p w:rsidR="002C0F56" w:rsidRDefault="00E67C6E">
      <w:pPr>
        <w:spacing w:after="12"/>
        <w:ind w:left="165" w:right="302" w:firstLine="0"/>
      </w:pPr>
      <w:r>
        <w:t xml:space="preserve">[13]. </w:t>
      </w:r>
    </w:p>
    <w:p w:rsidR="002C0F56" w:rsidRDefault="00E67C6E">
      <w:pPr>
        <w:ind w:left="165" w:right="867"/>
      </w:pPr>
      <w:r>
        <w:t>В заключении следует отметить, что политика в области оплаты труда является составной частью упра</w:t>
      </w:r>
      <w:r>
        <w:t xml:space="preserve">вления экономикой организации. Обеспечение экономически обоснованных соотношений между темпами роста средней заработной платы и производительности труда – важнейшее условие эффективности хозяйствования организаций всех форм собственности. </w:t>
      </w:r>
      <w:r>
        <w:rPr>
          <w:i/>
        </w:rPr>
        <w:t xml:space="preserve"> </w:t>
      </w:r>
      <w:r>
        <w:t xml:space="preserve">  </w:t>
      </w:r>
    </w:p>
    <w:p w:rsidR="002C0F56" w:rsidRDefault="00E67C6E">
      <w:pPr>
        <w:spacing w:after="15" w:line="268" w:lineRule="auto"/>
        <w:ind w:left="1262" w:right="1375" w:hanging="10"/>
        <w:jc w:val="center"/>
      </w:pPr>
      <w:r>
        <w:t>Список литера</w:t>
      </w:r>
      <w:r>
        <w:t xml:space="preserve">туры: </w:t>
      </w:r>
    </w:p>
    <w:p w:rsidR="002C0F56" w:rsidRDefault="00E67C6E">
      <w:pPr>
        <w:numPr>
          <w:ilvl w:val="0"/>
          <w:numId w:val="77"/>
        </w:numPr>
        <w:ind w:right="585"/>
      </w:pPr>
      <w:r>
        <w:t xml:space="preserve">Кулешова, Т. Заработная плата: сущность, формы, особенности в странах с развитой рыночной экономикой. / Т. Кулешова // Экономическая мозаика. – 2016. – №2. – С.141-142. </w:t>
      </w:r>
    </w:p>
    <w:p w:rsidR="002C0F56" w:rsidRDefault="00E67C6E">
      <w:pPr>
        <w:numPr>
          <w:ilvl w:val="0"/>
          <w:numId w:val="77"/>
        </w:numPr>
        <w:ind w:right="585"/>
      </w:pPr>
      <w:r>
        <w:t>Боровик, Л.С. Взаимосвязь производительности и оплаты труда. / Белорусский экон</w:t>
      </w:r>
      <w:r>
        <w:t xml:space="preserve">омический журнал. -2008. – №1. -С. 70-79. </w:t>
      </w:r>
    </w:p>
    <w:p w:rsidR="002C0F56" w:rsidRDefault="00E67C6E">
      <w:pPr>
        <w:numPr>
          <w:ilvl w:val="0"/>
          <w:numId w:val="77"/>
        </w:numPr>
        <w:ind w:right="585"/>
      </w:pPr>
      <w:r>
        <w:t xml:space="preserve">Динамика номинальной и реальной среднемесячной заработной платы [Электронный ресурс]. – Режим доступа: </w:t>
      </w:r>
      <w:hyperlink r:id="rId409">
        <w:r>
          <w:t>http://www.belstat.gov.by/ofitsialnaya</w:t>
        </w:r>
      </w:hyperlink>
      <w:hyperlink r:id="rId410"/>
      <w:hyperlink r:id="rId411">
        <w:r>
          <w:t>statistika/ssrd</w:t>
        </w:r>
      </w:hyperlink>
      <w:hyperlink r:id="rId412">
        <w:r>
          <w:t>-</w:t>
        </w:r>
      </w:hyperlink>
      <w:hyperlink r:id="rId413">
        <w:r>
          <w:t>mvf_2/natsionalnaya</w:t>
        </w:r>
      </w:hyperlink>
      <w:hyperlink r:id="rId414">
        <w:r>
          <w:t>-</w:t>
        </w:r>
      </w:hyperlink>
      <w:hyperlink r:id="rId415">
        <w:r>
          <w:t>stranitsa</w:t>
        </w:r>
      </w:hyperlink>
      <w:hyperlink r:id="rId416">
        <w:r>
          <w:t>-</w:t>
        </w:r>
      </w:hyperlink>
      <w:hyperlink r:id="rId417">
        <w:r>
          <w:t>svodnyh</w:t>
        </w:r>
      </w:hyperlink>
      <w:hyperlink r:id="rId418">
        <w:r>
          <w:t>-</w:t>
        </w:r>
      </w:hyperlink>
      <w:hyperlink r:id="rId419">
        <w:r>
          <w:t>dannyh/zarabotnaya</w:t>
        </w:r>
      </w:hyperlink>
      <w:hyperlink r:id="rId420">
        <w:r>
          <w:t>-</w:t>
        </w:r>
      </w:hyperlink>
      <w:hyperlink r:id="rId421">
        <w:r>
          <w:t>plata_2/</w:t>
        </w:r>
      </w:hyperlink>
      <w:hyperlink r:id="rId422">
        <w:r>
          <w:t>.</w:t>
        </w:r>
      </w:hyperlink>
      <w:r>
        <w:t xml:space="preserve"> – Дата доступа 14.04.2017. </w:t>
      </w:r>
    </w:p>
    <w:p w:rsidR="002C0F56" w:rsidRDefault="00E67C6E">
      <w:pPr>
        <w:numPr>
          <w:ilvl w:val="0"/>
          <w:numId w:val="77"/>
        </w:numPr>
        <w:ind w:right="585"/>
      </w:pPr>
      <w:r>
        <w:t>Осн</w:t>
      </w:r>
      <w:r>
        <w:t xml:space="preserve">овные социально-экономические показатели по Республике Беларусь, областям и г. Минску [Электронный ресурс]. – Режим доступа: </w:t>
      </w:r>
    </w:p>
    <w:p w:rsidR="002C0F56" w:rsidRDefault="00E67C6E">
      <w:pPr>
        <w:ind w:left="165" w:right="865" w:firstLine="0"/>
      </w:pPr>
      <w:hyperlink r:id="rId423">
        <w:r>
          <w:t>http://www.belstat.gov.by/ofitsialnaya</w:t>
        </w:r>
      </w:hyperlink>
      <w:hyperlink r:id="rId424">
        <w:r>
          <w:t>-</w:t>
        </w:r>
      </w:hyperlink>
      <w:hyperlink r:id="rId425">
        <w:r>
          <w:t>statistika/makroekonomika</w:t>
        </w:r>
      </w:hyperlink>
      <w:hyperlink r:id="rId426">
        <w:r>
          <w:t>-</w:t>
        </w:r>
      </w:hyperlink>
      <w:hyperlink r:id="rId427">
        <w:r>
          <w:t>i</w:t>
        </w:r>
      </w:hyperlink>
      <w:hyperlink r:id="rId428"/>
      <w:hyperlink r:id="rId429">
        <w:r>
          <w:t>okruzhayushchaya</w:t>
        </w:r>
      </w:hyperlink>
      <w:hyperlink r:id="rId430">
        <w:r>
          <w:t>-</w:t>
        </w:r>
      </w:hyperlink>
      <w:hyperlink r:id="rId431">
        <w:r>
          <w:t>sreda/osnovnye</w:t>
        </w:r>
      </w:hyperlink>
      <w:hyperlink r:id="rId432">
        <w:r>
          <w:t>-</w:t>
        </w:r>
      </w:hyperlink>
      <w:hyperlink r:id="rId433">
        <w:r>
          <w:t>pokazateli/osnovnye</w:t>
        </w:r>
      </w:hyperlink>
      <w:hyperlink r:id="rId434">
        <w:r>
          <w:t>-</w:t>
        </w:r>
      </w:hyperlink>
      <w:hyperlink r:id="rId435">
        <w:r>
          <w:t>sotsialno</w:t>
        </w:r>
      </w:hyperlink>
      <w:hyperlink r:id="rId436">
        <w:r>
          <w:t>-</w:t>
        </w:r>
      </w:hyperlink>
      <w:hyperlink r:id="rId437">
        <w:r>
          <w:t>ekonomicheskie</w:t>
        </w:r>
      </w:hyperlink>
      <w:hyperlink r:id="rId438"/>
      <w:hyperlink r:id="rId439">
        <w:r>
          <w:t>pokazateli</w:t>
        </w:r>
      </w:hyperlink>
      <w:hyperlink r:id="rId440">
        <w:r>
          <w:t>-</w:t>
        </w:r>
      </w:hyperlink>
      <w:hyperlink r:id="rId441">
        <w:r>
          <w:t>po</w:t>
        </w:r>
      </w:hyperlink>
      <w:hyperlink r:id="rId442">
        <w:r>
          <w:t>-</w:t>
        </w:r>
      </w:hyperlink>
      <w:hyperlink r:id="rId443">
        <w:r>
          <w:t>respublike</w:t>
        </w:r>
      </w:hyperlink>
      <w:hyperlink r:id="rId444">
        <w:r>
          <w:t>-</w:t>
        </w:r>
      </w:hyperlink>
      <w:hyperlink r:id="rId445">
        <w:r>
          <w:t>belarus</w:t>
        </w:r>
      </w:hyperlink>
      <w:hyperlink r:id="rId446">
        <w:r>
          <w:t>-</w:t>
        </w:r>
      </w:hyperlink>
      <w:hyperlink r:id="rId447">
        <w:r>
          <w:t>oblastyam</w:t>
        </w:r>
      </w:hyperlink>
      <w:hyperlink r:id="rId448">
        <w:r>
          <w:t>-</w:t>
        </w:r>
      </w:hyperlink>
      <w:hyperlink r:id="rId449">
        <w:r>
          <w:t>i</w:t>
        </w:r>
      </w:hyperlink>
      <w:hyperlink r:id="rId450">
        <w:r>
          <w:t>-</w:t>
        </w:r>
      </w:hyperlink>
      <w:hyperlink r:id="rId451">
        <w:r>
          <w:t>g</w:t>
        </w:r>
      </w:hyperlink>
      <w:hyperlink r:id="rId452">
        <w:r>
          <w:t>-</w:t>
        </w:r>
      </w:hyperlink>
      <w:hyperlink r:id="rId453">
        <w:r>
          <w:t>minsku</w:t>
        </w:r>
      </w:hyperlink>
      <w:hyperlink r:id="rId454">
        <w:r>
          <w:t>-</w:t>
        </w:r>
      </w:hyperlink>
      <w:hyperlink r:id="rId455">
        <w:r>
          <w:t>v</w:t>
        </w:r>
      </w:hyperlink>
      <w:hyperlink r:id="rId456">
        <w:r>
          <w:t>-</w:t>
        </w:r>
      </w:hyperlink>
      <w:hyperlink r:id="rId457">
        <w:r>
          <w:t>yanvare</w:t>
        </w:r>
      </w:hyperlink>
      <w:hyperlink r:id="rId458">
        <w:r>
          <w:t>-</w:t>
        </w:r>
      </w:hyperlink>
      <w:hyperlink r:id="rId459">
        <w:r>
          <w:t>20/.</w:t>
        </w:r>
      </w:hyperlink>
      <w:r>
        <w:t xml:space="preserve"> – </w:t>
      </w:r>
      <w:r>
        <w:t xml:space="preserve">Дата доступа 14.04.2017. </w:t>
      </w:r>
    </w:p>
    <w:p w:rsidR="002C0F56" w:rsidRDefault="00E67C6E">
      <w:pPr>
        <w:numPr>
          <w:ilvl w:val="0"/>
          <w:numId w:val="77"/>
        </w:numPr>
        <w:ind w:right="585"/>
      </w:pPr>
      <w:r>
        <w:t xml:space="preserve">Постановление Совмина: зарплату можно повышать только при определенном росте производительности труда [Электронный ресурс]. – Режим доступа: </w:t>
      </w:r>
      <w:hyperlink r:id="rId460">
        <w:r>
          <w:t>https://finance.tut.by/news4331</w:t>
        </w:r>
        <w:r>
          <w:t>95.html</w:t>
        </w:r>
      </w:hyperlink>
      <w:hyperlink r:id="rId461">
        <w:r>
          <w:t>.</w:t>
        </w:r>
      </w:hyperlink>
      <w:r>
        <w:t xml:space="preserve"> – Дата доступа 15.04.2017. </w:t>
      </w:r>
    </w:p>
    <w:p w:rsidR="002C0F56" w:rsidRDefault="00E67C6E">
      <w:pPr>
        <w:numPr>
          <w:ilvl w:val="0"/>
          <w:numId w:val="77"/>
        </w:numPr>
        <w:ind w:right="585"/>
      </w:pPr>
      <w:r>
        <w:t>Зарплата в Беларуси в долларах и российских рублях (средняя в 2016-</w:t>
      </w:r>
    </w:p>
    <w:p w:rsidR="002C0F56" w:rsidRDefault="00E67C6E">
      <w:pPr>
        <w:tabs>
          <w:tab w:val="center" w:pos="1691"/>
          <w:tab w:val="center" w:pos="3500"/>
          <w:tab w:val="center" w:pos="5472"/>
          <w:tab w:val="center" w:pos="6660"/>
          <w:tab w:val="center" w:pos="7765"/>
          <w:tab w:val="center" w:pos="9310"/>
        </w:tabs>
        <w:spacing w:after="12"/>
        <w:ind w:left="0" w:firstLine="0"/>
        <w:jc w:val="left"/>
      </w:pPr>
      <w:r>
        <w:t xml:space="preserve">2017 </w:t>
      </w:r>
      <w:r>
        <w:tab/>
        <w:t xml:space="preserve">году) </w:t>
      </w:r>
      <w:r>
        <w:tab/>
        <w:t xml:space="preserve">[Электронный </w:t>
      </w:r>
      <w:r>
        <w:tab/>
        <w:t xml:space="preserve">ресурс]. </w:t>
      </w:r>
      <w:r>
        <w:tab/>
        <w:t xml:space="preserve">– </w:t>
      </w:r>
      <w:r>
        <w:tab/>
        <w:t xml:space="preserve">Режим </w:t>
      </w:r>
      <w:r>
        <w:tab/>
        <w:t xml:space="preserve">доступа: </w:t>
      </w:r>
    </w:p>
    <w:p w:rsidR="002C0F56" w:rsidRDefault="00E67C6E">
      <w:pPr>
        <w:ind w:left="165" w:right="302" w:firstLine="0"/>
      </w:pPr>
      <w:hyperlink r:id="rId462">
        <w:r>
          <w:t>http://zarplatyinfo.ru/v_mire/zarplata</w:t>
        </w:r>
      </w:hyperlink>
      <w:hyperlink r:id="rId463">
        <w:r>
          <w:t>-</w:t>
        </w:r>
      </w:hyperlink>
      <w:hyperlink r:id="rId464">
        <w:r>
          <w:t>v</w:t>
        </w:r>
      </w:hyperlink>
      <w:hyperlink r:id="rId465">
        <w:r>
          <w:t>-</w:t>
        </w:r>
      </w:hyperlink>
      <w:hyperlink r:id="rId466">
        <w:r>
          <w:t>belarusi</w:t>
        </w:r>
      </w:hyperlink>
      <w:hyperlink r:id="rId467">
        <w:r>
          <w:t>-</w:t>
        </w:r>
      </w:hyperlink>
      <w:hyperlink r:id="rId468">
        <w:r>
          <w:t>v</w:t>
        </w:r>
      </w:hyperlink>
      <w:hyperlink r:id="rId469">
        <w:r>
          <w:t>-</w:t>
        </w:r>
      </w:hyperlink>
      <w:hyperlink r:id="rId470">
        <w:r>
          <w:t>dollarax</w:t>
        </w:r>
      </w:hyperlink>
      <w:hyperlink r:id="rId471">
        <w:r>
          <w:t>-</w:t>
        </w:r>
      </w:hyperlink>
      <w:hyperlink r:id="rId472">
        <w:r>
          <w:t>i</w:t>
        </w:r>
      </w:hyperlink>
      <w:hyperlink r:id="rId473">
        <w:r>
          <w:t>-</w:t>
        </w:r>
      </w:hyperlink>
      <w:hyperlink r:id="rId474">
        <w:r>
          <w:t>rossijskix</w:t>
        </w:r>
      </w:hyperlink>
      <w:hyperlink r:id="rId475">
        <w:r>
          <w:t>-</w:t>
        </w:r>
      </w:hyperlink>
      <w:hyperlink r:id="rId476">
        <w:r>
          <w:t>ru</w:t>
        </w:r>
        <w:r>
          <w:t>blyax</w:t>
        </w:r>
      </w:hyperlink>
      <w:hyperlink r:id="rId477"/>
      <w:hyperlink r:id="rId478">
        <w:r>
          <w:t>srednyaya</w:t>
        </w:r>
      </w:hyperlink>
      <w:hyperlink r:id="rId479">
        <w:r>
          <w:t>-</w:t>
        </w:r>
      </w:hyperlink>
      <w:hyperlink r:id="rId480">
        <w:r>
          <w:t>v</w:t>
        </w:r>
      </w:hyperlink>
      <w:hyperlink r:id="rId481">
        <w:r>
          <w:t>-</w:t>
        </w:r>
      </w:hyperlink>
      <w:hyperlink r:id="rId482">
        <w:r>
          <w:t>2015</w:t>
        </w:r>
      </w:hyperlink>
      <w:hyperlink r:id="rId483">
        <w:r>
          <w:t>-</w:t>
        </w:r>
      </w:hyperlink>
      <w:hyperlink r:id="rId484">
        <w:r>
          <w:t>2016</w:t>
        </w:r>
      </w:hyperlink>
      <w:hyperlink r:id="rId485">
        <w:r>
          <w:t>-</w:t>
        </w:r>
      </w:hyperlink>
      <w:hyperlink r:id="rId486">
        <w:r>
          <w:t>godu.</w:t>
        </w:r>
        <w:r>
          <w:t xml:space="preserve">html. </w:t>
        </w:r>
      </w:hyperlink>
      <w:hyperlink r:id="rId487">
        <w:r>
          <w:t xml:space="preserve">– </w:t>
        </w:r>
      </w:hyperlink>
      <w:hyperlink r:id="rId488">
        <w:r>
          <w:t>Дата доступа 14.04.2017</w:t>
        </w:r>
      </w:hyperlink>
      <w:hyperlink r:id="rId489">
        <w:r>
          <w:t>.</w:t>
        </w:r>
      </w:hyperlink>
      <w:r>
        <w:t xml:space="preserve"> </w:t>
      </w:r>
    </w:p>
    <w:p w:rsidR="002C0F56" w:rsidRDefault="00E67C6E">
      <w:pPr>
        <w:numPr>
          <w:ilvl w:val="0"/>
          <w:numId w:val="78"/>
        </w:numPr>
        <w:ind w:right="302"/>
      </w:pPr>
      <w:r>
        <w:t xml:space="preserve">В Беларуси реальная зарплата в 2016 году уменьшилась на 4% </w:t>
      </w:r>
    </w:p>
    <w:p w:rsidR="002C0F56" w:rsidRDefault="00E67C6E">
      <w:pPr>
        <w:tabs>
          <w:tab w:val="center" w:pos="3625"/>
          <w:tab w:val="center" w:pos="5428"/>
          <w:tab w:val="center" w:pos="7150"/>
          <w:tab w:val="center" w:pos="9310"/>
        </w:tabs>
        <w:spacing w:after="12"/>
        <w:ind w:left="0" w:firstLine="0"/>
        <w:jc w:val="left"/>
      </w:pPr>
      <w:r>
        <w:t xml:space="preserve">[Электронный </w:t>
      </w:r>
      <w:r>
        <w:tab/>
        <w:t xml:space="preserve">ресурс]. </w:t>
      </w:r>
      <w:r>
        <w:tab/>
        <w:t xml:space="preserve">– </w:t>
      </w:r>
      <w:r>
        <w:tab/>
        <w:t xml:space="preserve">Режим </w:t>
      </w:r>
      <w:r>
        <w:tab/>
        <w:t xml:space="preserve">доступа: </w:t>
      </w:r>
    </w:p>
    <w:p w:rsidR="002C0F56" w:rsidRDefault="00E67C6E">
      <w:pPr>
        <w:ind w:left="165" w:right="302" w:firstLine="0"/>
      </w:pPr>
      <w:r>
        <w:t xml:space="preserve">https://eurobelarus.info/news/economy/2017/01/24/v-belarusi-real-naya-zarplata-v2016-godu-umen-shilas-na-4.html. – </w:t>
      </w:r>
      <w:r>
        <w:t xml:space="preserve">Дата доступа 14.04.2017. </w:t>
      </w:r>
    </w:p>
    <w:p w:rsidR="002C0F56" w:rsidRDefault="00E67C6E">
      <w:pPr>
        <w:numPr>
          <w:ilvl w:val="0"/>
          <w:numId w:val="78"/>
        </w:numPr>
        <w:ind w:right="302"/>
      </w:pPr>
      <w:r>
        <w:t xml:space="preserve">Средняя зарплата в Беларуси [Электронный ресурс]. – Режим доступа: </w:t>
      </w:r>
      <w:hyperlink r:id="rId490">
        <w:r>
          <w:t>https://myfin.by/info/srednyaya</w:t>
        </w:r>
      </w:hyperlink>
      <w:hyperlink r:id="rId491">
        <w:r>
          <w:t>-</w:t>
        </w:r>
      </w:hyperlink>
      <w:hyperlink r:id="rId492">
        <w:r>
          <w:t>zarplata</w:t>
        </w:r>
      </w:hyperlink>
      <w:hyperlink r:id="rId493">
        <w:r>
          <w:t>-</w:t>
        </w:r>
      </w:hyperlink>
      <w:hyperlink r:id="rId494">
        <w:r>
          <w:t>v</w:t>
        </w:r>
      </w:hyperlink>
      <w:hyperlink r:id="rId495">
        <w:r>
          <w:t>-</w:t>
        </w:r>
      </w:hyperlink>
      <w:hyperlink r:id="rId496">
        <w:r>
          <w:t>belarusi</w:t>
        </w:r>
      </w:hyperlink>
      <w:hyperlink r:id="rId497">
        <w:r>
          <w:t>.</w:t>
        </w:r>
      </w:hyperlink>
      <w:r>
        <w:t xml:space="preserve"> – Дата доступа 14.04.2017. </w:t>
      </w:r>
    </w:p>
    <w:p w:rsidR="002C0F56" w:rsidRDefault="00E67C6E">
      <w:pPr>
        <w:numPr>
          <w:ilvl w:val="0"/>
          <w:numId w:val="78"/>
        </w:numPr>
        <w:ind w:right="302"/>
      </w:pPr>
      <w:r>
        <w:lastRenderedPageBreak/>
        <w:t>Номинальная заработная пла</w:t>
      </w:r>
      <w:r>
        <w:t xml:space="preserve">та [Электронный ресурс]. – Режим доступа: </w:t>
      </w:r>
      <w:hyperlink r:id="rId498">
        <w:r>
          <w:t>https://myfin.by/wiki/term/nominalnaya</w:t>
        </w:r>
      </w:hyperlink>
      <w:hyperlink r:id="rId499">
        <w:r>
          <w:t>-</w:t>
        </w:r>
      </w:hyperlink>
      <w:hyperlink r:id="rId500">
        <w:r>
          <w:t>zarabotnaya</w:t>
        </w:r>
      </w:hyperlink>
      <w:hyperlink r:id="rId501">
        <w:r>
          <w:t>-</w:t>
        </w:r>
      </w:hyperlink>
      <w:hyperlink r:id="rId502">
        <w:r>
          <w:t xml:space="preserve">plata. </w:t>
        </w:r>
      </w:hyperlink>
      <w:hyperlink r:id="rId503">
        <w:r>
          <w:t xml:space="preserve">– </w:t>
        </w:r>
      </w:hyperlink>
      <w:hyperlink r:id="rId504">
        <w:r>
          <w:t xml:space="preserve">Дата доступа </w:t>
        </w:r>
      </w:hyperlink>
      <w:hyperlink r:id="rId505">
        <w:r>
          <w:t>14.04.2017.</w:t>
        </w:r>
      </w:hyperlink>
      <w:r>
        <w:t xml:space="preserve"> 10. Базовый индекс потребительских цен Консультант Плюс: Белару</w:t>
      </w:r>
      <w:r>
        <w:t xml:space="preserve">сь [Электронный ресурс] / ООО «ЮрСпектр». – Дата доступа: 17.04.2017. </w:t>
      </w:r>
    </w:p>
    <w:p w:rsidR="002C0F56" w:rsidRDefault="00E67C6E">
      <w:pPr>
        <w:numPr>
          <w:ilvl w:val="0"/>
          <w:numId w:val="79"/>
        </w:numPr>
        <w:ind w:right="302"/>
      </w:pPr>
      <w:r>
        <w:t xml:space="preserve">Индексация заработной платы [Электронный ресурс]. – Режим доступа: https://myfin.by/wiki/term/indeksaciya-zarabotnoj-platy. – Дата доступа 14.04.2017. </w:t>
      </w:r>
    </w:p>
    <w:p w:rsidR="002C0F56" w:rsidRDefault="00E67C6E">
      <w:pPr>
        <w:numPr>
          <w:ilvl w:val="0"/>
          <w:numId w:val="79"/>
        </w:numPr>
        <w:ind w:right="302"/>
      </w:pPr>
      <w:r>
        <w:t>Список стран по средней заработно</w:t>
      </w:r>
      <w:r>
        <w:t xml:space="preserve">й плате [Электронный ресурс]. – Режим доступа: </w:t>
      </w:r>
      <w:hyperlink r:id="rId506">
        <w:r>
          <w:t>https://ru.wikipedia.org/wiki</w:t>
        </w:r>
      </w:hyperlink>
      <w:hyperlink r:id="rId507">
        <w:r>
          <w:t>/</w:t>
        </w:r>
      </w:hyperlink>
      <w:r>
        <w:t xml:space="preserve">. – Дата доступа 16.04.2017. </w:t>
      </w:r>
    </w:p>
    <w:p w:rsidR="002C0F56" w:rsidRDefault="00E67C6E">
      <w:pPr>
        <w:numPr>
          <w:ilvl w:val="0"/>
          <w:numId w:val="79"/>
        </w:numPr>
        <w:ind w:right="302"/>
      </w:pPr>
      <w:r>
        <w:t>Правительство подвело первые итоги: по-прежнему иде</w:t>
      </w:r>
      <w:r>
        <w:t xml:space="preserve">м к 1000 рублей зарплаты, но кое-кто мешает [Электронный ресурс]. – Режим доступа: </w:t>
      </w:r>
    </w:p>
    <w:p w:rsidR="002C0F56" w:rsidRDefault="00E67C6E">
      <w:pPr>
        <w:spacing w:after="12"/>
        <w:ind w:left="165" w:right="302" w:firstLine="0"/>
      </w:pPr>
      <w:r>
        <w:t xml:space="preserve">https://people.onliner.by/2017/02/21/sovmin-3. – Дата доступа 15.04.2017.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25" w:line="259" w:lineRule="auto"/>
        <w:ind w:left="10" w:right="856" w:hanging="10"/>
        <w:jc w:val="right"/>
      </w:pPr>
      <w:r>
        <w:rPr>
          <w:b/>
        </w:rPr>
        <w:t xml:space="preserve">Гражданинова Е.Г. </w:t>
      </w:r>
    </w:p>
    <w:p w:rsidR="002C0F56" w:rsidRDefault="00E67C6E">
      <w:pPr>
        <w:spacing w:after="11" w:line="270" w:lineRule="auto"/>
        <w:ind w:left="10" w:right="862" w:hanging="10"/>
        <w:jc w:val="right"/>
      </w:pPr>
      <w:r>
        <w:t xml:space="preserve">Научный руководитель: Капацинская Е.Н., к.э.н., доц.  </w:t>
      </w:r>
    </w:p>
    <w:p w:rsidR="002C0F56" w:rsidRDefault="00E67C6E">
      <w:pPr>
        <w:spacing w:after="0" w:line="267" w:lineRule="auto"/>
        <w:ind w:left="905" w:right="860" w:hanging="10"/>
        <w:jc w:val="right"/>
      </w:pPr>
      <w:r>
        <w:rPr>
          <w:i/>
        </w:rPr>
        <w:t xml:space="preserve">Рязанский государственный радиотехнический университет </w:t>
      </w:r>
    </w:p>
    <w:p w:rsidR="002C0F56" w:rsidRDefault="00E67C6E">
      <w:pPr>
        <w:spacing w:after="30" w:line="259" w:lineRule="auto"/>
        <w:ind w:left="744" w:firstLine="0"/>
        <w:jc w:val="left"/>
      </w:pPr>
      <w:r>
        <w:rPr>
          <w:b/>
        </w:rPr>
        <w:t xml:space="preserve"> </w:t>
      </w:r>
    </w:p>
    <w:p w:rsidR="002C0F56" w:rsidRDefault="00E67C6E">
      <w:pPr>
        <w:pStyle w:val="1"/>
        <w:ind w:left="700" w:right="1376"/>
      </w:pPr>
      <w:r>
        <w:t xml:space="preserve">ОСОБЕННОСТИ РАБОТЫ С КАДРОВЫМИ АГЕНТСТВАМИ В </w:t>
      </w:r>
    </w:p>
    <w:p w:rsidR="002C0F56" w:rsidRDefault="00E67C6E">
      <w:pPr>
        <w:pStyle w:val="1"/>
        <w:ind w:left="700" w:right="1376"/>
      </w:pPr>
      <w:r>
        <w:t xml:space="preserve">ПРОЦЕССЕ ПОДБОРА И НАЙМА ПЕРСОНАЛА </w:t>
      </w:r>
    </w:p>
    <w:p w:rsidR="002C0F56" w:rsidRDefault="00E67C6E">
      <w:pPr>
        <w:spacing w:after="0" w:line="259" w:lineRule="auto"/>
        <w:ind w:left="744" w:firstLine="0"/>
        <w:jc w:val="left"/>
      </w:pPr>
      <w:r>
        <w:t xml:space="preserve"> </w:t>
      </w:r>
    </w:p>
    <w:p w:rsidR="002C0F56" w:rsidRDefault="00E67C6E">
      <w:pPr>
        <w:spacing w:after="0"/>
        <w:ind w:left="165" w:right="871"/>
      </w:pPr>
      <w:r>
        <w:t xml:space="preserve">В современном обществе человека можно считать самым основным ресурсом любой организации. Именно от качества этого </w:t>
      </w:r>
      <w:r>
        <w:t xml:space="preserve">ресурса будет зависеть эффективность деятельности организации и ее преимущества перед конкурентами. Поэтому велика роль управления персоналом в процессе управления любой организацией. </w:t>
      </w:r>
    </w:p>
    <w:p w:rsidR="002C0F56" w:rsidRDefault="00E67C6E">
      <w:pPr>
        <w:spacing w:after="2"/>
        <w:ind w:left="165" w:right="862"/>
      </w:pPr>
      <w:r>
        <w:t>Исходным этапом в процессе управления персоналом является подбор кадров</w:t>
      </w:r>
      <w:r>
        <w:t>. Привлечение, подбор и найм сотрудников считается одной из основных функций управления, так как непосредственно люди обеспечивают действенное применение различных ресурсов, которые доступны для организации. К поиску и подбору персонала необходимо подходит</w:t>
      </w:r>
      <w:r>
        <w:t>ь комплексно, принимая во внимание все без исключения характерные черты данной определенной сферы деятельности. Правильный подбор кадров – это одна из гарантий успеха компании, снижения текучести кадров, эффективности ее работы. Ошибки во время процесса по</w:t>
      </w:r>
      <w:r>
        <w:t xml:space="preserve">дбора персонала (особенно при подборе сотрудников на руководящие должности) достаточно дорого обходятся организации. Убытки от брака продукции, травматизм, принятие ошибочных решений – это лишь малая </w:t>
      </w:r>
      <w:r>
        <w:lastRenderedPageBreak/>
        <w:t xml:space="preserve">часть расходов, с которыми придется столкнуться в итоге </w:t>
      </w:r>
      <w:r>
        <w:t xml:space="preserve">неудовлетворительной работы при подборе новых работников. </w:t>
      </w:r>
    </w:p>
    <w:p w:rsidR="002C0F56" w:rsidRDefault="00E67C6E">
      <w:pPr>
        <w:spacing w:after="0"/>
        <w:ind w:left="165" w:right="863"/>
      </w:pPr>
      <w:r>
        <w:t>Подбор персонала осуществляется из внешних и внутренних источников. Под внешними источниками подразумевают такие источники, с помощью которых поиск персонала ведется за пределами компании. Внутренн</w:t>
      </w:r>
      <w:r>
        <w:t xml:space="preserve">ие же источники дают возможность целесообразно использовать уже имеющиеся ресурсы и резервы организации. </w:t>
      </w:r>
    </w:p>
    <w:p w:rsidR="002C0F56" w:rsidRDefault="00E67C6E">
      <w:pPr>
        <w:ind w:left="165" w:right="867"/>
      </w:pPr>
      <w:r>
        <w:t>Считается, что внутренние источники подбора способствуют более разумному использованию уже имеющихся человеческих ресурсов, повышают интерес персонала</w:t>
      </w:r>
      <w:r>
        <w:t xml:space="preserve"> к работе, дают людям уверенность в завтрашнем дне, определяют их перспективы в организации. Что касается внешних источников, отметим, что набор новых людей просто необходим любой организации. Это порождает новые идеи и взгляды, предотвращает «застой» сред</w:t>
      </w:r>
      <w:r>
        <w:t>и сотрудников, что может впоследствии стать отправной точкой для роста производительности труда и дальнейшего развития организации. Среди внешних источников для поиска можно назвать службы занятости, рекрутинговые агентства, учебные заведения, ярмарки вака</w:t>
      </w:r>
      <w:r>
        <w:t xml:space="preserve">нсий, конкурирующие компании, Интернет-ресурсы, самостоятельные обращения людей и другие.  </w:t>
      </w:r>
    </w:p>
    <w:p w:rsidR="002C0F56" w:rsidRDefault="00E67C6E">
      <w:pPr>
        <w:ind w:left="165" w:right="509"/>
      </w:pPr>
      <w:r>
        <w:t>Рассмотрим более подробно работу с рекрутинговыми агентствами, так как их услуги интересны 35-40% работодателям, и именно подобные агентства обеспечивают достаточно</w:t>
      </w:r>
      <w:r>
        <w:t xml:space="preserve"> высокое качество предлагаемых кандидатов. Сущность деятельности подобного агентства заключается в закрытии вакантных должностей в организациях в соответствии с их заявками за определенное вознаграждение. Прежде чем начать работу с кадровым агентством, пре</w:t>
      </w:r>
      <w:r>
        <w:t>дприятию необходимо собрать соответствующую (или определенную) информацию, изучить репутацию компании, получить информацию о квалификации ее консультантов. Далее уже рекрутер знакомится с деятельностью предприятия, ведутся переговоры по технологии оказания</w:t>
      </w:r>
      <w:r>
        <w:t xml:space="preserve"> услуг. Выясняются такие аспекты работы как стоимость услуг агентства; узнается, может ли агентство предоставить обзор состояния рынка труда, уровня заработной платы искомых работников; имеется ли у агентства четкая процедура отбора соискателей; какая доку</w:t>
      </w:r>
      <w:r>
        <w:t xml:space="preserve">ментация необходима рекрутеру для работы. </w:t>
      </w:r>
    </w:p>
    <w:p w:rsidR="002C0F56" w:rsidRDefault="00E67C6E">
      <w:pPr>
        <w:spacing w:after="0"/>
        <w:ind w:left="165" w:right="863"/>
      </w:pPr>
      <w:r>
        <w:t>Далее работодатель заключает договор с агентством, в котором обязательно уточняется процедура замены кандидата, если это потребуется.  Оформляется заявка на подбор определенного кандидата на вакантное место. После</w:t>
      </w:r>
      <w:r>
        <w:t xml:space="preserve"> детального анализа заявки просматривается обширная база кандидатов кадрового агентства. После фильтрации резюме наиболее подходящие кандидаты приглашаются на собеседование с рекрутером. Рекрутер дает рекомендации кандидатам</w:t>
      </w:r>
      <w:r>
        <w:rPr>
          <w:b/>
        </w:rPr>
        <w:t xml:space="preserve">, </w:t>
      </w:r>
      <w:r>
        <w:t>как подготовиться к собеседова</w:t>
      </w:r>
      <w:r>
        <w:t xml:space="preserve">нию с будущим руководителем: как нужно </w:t>
      </w:r>
      <w:r>
        <w:lastRenderedPageBreak/>
        <w:t>выглядеть, какой стиль общения принят в организации. Подобное предварительное собеседование может стать неким помощником для кандидата в дальнейшем, при собеседовании с потенциальным работодателем. По результатам пров</w:t>
      </w:r>
      <w:r>
        <w:t xml:space="preserve">еденных собеседований и тестирований кадровое агентство отбирает несколько кандидатов для предоставления работодателю. [2]. </w:t>
      </w:r>
    </w:p>
    <w:p w:rsidR="002C0F56" w:rsidRDefault="00E67C6E">
      <w:pPr>
        <w:spacing w:after="57"/>
        <w:ind w:left="165" w:right="302"/>
      </w:pPr>
      <w:r>
        <w:t xml:space="preserve">К преимуществам работы с кадровыми агентствами можно отнести следующие: </w:t>
      </w:r>
    </w:p>
    <w:p w:rsidR="002C0F56" w:rsidRDefault="00E67C6E">
      <w:pPr>
        <w:numPr>
          <w:ilvl w:val="0"/>
          <w:numId w:val="80"/>
        </w:numPr>
        <w:spacing w:after="63"/>
        <w:ind w:right="585"/>
      </w:pPr>
      <w:r>
        <w:t xml:space="preserve">Широкий охват поиска. Хорошее кадровое агентство обладает опытом, широкой базой претендентов, кроме того, у него больше человеческих и технических ресурсов и возможностей для подбора. [1]. </w:t>
      </w:r>
    </w:p>
    <w:p w:rsidR="002C0F56" w:rsidRDefault="00E67C6E">
      <w:pPr>
        <w:numPr>
          <w:ilvl w:val="0"/>
          <w:numId w:val="80"/>
        </w:numPr>
        <w:spacing w:after="63"/>
        <w:ind w:right="585"/>
      </w:pPr>
      <w:r>
        <w:t>Высокое качество оказываемых услуг, профессионализм рекрутеров. Ка</w:t>
      </w:r>
      <w:r>
        <w:t>к правило, у них есть высшее образование (кадровый менеджмент, экономика, психология). В ходе работы консультанты агентства заинтересованы как можно скорее подыскать работодателю необходимого сотрудника, ведь их оплата напрямую зависит от проделанной работ</w:t>
      </w:r>
      <w:r>
        <w:t xml:space="preserve">ы. </w:t>
      </w:r>
    </w:p>
    <w:p w:rsidR="002C0F56" w:rsidRDefault="00E67C6E">
      <w:pPr>
        <w:numPr>
          <w:ilvl w:val="0"/>
          <w:numId w:val="80"/>
        </w:numPr>
        <w:spacing w:after="59"/>
        <w:ind w:right="585"/>
      </w:pPr>
      <w:r>
        <w:t xml:space="preserve">Конфиденциальность. Кадровое агентство вправе предоставлять соискателям лишь ту информацию об организации-нанимателе, которая одобрена заказчиком. </w:t>
      </w:r>
    </w:p>
    <w:p w:rsidR="002C0F56" w:rsidRDefault="00E67C6E">
      <w:pPr>
        <w:numPr>
          <w:ilvl w:val="0"/>
          <w:numId w:val="80"/>
        </w:numPr>
        <w:spacing w:after="59"/>
        <w:ind w:right="585"/>
      </w:pPr>
      <w:r>
        <w:t>Гарантии. Заключив договор с агентством, работодатель вправе рассчитывать на вовремя выполненную, качест</w:t>
      </w:r>
      <w:r>
        <w:t xml:space="preserve">венную работу рекрутера. </w:t>
      </w:r>
    </w:p>
    <w:p w:rsidR="002C0F56" w:rsidRDefault="00E67C6E">
      <w:pPr>
        <w:numPr>
          <w:ilvl w:val="0"/>
          <w:numId w:val="80"/>
        </w:numPr>
        <w:spacing w:after="5" w:line="268" w:lineRule="auto"/>
        <w:ind w:right="585"/>
      </w:pPr>
      <w:r>
        <w:t>Уменьшение расходов предприятия на поиск кандидатов на вакантную должность. На первый взгляд может показаться, что самостоятельный поиск сотрудника обойдется в разы дешевле, чем через обращение в агентство. Но, взвесив и тщательно</w:t>
      </w:r>
      <w:r>
        <w:t xml:space="preserve"> продумав расценки на поиск персонала, можно убедиться в обратном. Все затраты (заработная плата кадровика, телефонные звонки, оборудование места для проведения собеседования, затраты времени на поиск и подбор) будут являться постоянными, соответственно, ч</w:t>
      </w:r>
      <w:r>
        <w:t xml:space="preserve">ем дольше мы ищем работников, тем дороже это обходится для организации. </w:t>
      </w:r>
    </w:p>
    <w:p w:rsidR="002C0F56" w:rsidRDefault="00E67C6E">
      <w:pPr>
        <w:numPr>
          <w:ilvl w:val="0"/>
          <w:numId w:val="80"/>
        </w:numPr>
        <w:ind w:right="585"/>
      </w:pPr>
      <w:r>
        <w:t xml:space="preserve">Скорость выполнения заказа.  Этот параметр очень важен, если компании необходимо срочно закрыть горящие вакансии. </w:t>
      </w:r>
    </w:p>
    <w:p w:rsidR="002C0F56" w:rsidRDefault="00E67C6E">
      <w:pPr>
        <w:spacing w:after="10"/>
        <w:ind w:left="165" w:right="873"/>
      </w:pPr>
      <w:r>
        <w:t>Среди недостатков можно выделить затруднение у организации при выбор</w:t>
      </w:r>
      <w:r>
        <w:t xml:space="preserve">е лучшего агентства, достаточно высокие материальные издержки, отсутствие четких стандартов взаимодействия агентства и организации. </w:t>
      </w:r>
    </w:p>
    <w:p w:rsidR="002C0F56" w:rsidRDefault="00E67C6E">
      <w:pPr>
        <w:spacing w:after="6"/>
        <w:ind w:left="165" w:right="866"/>
      </w:pPr>
      <w:r>
        <w:t>Для того, чтобы работа с кадровыми агентствами была приятной и полезной для обеих сторон, необходимо, прежде всего, получит</w:t>
      </w:r>
      <w:r>
        <w:t>ь достоверную информацию о профессионализме учреждения, наладить хороший контакт между заказчиком и агентством,</w:t>
      </w:r>
      <w:r>
        <w:rPr>
          <w:b/>
        </w:rPr>
        <w:t xml:space="preserve"> </w:t>
      </w:r>
      <w:r>
        <w:t xml:space="preserve">предполагающий долгосрочное сотрудничество при возникновении соответствующих ситуаций, и реально оценивать шансы рекрутера в подборе персонала. </w:t>
      </w:r>
    </w:p>
    <w:p w:rsidR="002C0F56" w:rsidRDefault="00E67C6E">
      <w:pPr>
        <w:spacing w:after="27" w:line="259" w:lineRule="auto"/>
        <w:ind w:left="744" w:firstLine="0"/>
        <w:jc w:val="left"/>
      </w:pPr>
      <w:r>
        <w:lastRenderedPageBreak/>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81"/>
        </w:numPr>
        <w:ind w:right="585"/>
      </w:pPr>
      <w:r>
        <w:t xml:space="preserve">Башкатова Л. И. Подбор персонала через кадровое агентство. Кадры предприятия, 2016, №6, 4 с. </w:t>
      </w:r>
    </w:p>
    <w:p w:rsidR="002C0F56" w:rsidRDefault="00E67C6E">
      <w:pPr>
        <w:numPr>
          <w:ilvl w:val="0"/>
          <w:numId w:val="81"/>
        </w:numPr>
        <w:spacing w:after="0"/>
        <w:ind w:right="585"/>
      </w:pPr>
      <w:r>
        <w:t xml:space="preserve">Кадры бля бизнеса. Зачем нужны кадровые агентства [электронный ресурс] //. – Режим доступа: </w:t>
      </w:r>
      <w:hyperlink r:id="rId508">
        <w:r>
          <w:t>http://ya62.ru/articles/publishing/kadry</w:t>
        </w:r>
      </w:hyperlink>
      <w:hyperlink r:id="rId509">
        <w:r>
          <w:t>-</w:t>
        </w:r>
      </w:hyperlink>
      <w:hyperlink r:id="rId510">
        <w:r>
          <w:t>dlya</w:t>
        </w:r>
      </w:hyperlink>
      <w:hyperlink r:id="rId511">
        <w:r>
          <w:t>-</w:t>
        </w:r>
      </w:hyperlink>
      <w:hyperlink r:id="rId512">
        <w:r>
          <w:t>biznesa</w:t>
        </w:r>
      </w:hyperlink>
      <w:hyperlink r:id="rId513"/>
      <w:hyperlink r:id="rId514">
        <w:r>
          <w:t>zachem</w:t>
        </w:r>
      </w:hyperlink>
      <w:hyperlink r:id="rId515">
        <w:r>
          <w:t>-</w:t>
        </w:r>
      </w:hyperlink>
      <w:hyperlink r:id="rId516">
        <w:r>
          <w:t>nu</w:t>
        </w:r>
        <w:r>
          <w:t>zhny</w:t>
        </w:r>
      </w:hyperlink>
      <w:hyperlink r:id="rId517">
        <w:r>
          <w:t>-</w:t>
        </w:r>
      </w:hyperlink>
      <w:hyperlink r:id="rId518">
        <w:r>
          <w:t>kadrovye</w:t>
        </w:r>
      </w:hyperlink>
      <w:hyperlink r:id="rId519">
        <w:r>
          <w:t>-</w:t>
        </w:r>
      </w:hyperlink>
      <w:hyperlink r:id="rId520">
        <w:r>
          <w:t>agentstva/</w:t>
        </w:r>
      </w:hyperlink>
      <w:hyperlink r:id="rId521">
        <w:r>
          <w:t xml:space="preserve"> </w:t>
        </w:r>
      </w:hyperlink>
    </w:p>
    <w:p w:rsidR="002C0F56" w:rsidRDefault="00E67C6E">
      <w:pPr>
        <w:spacing w:after="0" w:line="259" w:lineRule="auto"/>
        <w:ind w:left="744" w:firstLine="0"/>
        <w:jc w:val="left"/>
      </w:pPr>
      <w:r>
        <w:t xml:space="preserve"> </w:t>
      </w:r>
    </w:p>
    <w:p w:rsidR="002C0F56" w:rsidRDefault="00E67C6E">
      <w:pPr>
        <w:spacing w:after="29" w:line="259" w:lineRule="auto"/>
        <w:ind w:left="744" w:firstLine="0"/>
        <w:jc w:val="left"/>
      </w:pPr>
      <w:r>
        <w:t xml:space="preserve"> </w:t>
      </w:r>
    </w:p>
    <w:p w:rsidR="002C0F56" w:rsidRDefault="00E67C6E">
      <w:pPr>
        <w:spacing w:after="25" w:line="259" w:lineRule="auto"/>
        <w:ind w:left="10" w:right="856" w:hanging="10"/>
        <w:jc w:val="right"/>
      </w:pPr>
      <w:r>
        <w:rPr>
          <w:b/>
        </w:rPr>
        <w:t xml:space="preserve">Гракова М.А., к.э.н., доц.  </w:t>
      </w:r>
    </w:p>
    <w:p w:rsidR="002C0F56" w:rsidRDefault="00E67C6E">
      <w:pPr>
        <w:spacing w:after="0" w:line="267" w:lineRule="auto"/>
        <w:ind w:left="905" w:right="860" w:hanging="10"/>
        <w:jc w:val="right"/>
      </w:pPr>
      <w:r>
        <w:rPr>
          <w:i/>
        </w:rPr>
        <w:t xml:space="preserve">Донбасская национальная академия строительства и архитектуры </w:t>
      </w:r>
    </w:p>
    <w:p w:rsidR="002C0F56" w:rsidRDefault="00E67C6E">
      <w:pPr>
        <w:spacing w:after="30" w:line="259" w:lineRule="auto"/>
        <w:ind w:left="744" w:firstLine="0"/>
        <w:jc w:val="left"/>
      </w:pPr>
      <w:r>
        <w:rPr>
          <w:i/>
        </w:rPr>
        <w:t xml:space="preserve"> </w:t>
      </w:r>
    </w:p>
    <w:p w:rsidR="002C0F56" w:rsidRDefault="00E67C6E">
      <w:pPr>
        <w:pStyle w:val="1"/>
        <w:spacing w:after="15" w:line="271" w:lineRule="auto"/>
        <w:ind w:left="201" w:right="0"/>
        <w:jc w:val="left"/>
      </w:pPr>
      <w:r>
        <w:t xml:space="preserve">ОЦЕНКА ЭФФЕКТИВНОСТИ УПРАВЛЕНИЯ НЕДВИЖИМОСТЬЮ НА </w:t>
      </w:r>
    </w:p>
    <w:p w:rsidR="002C0F56" w:rsidRDefault="00E67C6E">
      <w:pPr>
        <w:pStyle w:val="1"/>
        <w:ind w:left="700" w:right="1376"/>
      </w:pPr>
      <w:r>
        <w:t xml:space="preserve">РАЗНЫХ ЭТАПАХ ЖИЗНЕННОГО ЦИКЛА  </w:t>
      </w:r>
    </w:p>
    <w:p w:rsidR="002C0F56" w:rsidRDefault="00E67C6E">
      <w:pPr>
        <w:spacing w:after="25" w:line="259" w:lineRule="auto"/>
        <w:ind w:left="744" w:firstLine="0"/>
        <w:jc w:val="left"/>
      </w:pPr>
      <w:r>
        <w:rPr>
          <w:b/>
        </w:rPr>
        <w:t xml:space="preserve"> </w:t>
      </w:r>
    </w:p>
    <w:p w:rsidR="002C0F56" w:rsidRDefault="00E67C6E">
      <w:pPr>
        <w:spacing w:after="0"/>
        <w:ind w:left="165" w:right="865"/>
      </w:pPr>
      <w:r>
        <w:rPr>
          <w:b/>
        </w:rPr>
        <w:t xml:space="preserve"> </w:t>
      </w:r>
      <w:r>
        <w:t>Постановка проблемы.</w:t>
      </w:r>
      <w:r>
        <w:rPr>
          <w:b/>
        </w:rPr>
        <w:t xml:space="preserve"> </w:t>
      </w:r>
      <w:r>
        <w:t xml:space="preserve">Целью функционирования любого субъекта хозяйствования в рыночной экономике является достижение эффективности и ее повышение в долгосрочном периоде. Недвижимость не является в данном случае исключением. Достижение эффективности при управлении недвижимостью </w:t>
      </w:r>
      <w:r>
        <w:t>традиционно связано с минимизацией финансовых, организационных и прочих затрат, а так же с максимизацией доходов от ее использования. Данный обобщенный подход учитывает смысловое значение термина «эффективность», но далеко не в полной мере отражает те виды</w:t>
      </w:r>
      <w:r>
        <w:t xml:space="preserve"> эффекта, которые можно получить от использования объектов недвижимости. </w:t>
      </w:r>
    </w:p>
    <w:p w:rsidR="002C0F56" w:rsidRDefault="00E67C6E">
      <w:pPr>
        <w:spacing w:after="13"/>
        <w:ind w:left="165" w:right="302"/>
      </w:pPr>
      <w:r>
        <w:t>Определение эффективности управления объектами недвижимости имеет существенное значение, поскольку от верности и точности результатов оценки зависит успешность субъектов хозяйствован</w:t>
      </w:r>
      <w:r>
        <w:t xml:space="preserve">ия, возможности их дальнейшего развития. В данном контексте очевидной является важность разработки соответствующей методической базы оценки. </w:t>
      </w:r>
    </w:p>
    <w:p w:rsidR="002C0F56" w:rsidRDefault="00E67C6E">
      <w:pPr>
        <w:spacing w:after="0"/>
        <w:ind w:left="165" w:right="867"/>
      </w:pPr>
      <w:r>
        <w:t>Анализ последних публикаций.</w:t>
      </w:r>
      <w:r>
        <w:rPr>
          <w:b/>
        </w:rPr>
        <w:t xml:space="preserve"> </w:t>
      </w:r>
      <w:r>
        <w:t>Анализ научной литературы позволяет сделать вывод об актуальности темы исследования. При этом различные авторы рассматривают процесс оценки эффективности управления недвижимостью с различных точек зрения в разрезе видов недвижимости, что обеспечивает изуче</w:t>
      </w:r>
      <w:r>
        <w:t>ние данного вопроса с различных позиций и дает толчок для дальнейших исследований по теме. Так, в работе Харламова А.С. [1] изучены вопросы эффективности управления недвижимостью крупной компании, сформирован авторский подход к эффективности управления нед</w:t>
      </w:r>
      <w:r>
        <w:t xml:space="preserve">вижимым имуществом в системе эффективностей хозяйствующего субъекта, сформирована </w:t>
      </w:r>
      <w:r>
        <w:lastRenderedPageBreak/>
        <w:t>сбалансированная система показателей оценки недвижимости на основе разработок Р. Каплана и Д. Нортона. В исследовании Гореловой С.С. [2] осуществлена попытка систематизации п</w:t>
      </w:r>
      <w:r>
        <w:t xml:space="preserve">одходов к оценке эффективности управления объектами недвижимости, существующих в современной экономической литературе, в результате чего предложены этапы исследования эффективности управления объектами недвижимости социальной сферы. В работе Бочарова А.Ю. </w:t>
      </w:r>
      <w:r>
        <w:t xml:space="preserve"> рассмотрены показатели эффективности работы управляющих компаний [3]. В работе Болотина С.А., Лемешко Д.С. [4] представлено дополнение математического аппарата оценки долгосрочных инвестиционных проектов в коммерческую недвижимость новыми критериями оценк</w:t>
      </w:r>
      <w:r>
        <w:t xml:space="preserve">и. В исследовании Далуевой Р.М., Казибекова Г.С. [5] предложены направления совершенствования методов оценки промышленной недвижимости и повышение эффективности ее использования на этой основе.  </w:t>
      </w:r>
    </w:p>
    <w:p w:rsidR="002C0F56" w:rsidRDefault="00E67C6E">
      <w:pPr>
        <w:ind w:left="165" w:right="872"/>
      </w:pPr>
      <w:r>
        <w:t>Рассмотренные подходы к оценке эффективности недвижимости по</w:t>
      </w:r>
      <w:r>
        <w:t>зволяют сделать вывод о том, что исследователи преследуют цель определения эффективности использования объектов недвижимости различного функционального назначения (коммерческой, промышленной, жилой и т.д.). При этом в расчет берутся отдельные этапы жизненн</w:t>
      </w:r>
      <w:r>
        <w:t xml:space="preserve">ого цикла объекта (инвестиционный или эксплуатационный) и не учитывается комплексный характер функционирования такого объекта в разрезе подходов к управлению недвижимостью на каждом этапе. </w:t>
      </w:r>
    </w:p>
    <w:p w:rsidR="002C0F56" w:rsidRDefault="00E67C6E">
      <w:pPr>
        <w:ind w:left="165" w:right="871"/>
      </w:pPr>
      <w:r>
        <w:t>Постановка задания.</w:t>
      </w:r>
      <w:r>
        <w:rPr>
          <w:b/>
        </w:rPr>
        <w:t xml:space="preserve"> </w:t>
      </w:r>
      <w:r>
        <w:t>Обращая внимание на актуальность проблемы, ана</w:t>
      </w:r>
      <w:r>
        <w:t xml:space="preserve">лиз последних публикаций и нерешенную часть проблемы, целью данного исследования является определение критериев оценки эффективности управления недвижимостью на разных этапах жизненного цикла объектов в разрезе подходов к управлению.  </w:t>
      </w:r>
      <w:r>
        <w:rPr>
          <w:b/>
        </w:rPr>
        <w:t xml:space="preserve">        </w:t>
      </w:r>
    </w:p>
    <w:p w:rsidR="002C0F56" w:rsidRDefault="00E67C6E">
      <w:pPr>
        <w:spacing w:after="0"/>
        <w:ind w:left="165" w:right="869"/>
      </w:pPr>
      <w:r>
        <w:t>Изложение ос</w:t>
      </w:r>
      <w:r>
        <w:t>новного материала.</w:t>
      </w:r>
      <w:r>
        <w:rPr>
          <w:b/>
        </w:rPr>
        <w:t xml:space="preserve"> </w:t>
      </w:r>
      <w:r>
        <w:t>Функционирование любого материального объекта во времени традиционно называют его жизненным циклом. Жизненный цикл объекта недвижимости соответствуют временному интервалу от момента зарождения идеи строительства до ликвидации объекта. Кл</w:t>
      </w:r>
      <w:r>
        <w:t xml:space="preserve">ассификация жизненных циклов объекта недвижимости осуществляется, в первую очередь, с позиции недвижимости как физического объекта. Основными этапами или стадиями в данном случае выступают: </w:t>
      </w:r>
    </w:p>
    <w:p w:rsidR="002C0F56" w:rsidRDefault="00E67C6E">
      <w:pPr>
        <w:tabs>
          <w:tab w:val="center" w:pos="2547"/>
          <w:tab w:val="center" w:pos="5276"/>
          <w:tab w:val="center" w:pos="6667"/>
          <w:tab w:val="center" w:pos="8405"/>
          <w:tab w:val="center" w:pos="9751"/>
        </w:tabs>
        <w:spacing w:after="11" w:line="270" w:lineRule="auto"/>
        <w:ind w:left="0" w:firstLine="0"/>
        <w:jc w:val="left"/>
      </w:pPr>
      <w:r>
        <w:rPr>
          <w:rFonts w:ascii="Calibri" w:eastAsia="Calibri" w:hAnsi="Calibri" w:cs="Calibri"/>
          <w:sz w:val="22"/>
        </w:rPr>
        <w:tab/>
      </w:r>
      <w:r>
        <w:t xml:space="preserve">инвестиционно-строительный </w:t>
      </w:r>
      <w:r>
        <w:tab/>
        <w:t xml:space="preserve">(создание </w:t>
      </w:r>
      <w:r>
        <w:tab/>
        <w:t xml:space="preserve">объекта </w:t>
      </w:r>
      <w:r>
        <w:tab/>
        <w:t xml:space="preserve">недвижимости) </w:t>
      </w:r>
      <w:r>
        <w:tab/>
      </w:r>
      <w:r>
        <w:t xml:space="preserve">– </w:t>
      </w:r>
    </w:p>
    <w:p w:rsidR="002C0F56" w:rsidRDefault="00E67C6E">
      <w:pPr>
        <w:spacing w:after="12"/>
        <w:ind w:left="165" w:right="866" w:firstLine="0"/>
      </w:pPr>
      <w:r>
        <w:t xml:space="preserve">комплекс работ, направленный на формирование инвестиционного замысла, подготовку проектной документации, непосредственно строительные работы, ввод объекта в эксплуатацию;  эксплуатационный (использование недвижимости как физического объекта) – комплекс </w:t>
      </w:r>
      <w:r>
        <w:t xml:space="preserve">работ по формированию права собственности, технической эксплуатации, обслуживанию, использованию </w:t>
      </w:r>
      <w:r>
        <w:lastRenderedPageBreak/>
        <w:t>объекта согласно его функциональному назначению;  восстановительный (совершенствование объекта недвижимости) – комплекс работ по полному или частичному устране</w:t>
      </w:r>
      <w:r>
        <w:t>нию физического и морального износа объекта, доведению его до современных требований и условий комфортности;  ликвидационный (прекращение физического использования объекта недвижимости) – комплекс работ по физической ликвидации объекта, прекращению его исп</w:t>
      </w:r>
      <w:r>
        <w:t xml:space="preserve">ользования. </w:t>
      </w:r>
    </w:p>
    <w:p w:rsidR="002C0F56" w:rsidRDefault="00E67C6E">
      <w:pPr>
        <w:ind w:left="165" w:right="866"/>
      </w:pPr>
      <w:r>
        <w:t>Оценка эффективности эксплуатации объектов недвижимости на каждом из представленных этапов сопряжена с рядом особенностей и зависит от видов работ или подходов к управлению недвижимостью. Не смотря на многообразие подходов к управлению недвижи</w:t>
      </w:r>
      <w:r>
        <w:t xml:space="preserve">мостью, мировая практика выделяет следующие основные разновидности:  </w:t>
      </w:r>
    </w:p>
    <w:p w:rsidR="002C0F56" w:rsidRDefault="00E67C6E">
      <w:pPr>
        <w:spacing w:after="11" w:line="270" w:lineRule="auto"/>
        <w:ind w:left="10" w:right="862" w:hanging="10"/>
        <w:jc w:val="right"/>
      </w:pPr>
      <w:r>
        <w:t>управление зданием (Building Management) – деятельность по управлению строительством в более распространенной трактовке или управление объектом недвижимости согласно его жизненному циклу</w:t>
      </w:r>
      <w:r>
        <w:t xml:space="preserve"> в более узком понимании; управление инфраструктурой (Facility Management) – предполагает комплекс работ по технической эксплуатации и обеспечению уборки и обслуживания территории; управление </w:t>
      </w:r>
      <w:r>
        <w:tab/>
        <w:t xml:space="preserve">собственностью </w:t>
      </w:r>
      <w:r>
        <w:tab/>
        <w:t xml:space="preserve">(Property </w:t>
      </w:r>
      <w:r>
        <w:tab/>
        <w:t xml:space="preserve">Management) </w:t>
      </w:r>
      <w:r>
        <w:tab/>
        <w:t xml:space="preserve">– </w:t>
      </w:r>
      <w:r>
        <w:tab/>
        <w:t xml:space="preserve">управление </w:t>
      </w:r>
    </w:p>
    <w:p w:rsidR="002C0F56" w:rsidRDefault="00E67C6E">
      <w:pPr>
        <w:ind w:left="165" w:right="866" w:firstLine="0"/>
      </w:pPr>
      <w:r>
        <w:t>вопросам</w:t>
      </w:r>
      <w:r>
        <w:t>и маркетинговой, финансовой и юридической деятельности, включает продвижение объекта недвижимости на рынке, финансовое планирование и текущее оперативное управление; управление активами (Asset Management) – предполагает управление недвижимостью как инвести</w:t>
      </w:r>
      <w:r>
        <w:t xml:space="preserve">цией или активом с целью дальнейшего преумножения ее стоимости и включает комплекс работ на фондовом рынке, оценке объектов недвижимости, финансовому управлению.  </w:t>
      </w:r>
    </w:p>
    <w:p w:rsidR="002C0F56" w:rsidRDefault="00E67C6E">
      <w:pPr>
        <w:spacing w:after="0"/>
        <w:ind w:left="165" w:right="865"/>
      </w:pPr>
      <w:r>
        <w:t xml:space="preserve"> Таким образом, учет этапов или стадий жизненного цикла объектов недвижимости, а так же разн</w:t>
      </w:r>
      <w:r>
        <w:t xml:space="preserve">овидностей управления позволяет сформировать подход к оценке эффективности управления, базирующейся на критериях, которые в совокупности дают синенргетический эффект от использования объекта на протяжении всего жизненного цикла.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5" w:line="271" w:lineRule="auto"/>
        <w:ind w:left="3569" w:right="396" w:hanging="2907"/>
        <w:jc w:val="left"/>
      </w:pPr>
      <w:r>
        <w:rPr>
          <w:i/>
          <w:sz w:val="24"/>
        </w:rPr>
        <w:t>Таблица 1</w:t>
      </w:r>
      <w:r>
        <w:rPr>
          <w:sz w:val="24"/>
        </w:rPr>
        <w:t xml:space="preserve"> – </w:t>
      </w:r>
      <w:r>
        <w:rPr>
          <w:b/>
          <w:sz w:val="24"/>
        </w:rPr>
        <w:t xml:space="preserve">Критерии эффективности управления недвижимостью в соответствии с этапом жизненного цикла </w:t>
      </w:r>
    </w:p>
    <w:tbl>
      <w:tblPr>
        <w:tblStyle w:val="TableGrid"/>
        <w:tblW w:w="9856" w:type="dxa"/>
        <w:tblInd w:w="72" w:type="dxa"/>
        <w:tblCellMar>
          <w:top w:w="14" w:type="dxa"/>
          <w:left w:w="108" w:type="dxa"/>
          <w:bottom w:w="0" w:type="dxa"/>
          <w:right w:w="48" w:type="dxa"/>
        </w:tblCellMar>
        <w:tblLook w:val="04A0" w:firstRow="1" w:lastRow="0" w:firstColumn="1" w:lastColumn="0" w:noHBand="0" w:noVBand="1"/>
      </w:tblPr>
      <w:tblGrid>
        <w:gridCol w:w="3210"/>
        <w:gridCol w:w="2247"/>
        <w:gridCol w:w="4399"/>
      </w:tblGrid>
      <w:tr w:rsidR="002C0F56">
        <w:trPr>
          <w:trHeight w:val="564"/>
        </w:trPr>
        <w:tc>
          <w:tcPr>
            <w:tcW w:w="26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right="7" w:firstLine="0"/>
              <w:jc w:val="center"/>
            </w:pPr>
            <w:r>
              <w:rPr>
                <w:sz w:val="24"/>
              </w:rPr>
              <w:t xml:space="preserve">Этап жизненного цикла </w:t>
            </w:r>
          </w:p>
        </w:tc>
        <w:tc>
          <w:tcPr>
            <w:tcW w:w="23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Вид управления недвижимостью*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Критерии эффективности управления недвижимостью </w:t>
            </w:r>
          </w:p>
        </w:tc>
      </w:tr>
      <w:tr w:rsidR="002C0F56">
        <w:trPr>
          <w:trHeight w:val="286"/>
        </w:trPr>
        <w:tc>
          <w:tcPr>
            <w:tcW w:w="26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1 </w:t>
            </w:r>
          </w:p>
        </w:tc>
        <w:tc>
          <w:tcPr>
            <w:tcW w:w="23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2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3 </w:t>
            </w:r>
          </w:p>
        </w:tc>
      </w:tr>
      <w:tr w:rsidR="002C0F56">
        <w:trPr>
          <w:trHeight w:val="1114"/>
        </w:trPr>
        <w:tc>
          <w:tcPr>
            <w:tcW w:w="261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lastRenderedPageBreak/>
              <w:t xml:space="preserve">Инвестиционностроительный </w:t>
            </w: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right="31" w:firstLine="0"/>
              <w:jc w:val="left"/>
            </w:pPr>
            <w:r>
              <w:rPr>
                <w:sz w:val="24"/>
              </w:rPr>
              <w:t xml:space="preserve">Управление зданием </w:t>
            </w:r>
            <w:r>
              <w:rPr>
                <w:sz w:val="24"/>
              </w:rPr>
              <w:tab/>
              <w:t>(</w:t>
            </w:r>
            <w:r>
              <w:rPr>
                <w:sz w:val="24"/>
              </w:rPr>
              <w:t xml:space="preserve">Building 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Экономический эффект от сокращения приведенных затрат на стадии строительства; экономический эффект от сокращения продолжительности возведения объекта. </w:t>
            </w:r>
          </w:p>
        </w:tc>
      </w:tr>
      <w:tr w:rsidR="002C0F56">
        <w:trPr>
          <w:trHeight w:val="1666"/>
        </w:trPr>
        <w:tc>
          <w:tcPr>
            <w:tcW w:w="2612"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Эксплуатационный </w:t>
            </w: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38" w:lineRule="auto"/>
              <w:ind w:left="2" w:firstLine="0"/>
              <w:jc w:val="left"/>
            </w:pPr>
            <w:r>
              <w:rPr>
                <w:sz w:val="24"/>
              </w:rPr>
              <w:t xml:space="preserve">Управление инфраструктурой </w:t>
            </w:r>
          </w:p>
          <w:p w:rsidR="002C0F56" w:rsidRDefault="00E67C6E">
            <w:pPr>
              <w:spacing w:after="0" w:line="259" w:lineRule="auto"/>
              <w:ind w:left="2" w:firstLine="0"/>
              <w:jc w:val="left"/>
            </w:pPr>
            <w:r>
              <w:rPr>
                <w:sz w:val="24"/>
              </w:rPr>
              <w:t xml:space="preserve">(Facility </w:t>
            </w:r>
          </w:p>
          <w:p w:rsidR="002C0F56" w:rsidRDefault="00E67C6E">
            <w:pPr>
              <w:spacing w:after="0" w:line="259" w:lineRule="auto"/>
              <w:ind w:left="2" w:firstLine="0"/>
              <w:jc w:val="left"/>
            </w:pPr>
            <w:r>
              <w:rPr>
                <w:sz w:val="24"/>
              </w:rPr>
              <w:t xml:space="preserve">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Экономический эффект в сфере эксплуатации конструкций; экономический эффект от верного выбора обслуживающих организаций; экономический эффект от оптимизации затрат на обслуживание объекта. </w:t>
            </w:r>
          </w:p>
        </w:tc>
      </w:tr>
      <w:tr w:rsidR="002C0F56">
        <w:trPr>
          <w:trHeight w:val="1390"/>
        </w:trPr>
        <w:tc>
          <w:tcPr>
            <w:tcW w:w="0" w:type="auto"/>
            <w:vMerge/>
            <w:tcBorders>
              <w:top w:val="nil"/>
              <w:left w:val="single" w:sz="4" w:space="0" w:color="000000"/>
              <w:bottom w:val="nil"/>
              <w:right w:val="single" w:sz="4" w:space="0" w:color="000000"/>
            </w:tcBorders>
          </w:tcPr>
          <w:p w:rsidR="002C0F56" w:rsidRDefault="002C0F56">
            <w:pPr>
              <w:spacing w:after="160" w:line="259" w:lineRule="auto"/>
              <w:ind w:left="0" w:firstLine="0"/>
              <w:jc w:val="left"/>
            </w:pP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38" w:lineRule="auto"/>
              <w:ind w:left="2" w:firstLine="0"/>
              <w:jc w:val="left"/>
            </w:pPr>
            <w:r>
              <w:rPr>
                <w:sz w:val="24"/>
              </w:rPr>
              <w:t xml:space="preserve">Управление собственностью (Property </w:t>
            </w:r>
          </w:p>
          <w:p w:rsidR="002C0F56" w:rsidRDefault="00E67C6E">
            <w:pPr>
              <w:spacing w:after="0" w:line="259" w:lineRule="auto"/>
              <w:ind w:left="2" w:firstLine="0"/>
              <w:jc w:val="left"/>
            </w:pPr>
            <w:r>
              <w:rPr>
                <w:sz w:val="24"/>
              </w:rPr>
              <w:t xml:space="preserve">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Экономический </w:t>
            </w:r>
            <w:r>
              <w:rPr>
                <w:sz w:val="24"/>
              </w:rPr>
              <w:tab/>
              <w:t xml:space="preserve">эффект </w:t>
            </w:r>
            <w:r>
              <w:rPr>
                <w:sz w:val="24"/>
              </w:rPr>
              <w:tab/>
              <w:t xml:space="preserve">в </w:t>
            </w:r>
            <w:r>
              <w:rPr>
                <w:sz w:val="24"/>
              </w:rPr>
              <w:tab/>
              <w:t xml:space="preserve">сфере эксплуатации от функционирования объекта за период досрочного ввода; экономический эффект за счет оптимизации управленческих затрат. </w:t>
            </w:r>
          </w:p>
        </w:tc>
      </w:tr>
      <w:tr w:rsidR="002C0F56">
        <w:trPr>
          <w:trHeight w:val="838"/>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23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Управление активами </w:t>
            </w:r>
            <w:r>
              <w:rPr>
                <w:sz w:val="24"/>
              </w:rPr>
              <w:tab/>
              <w:t xml:space="preserve">(Asset 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Экономический эффект от улучшения арендных условий; экономический эффект от оценки стоимости объекта.  </w:t>
            </w:r>
          </w:p>
        </w:tc>
      </w:tr>
      <w:tr w:rsidR="002C0F56">
        <w:trPr>
          <w:trHeight w:val="1630"/>
        </w:trPr>
        <w:tc>
          <w:tcPr>
            <w:tcW w:w="261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Восстановительный </w:t>
            </w: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60" w:lineRule="auto"/>
              <w:ind w:left="2" w:right="33" w:firstLine="0"/>
              <w:jc w:val="left"/>
            </w:pPr>
            <w:r>
              <w:rPr>
                <w:sz w:val="24"/>
              </w:rPr>
              <w:t xml:space="preserve">Управление зданием </w:t>
            </w:r>
            <w:r>
              <w:rPr>
                <w:sz w:val="24"/>
              </w:rPr>
              <w:tab/>
              <w:t xml:space="preserve">(Building </w:t>
            </w:r>
          </w:p>
          <w:p w:rsidR="002C0F56" w:rsidRDefault="00E67C6E">
            <w:pPr>
              <w:spacing w:after="0" w:line="259" w:lineRule="auto"/>
              <w:ind w:left="2" w:firstLine="0"/>
              <w:jc w:val="left"/>
            </w:pPr>
            <w:r>
              <w:rPr>
                <w:sz w:val="24"/>
              </w:rPr>
              <w:t xml:space="preserve">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Экономический эффект от сокращения приведенных затрат на стадии строительства; экономический эффект от сокращения продолжительности возведения объекта. </w:t>
            </w:r>
          </w:p>
        </w:tc>
      </w:tr>
      <w:tr w:rsidR="002C0F56">
        <w:trPr>
          <w:trHeight w:val="1390"/>
        </w:trPr>
        <w:tc>
          <w:tcPr>
            <w:tcW w:w="2612"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 </w:t>
            </w: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38" w:lineRule="auto"/>
              <w:ind w:left="2" w:firstLine="0"/>
              <w:jc w:val="left"/>
            </w:pPr>
            <w:r>
              <w:rPr>
                <w:sz w:val="24"/>
              </w:rPr>
              <w:t xml:space="preserve">Управление собственностью (Property </w:t>
            </w:r>
          </w:p>
          <w:p w:rsidR="002C0F56" w:rsidRDefault="00E67C6E">
            <w:pPr>
              <w:spacing w:after="0" w:line="259" w:lineRule="auto"/>
              <w:ind w:left="2" w:firstLine="0"/>
              <w:jc w:val="left"/>
            </w:pPr>
            <w:r>
              <w:rPr>
                <w:sz w:val="24"/>
              </w:rPr>
              <w:t xml:space="preserve">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pPr>
            <w:r>
              <w:rPr>
                <w:sz w:val="24"/>
              </w:rPr>
              <w:t xml:space="preserve">Экономический эффект от снижения аварийности (повышения надежности) объекта недвижимости; экономический эффект от снижения эксплуатационных затрат. </w:t>
            </w:r>
          </w:p>
        </w:tc>
      </w:tr>
      <w:tr w:rsidR="002C0F56">
        <w:trPr>
          <w:trHeight w:val="1114"/>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left"/>
            </w:pPr>
            <w:r>
              <w:rPr>
                <w:sz w:val="24"/>
              </w:rPr>
              <w:t xml:space="preserve">Управление активами </w:t>
            </w:r>
            <w:r>
              <w:rPr>
                <w:sz w:val="24"/>
              </w:rPr>
              <w:tab/>
              <w:t xml:space="preserve">(Asset 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Экономический эффект от роста стоимости активов; экономический э</w:t>
            </w:r>
            <w:r>
              <w:rPr>
                <w:sz w:val="24"/>
              </w:rPr>
              <w:t xml:space="preserve">ффект от прироста денежного потока за счет отдельных факторов. </w:t>
            </w:r>
          </w:p>
        </w:tc>
      </w:tr>
      <w:tr w:rsidR="002C0F56">
        <w:trPr>
          <w:trHeight w:val="1114"/>
        </w:trPr>
        <w:tc>
          <w:tcPr>
            <w:tcW w:w="2612"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Ликвидационный </w:t>
            </w:r>
          </w:p>
        </w:tc>
        <w:tc>
          <w:tcPr>
            <w:tcW w:w="23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right="33" w:firstLine="0"/>
              <w:jc w:val="left"/>
            </w:pPr>
            <w:r>
              <w:rPr>
                <w:sz w:val="24"/>
              </w:rPr>
              <w:t xml:space="preserve">Управление зданием </w:t>
            </w:r>
            <w:r>
              <w:rPr>
                <w:sz w:val="24"/>
              </w:rPr>
              <w:tab/>
              <w:t xml:space="preserve">(Building 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pPr>
            <w:r>
              <w:rPr>
                <w:sz w:val="24"/>
              </w:rPr>
              <w:t xml:space="preserve">Экономический эффект от сокращения приведенных затрат на стадии демонтажа; экономический эффект от сокращения продолжительности демонтажа. </w:t>
            </w:r>
          </w:p>
        </w:tc>
      </w:tr>
      <w:tr w:rsidR="002C0F56">
        <w:trPr>
          <w:trHeight w:val="1117"/>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23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38" w:lineRule="auto"/>
              <w:ind w:left="2" w:firstLine="0"/>
              <w:jc w:val="left"/>
            </w:pPr>
            <w:r>
              <w:rPr>
                <w:sz w:val="24"/>
              </w:rPr>
              <w:t xml:space="preserve">Управление собственностью (Property </w:t>
            </w:r>
          </w:p>
          <w:p w:rsidR="002C0F56" w:rsidRDefault="00E67C6E">
            <w:pPr>
              <w:spacing w:after="0" w:line="259" w:lineRule="auto"/>
              <w:ind w:left="2" w:firstLine="0"/>
              <w:jc w:val="left"/>
            </w:pPr>
            <w:r>
              <w:rPr>
                <w:sz w:val="24"/>
              </w:rPr>
              <w:t xml:space="preserve">Management) </w:t>
            </w:r>
          </w:p>
        </w:tc>
        <w:tc>
          <w:tcPr>
            <w:tcW w:w="49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pPr>
            <w:r>
              <w:rPr>
                <w:sz w:val="24"/>
              </w:rPr>
              <w:t xml:space="preserve">Экономический эффект от снижения эксплуатационных затрат; экономический эффект от реализации </w:t>
            </w:r>
            <w:r>
              <w:rPr>
                <w:sz w:val="24"/>
              </w:rPr>
              <w:lastRenderedPageBreak/>
              <w:t xml:space="preserve">демонтированного объекта или его частей. </w:t>
            </w:r>
          </w:p>
        </w:tc>
      </w:tr>
    </w:tbl>
    <w:p w:rsidR="002C0F56" w:rsidRDefault="00E67C6E">
      <w:pPr>
        <w:spacing w:after="3" w:line="259" w:lineRule="auto"/>
        <w:ind w:left="175" w:hanging="10"/>
        <w:jc w:val="left"/>
      </w:pPr>
      <w:r>
        <w:rPr>
          <w:i/>
          <w:sz w:val="24"/>
        </w:rPr>
        <w:lastRenderedPageBreak/>
        <w:t xml:space="preserve">* типичен для этапа жизненного цикла в большей степени. </w:t>
      </w:r>
    </w:p>
    <w:p w:rsidR="002C0F56" w:rsidRDefault="00E67C6E">
      <w:pPr>
        <w:spacing w:after="0" w:line="259" w:lineRule="auto"/>
        <w:ind w:left="744" w:firstLine="0"/>
        <w:jc w:val="left"/>
      </w:pPr>
      <w:r>
        <w:t xml:space="preserve"> </w:t>
      </w:r>
    </w:p>
    <w:p w:rsidR="002C0F56" w:rsidRDefault="00E67C6E">
      <w:pPr>
        <w:ind w:left="165" w:right="876"/>
      </w:pPr>
      <w:r>
        <w:t xml:space="preserve">Таким образом, описанный подход может претендовать при известных ограничениях на универсальность при оценке эффективности управления недвижимости. </w:t>
      </w:r>
    </w:p>
    <w:p w:rsidR="002C0F56" w:rsidRDefault="00E67C6E">
      <w:pPr>
        <w:spacing w:after="0"/>
        <w:ind w:left="165" w:right="871"/>
      </w:pPr>
      <w:r>
        <w:t>Выводы.</w:t>
      </w:r>
      <w:r>
        <w:rPr>
          <w:b/>
        </w:rPr>
        <w:t xml:space="preserve"> </w:t>
      </w:r>
      <w:r>
        <w:t xml:space="preserve">Проблема управления недвижимостью в последнее время получила широкое развитие. Одно из ведущих мест </w:t>
      </w:r>
      <w:r>
        <w:t xml:space="preserve">в системе управления недвижимостью занимает оценка эффективности данного процесса. Поскольку единого подхода к оценке эффективности не сформировано, целесообразно продолжать научный поиск по данному направлению. </w:t>
      </w:r>
    </w:p>
    <w:p w:rsidR="002C0F56" w:rsidRDefault="00E67C6E">
      <w:pPr>
        <w:spacing w:after="0"/>
        <w:ind w:left="165" w:right="871"/>
      </w:pPr>
      <w:r>
        <w:t>Считаем целесообразным использование подход</w:t>
      </w:r>
      <w:r>
        <w:t>а к оценке эффективности управления недвижимости исходя из стадии жизненного цикла. Это позволит определять результативность целевых установок собственников или пользователей объектов недвижимости в различных условиях. Представленные в исследовании результ</w:t>
      </w:r>
      <w:r>
        <w:t xml:space="preserve">аты в дальнейшем могут быть использованы при формировании методик оценки эффективности использования недвижимого имущества.     </w:t>
      </w:r>
    </w:p>
    <w:p w:rsidR="002C0F56" w:rsidRDefault="00E67C6E">
      <w:pPr>
        <w:spacing w:after="22" w:line="259" w:lineRule="auto"/>
        <w:ind w:left="744" w:firstLine="0"/>
        <w:jc w:val="left"/>
      </w:pPr>
      <w:r>
        <w:rPr>
          <w:b/>
        </w:rP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82"/>
        </w:numPr>
        <w:ind w:right="302"/>
      </w:pPr>
      <w:r>
        <w:t xml:space="preserve">Харламов А.С. Эффективность управления недвижимостью крупной компании / А.С. Харламов // Имущественные отношения в Российской </w:t>
      </w:r>
    </w:p>
    <w:p w:rsidR="002C0F56" w:rsidRDefault="00E67C6E">
      <w:pPr>
        <w:spacing w:after="12"/>
        <w:ind w:left="165" w:right="302" w:firstLine="0"/>
      </w:pPr>
      <w:r>
        <w:t xml:space="preserve">Федерации. – 2005. - №2(41). – С. 37-46. </w:t>
      </w:r>
    </w:p>
    <w:p w:rsidR="002C0F56" w:rsidRDefault="00E67C6E">
      <w:pPr>
        <w:numPr>
          <w:ilvl w:val="0"/>
          <w:numId w:val="82"/>
        </w:numPr>
        <w:ind w:right="302"/>
      </w:pPr>
      <w:r>
        <w:t>Горелова С.С. К вопросу оценки эффективности управления объектами недвижимости / С.А. Г</w:t>
      </w:r>
      <w:r>
        <w:t xml:space="preserve">орелова // Вестник ОГУ. – 2013. - №8(157). – С. 88-95. </w:t>
      </w:r>
    </w:p>
    <w:p w:rsidR="002C0F56" w:rsidRDefault="00E67C6E">
      <w:pPr>
        <w:numPr>
          <w:ilvl w:val="0"/>
          <w:numId w:val="82"/>
        </w:numPr>
        <w:ind w:right="302"/>
      </w:pPr>
      <w:r>
        <w:t xml:space="preserve">Бочаров А.Ю. Показатели эффективности оценки работы управляющих компаний / А.Ю. Бочаров // Российский экономический интернет-журнал. – </w:t>
      </w:r>
    </w:p>
    <w:p w:rsidR="002C0F56" w:rsidRDefault="00E67C6E">
      <w:pPr>
        <w:spacing w:after="0"/>
        <w:ind w:left="165" w:right="302" w:firstLine="0"/>
      </w:pPr>
      <w:r>
        <w:t>2006. – №4. - [Электронный ресурс]. – Режим доступа: http://www.</w:t>
      </w:r>
      <w:r>
        <w:t xml:space="preserve">erej.ru/Articles/2007/Bocharov.pdf  </w:t>
      </w:r>
    </w:p>
    <w:p w:rsidR="002C0F56" w:rsidRDefault="00E67C6E">
      <w:pPr>
        <w:numPr>
          <w:ilvl w:val="0"/>
          <w:numId w:val="83"/>
        </w:numPr>
        <w:spacing w:after="1"/>
        <w:ind w:right="868"/>
      </w:pPr>
      <w:r>
        <w:t xml:space="preserve">Болотин С.А. Специфические вопросы оценки эффективности проектов коммерческой недвижимости / С.А. Болотин, Д.С. Лемешко // [Электронный ресурс]. – Режим доступа: https://www.top-ocenka.com/ocenka-mn5.html </w:t>
      </w:r>
    </w:p>
    <w:p w:rsidR="002C0F56" w:rsidRDefault="00E67C6E">
      <w:pPr>
        <w:numPr>
          <w:ilvl w:val="0"/>
          <w:numId w:val="83"/>
        </w:numPr>
        <w:spacing w:after="4"/>
        <w:ind w:right="868"/>
      </w:pPr>
      <w:r>
        <w:t xml:space="preserve">Далуева Р.М. </w:t>
      </w:r>
      <w:r>
        <w:t xml:space="preserve">Совершенствование методики оценки и организации управления промышленной недвижимостью / Р.М. Далуева, Г.С. Казибеков // Транспортное дело России. – 2010. - №6. – С. 63-67. </w:t>
      </w:r>
    </w:p>
    <w:p w:rsidR="002C0F56" w:rsidRDefault="00E67C6E">
      <w:pPr>
        <w:spacing w:after="0" w:line="259" w:lineRule="auto"/>
        <w:ind w:left="744" w:firstLine="0"/>
        <w:jc w:val="left"/>
      </w:pPr>
      <w:r>
        <w:lastRenderedPageBreak/>
        <w:t xml:space="preserve"> </w:t>
      </w:r>
    </w:p>
    <w:p w:rsidR="002C0F56" w:rsidRDefault="00E67C6E">
      <w:pPr>
        <w:spacing w:after="21" w:line="259" w:lineRule="auto"/>
        <w:ind w:left="744" w:firstLine="0"/>
        <w:jc w:val="left"/>
      </w:pPr>
      <w:r>
        <w:t xml:space="preserve"> </w:t>
      </w:r>
    </w:p>
    <w:p w:rsidR="002C0F56" w:rsidRDefault="00E67C6E">
      <w:pPr>
        <w:pStyle w:val="1"/>
        <w:spacing w:after="25" w:line="259" w:lineRule="auto"/>
        <w:ind w:right="856"/>
        <w:jc w:val="right"/>
      </w:pPr>
      <w:r>
        <w:t xml:space="preserve">Громова П.П., Крылова А. В. </w:t>
      </w:r>
    </w:p>
    <w:p w:rsidR="002C0F56" w:rsidRDefault="00E67C6E">
      <w:pPr>
        <w:spacing w:after="0" w:line="267" w:lineRule="auto"/>
        <w:ind w:left="905" w:right="860" w:hanging="10"/>
        <w:jc w:val="right"/>
      </w:pPr>
      <w:r>
        <w:rPr>
          <w:i/>
        </w:rPr>
        <w:t xml:space="preserve">Рязанский государственный радиотехнический университет </w:t>
      </w:r>
    </w:p>
    <w:p w:rsidR="002C0F56" w:rsidRDefault="00E67C6E">
      <w:pPr>
        <w:spacing w:after="30" w:line="259" w:lineRule="auto"/>
        <w:ind w:left="744" w:firstLine="0"/>
        <w:jc w:val="left"/>
      </w:pPr>
      <w:r>
        <w:t xml:space="preserve"> </w:t>
      </w:r>
    </w:p>
    <w:p w:rsidR="002C0F56" w:rsidRDefault="00E67C6E">
      <w:pPr>
        <w:pStyle w:val="1"/>
        <w:ind w:left="700" w:right="1378"/>
      </w:pPr>
      <w:r>
        <w:t xml:space="preserve">МЕТОДИКА ВЫЯВЛЕНИЯ КОМПЕТЕНЦИЙ ДОЛЖНОСТИ СПЕЦИАЛИСТ ПО УПРАВЛЕНИЮ ПЕРСОНАЛОМ НА ОСНОВЕ КОНТЕНТ-АНАЛИЗА </w:t>
      </w:r>
    </w:p>
    <w:p w:rsidR="002C0F56" w:rsidRDefault="00E67C6E">
      <w:pPr>
        <w:spacing w:after="25" w:line="259" w:lineRule="auto"/>
        <w:ind w:left="744" w:firstLine="0"/>
        <w:jc w:val="left"/>
      </w:pPr>
      <w:r>
        <w:rPr>
          <w:b/>
        </w:rPr>
        <w:t xml:space="preserve"> </w:t>
      </w:r>
    </w:p>
    <w:p w:rsidR="002C0F56" w:rsidRDefault="00E67C6E">
      <w:pPr>
        <w:spacing w:after="0"/>
        <w:ind w:left="165" w:right="302"/>
      </w:pPr>
      <w:r>
        <w:t>Качественный контент-анализ предназначен не для количественного измерения элементов объявлен</w:t>
      </w:r>
      <w:r>
        <w:t>ий о вакансиях, а на учет качественных критериев, характерных для этих элементов. Для проведения данного вида исследования требуется определить категории анализа. Под категорией анализа понимается ряд критериев и характеристик, по которым мы будем вести ср</w:t>
      </w:r>
      <w:r>
        <w:t>авнительный анализ между размещёнными объявлениями о вакансиях. В нашем исследовании мы проведём качественный контент-анализ объявлений в соответствии со следующим критерием: обзор требований к соискателю и их соответствие или несоответствие трудовым функц</w:t>
      </w:r>
      <w:r>
        <w:t xml:space="preserve">иям, указанным в профессиональном стандарте к должности HR- специалист.  </w:t>
      </w:r>
    </w:p>
    <w:p w:rsidR="002C0F56" w:rsidRDefault="00E67C6E">
      <w:pPr>
        <w:spacing w:after="0"/>
        <w:ind w:left="165" w:right="865"/>
      </w:pPr>
      <w:r>
        <w:t>Нам необходимо провести сравнительный анализ объявления о вакансии и трудовой функции, указанной в профессиональном стандарте к должности специалист по управлению персоналом, чтобы в</w:t>
      </w:r>
      <w:r>
        <w:t>ыявить соответствуют ли основные компетенции этих документов или нет. Для этого выберем случайное объявление на должность “специалист по кадровому делопроизводству» на сайте www.hh.ru, данный Интернет-ресурс выбран в связи с тем, что в нём содержится наибо</w:t>
      </w:r>
      <w:r>
        <w:t>льшее количество объявлений, относящихся к сфере HR. Выбранной должности соответствует первая трудовая функция профстандарта, а именно: документационное обеспечение работы с персоналом. Возлагаемые обязанности на потенциального сотрудника на должность “спе</w:t>
      </w:r>
      <w:r>
        <w:t xml:space="preserve">циалист по кадровому делопроизводству” и их соответствие с компетенциями, прописанными в трудовой функции “документационное обеспечение работы с персоналом”, представлены в таблице 1. </w:t>
      </w:r>
    </w:p>
    <w:p w:rsidR="002C0F56" w:rsidRDefault="00E67C6E">
      <w:pPr>
        <w:spacing w:after="0" w:line="259" w:lineRule="auto"/>
        <w:ind w:left="744" w:firstLine="0"/>
        <w:jc w:val="left"/>
      </w:pPr>
      <w:r>
        <w:t xml:space="preserve"> </w:t>
      </w:r>
    </w:p>
    <w:p w:rsidR="002C0F56" w:rsidRDefault="00E67C6E">
      <w:pPr>
        <w:spacing w:after="5" w:line="271" w:lineRule="auto"/>
        <w:ind w:left="492" w:right="396" w:firstLine="600"/>
        <w:jc w:val="left"/>
      </w:pPr>
      <w:r>
        <w:rPr>
          <w:i/>
          <w:sz w:val="24"/>
        </w:rPr>
        <w:t>Таблица 1 -</w:t>
      </w:r>
      <w:r>
        <w:rPr>
          <w:sz w:val="24"/>
        </w:rPr>
        <w:t xml:space="preserve"> </w:t>
      </w:r>
      <w:r>
        <w:rPr>
          <w:b/>
          <w:sz w:val="24"/>
        </w:rPr>
        <w:t>Сравнение обязанностей, указанных в объявлении на должнос</w:t>
      </w:r>
      <w:r>
        <w:rPr>
          <w:b/>
          <w:sz w:val="24"/>
        </w:rPr>
        <w:t>ть “Специалист по кадровому обеспечению” с простандартом на эту должность на их соответствие</w:t>
      </w:r>
      <w:r>
        <w:rPr>
          <w:sz w:val="24"/>
        </w:rPr>
        <w:t xml:space="preserve"> </w:t>
      </w:r>
    </w:p>
    <w:tbl>
      <w:tblPr>
        <w:tblStyle w:val="TableGrid"/>
        <w:tblW w:w="9621" w:type="dxa"/>
        <w:tblInd w:w="72" w:type="dxa"/>
        <w:tblCellMar>
          <w:top w:w="14" w:type="dxa"/>
          <w:left w:w="108" w:type="dxa"/>
          <w:bottom w:w="0" w:type="dxa"/>
          <w:right w:w="51" w:type="dxa"/>
        </w:tblCellMar>
        <w:tblLook w:val="04A0" w:firstRow="1" w:lastRow="0" w:firstColumn="1" w:lastColumn="0" w:noHBand="0" w:noVBand="1"/>
      </w:tblPr>
      <w:tblGrid>
        <w:gridCol w:w="4808"/>
        <w:gridCol w:w="4813"/>
      </w:tblGrid>
      <w:tr w:rsidR="002C0F56">
        <w:trPr>
          <w:trHeight w:val="562"/>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Обязанности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Трудовые действия, указанные в профстандарте </w:t>
            </w:r>
          </w:p>
        </w:tc>
      </w:tr>
      <w:tr w:rsidR="002C0F56">
        <w:trPr>
          <w:trHeight w:val="288"/>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1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 </w:t>
            </w:r>
          </w:p>
        </w:tc>
      </w:tr>
      <w:tr w:rsidR="002C0F56">
        <w:trPr>
          <w:trHeight w:val="1039"/>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lastRenderedPageBreak/>
              <w:t xml:space="preserve">Ознакомление сотрудников под подпись с локальными документами Компании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pPr>
            <w:r>
              <w:rPr>
                <w:sz w:val="24"/>
              </w:rPr>
              <w:t xml:space="preserve">Доведение до сведения персонала организационных, распорядительных и кадровых документов организации </w:t>
            </w:r>
          </w:p>
        </w:tc>
      </w:tr>
      <w:tr w:rsidR="002C0F56">
        <w:trPr>
          <w:trHeight w:val="1666"/>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pPr>
            <w:r>
              <w:rPr>
                <w:sz w:val="24"/>
              </w:rPr>
              <w:t>Подписание с сотрудниками всех необходимы документов по приемам, переводам, увольнениям работников в соответствии с ТК РФ, а также другой установленной ко</w:t>
            </w:r>
            <w:r>
              <w:rPr>
                <w:sz w:val="24"/>
              </w:rPr>
              <w:t xml:space="preserve">мпанией документации по кадрам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Разработка и оформление документации по персоналу </w:t>
            </w:r>
          </w:p>
        </w:tc>
      </w:tr>
      <w:tr w:rsidR="002C0F56">
        <w:trPr>
          <w:trHeight w:val="565"/>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1844"/>
                <w:tab w:val="center" w:pos="2562"/>
                <w:tab w:val="center" w:pos="3603"/>
                <w:tab w:val="right" w:pos="4649"/>
              </w:tabs>
              <w:spacing w:after="27" w:line="259" w:lineRule="auto"/>
              <w:ind w:left="0" w:firstLine="0"/>
              <w:jc w:val="left"/>
            </w:pPr>
            <w:r>
              <w:rPr>
                <w:sz w:val="24"/>
              </w:rPr>
              <w:t xml:space="preserve">Формирование </w:t>
            </w:r>
            <w:r>
              <w:rPr>
                <w:sz w:val="24"/>
              </w:rPr>
              <w:tab/>
              <w:t xml:space="preserve">и </w:t>
            </w:r>
            <w:r>
              <w:rPr>
                <w:sz w:val="24"/>
              </w:rPr>
              <w:tab/>
              <w:t xml:space="preserve">ведение </w:t>
            </w:r>
            <w:r>
              <w:rPr>
                <w:sz w:val="24"/>
              </w:rPr>
              <w:tab/>
              <w:t xml:space="preserve">личных </w:t>
            </w:r>
            <w:r>
              <w:rPr>
                <w:sz w:val="24"/>
              </w:rPr>
              <w:tab/>
              <w:t xml:space="preserve">дел </w:t>
            </w:r>
          </w:p>
          <w:p w:rsidR="002C0F56" w:rsidRDefault="00E67C6E">
            <w:pPr>
              <w:spacing w:after="0" w:line="259" w:lineRule="auto"/>
              <w:ind w:left="0" w:firstLine="0"/>
              <w:jc w:val="left"/>
            </w:pPr>
            <w:r>
              <w:rPr>
                <w:sz w:val="24"/>
              </w:rPr>
              <w:t xml:space="preserve">работников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844"/>
                <w:tab w:val="center" w:pos="1631"/>
                <w:tab w:val="center" w:pos="2744"/>
                <w:tab w:val="right" w:pos="4654"/>
              </w:tabs>
              <w:spacing w:after="27" w:line="259" w:lineRule="auto"/>
              <w:ind w:left="0" w:firstLine="0"/>
              <w:jc w:val="left"/>
            </w:pPr>
            <w:r>
              <w:rPr>
                <w:sz w:val="24"/>
              </w:rPr>
              <w:t xml:space="preserve">Сбор </w:t>
            </w:r>
            <w:r>
              <w:rPr>
                <w:sz w:val="24"/>
              </w:rPr>
              <w:tab/>
              <w:t xml:space="preserve">и </w:t>
            </w:r>
            <w:r>
              <w:rPr>
                <w:sz w:val="24"/>
              </w:rPr>
              <w:tab/>
              <w:t xml:space="preserve">проверка </w:t>
            </w:r>
            <w:r>
              <w:rPr>
                <w:sz w:val="24"/>
              </w:rPr>
              <w:tab/>
              <w:t xml:space="preserve">личных </w:t>
            </w:r>
            <w:r>
              <w:rPr>
                <w:sz w:val="24"/>
              </w:rPr>
              <w:tab/>
              <w:t xml:space="preserve">документов </w:t>
            </w:r>
          </w:p>
          <w:p w:rsidR="002C0F56" w:rsidRDefault="00E67C6E">
            <w:pPr>
              <w:spacing w:after="0" w:line="259" w:lineRule="auto"/>
              <w:ind w:left="0" w:firstLine="0"/>
              <w:jc w:val="left"/>
            </w:pPr>
            <w:r>
              <w:rPr>
                <w:sz w:val="24"/>
              </w:rPr>
              <w:t xml:space="preserve">работников </w:t>
            </w:r>
          </w:p>
        </w:tc>
      </w:tr>
      <w:tr w:rsidR="002C0F56">
        <w:trPr>
          <w:trHeight w:val="895"/>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2184"/>
                <w:tab w:val="center" w:pos="3206"/>
                <w:tab w:val="right" w:pos="4649"/>
              </w:tabs>
              <w:spacing w:after="29" w:line="259" w:lineRule="auto"/>
              <w:ind w:left="0" w:firstLine="0"/>
              <w:jc w:val="left"/>
            </w:pPr>
            <w:r>
              <w:rPr>
                <w:sz w:val="24"/>
              </w:rPr>
              <w:t xml:space="preserve">Правильное </w:t>
            </w:r>
            <w:r>
              <w:rPr>
                <w:sz w:val="24"/>
              </w:rPr>
              <w:tab/>
              <w:t xml:space="preserve">заполнение </w:t>
            </w:r>
            <w:r>
              <w:rPr>
                <w:sz w:val="24"/>
              </w:rPr>
              <w:tab/>
              <w:t xml:space="preserve">и </w:t>
            </w:r>
            <w:r>
              <w:rPr>
                <w:sz w:val="24"/>
              </w:rPr>
              <w:tab/>
              <w:t xml:space="preserve">хранение </w:t>
            </w:r>
          </w:p>
          <w:p w:rsidR="002C0F56" w:rsidRDefault="00E67C6E">
            <w:pPr>
              <w:spacing w:after="0" w:line="259" w:lineRule="auto"/>
              <w:ind w:left="0" w:firstLine="0"/>
              <w:jc w:val="left"/>
            </w:pPr>
            <w:r>
              <w:rPr>
                <w:sz w:val="24"/>
              </w:rPr>
              <w:t xml:space="preserve">трудовых книжек сотрудников магазинов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pPr>
            <w:r>
              <w:rPr>
                <w:sz w:val="24"/>
              </w:rPr>
              <w:t xml:space="preserve">Регистрация, учет и текущее хранение организационной и распорядительной документации по персоналу </w:t>
            </w:r>
          </w:p>
        </w:tc>
      </w:tr>
      <w:tr w:rsidR="002C0F56">
        <w:trPr>
          <w:trHeight w:val="838"/>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Внесение необходимых сведений в журнал учета и движения трудовых книжек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pPr>
            <w:r>
              <w:rPr>
                <w:sz w:val="24"/>
              </w:rPr>
              <w:t xml:space="preserve">Регистрация, </w:t>
            </w:r>
            <w:r>
              <w:rPr>
                <w:sz w:val="24"/>
              </w:rPr>
              <w:t xml:space="preserve">учет и текущее хранение организационной и распорядительной документации по персоналу </w:t>
            </w:r>
          </w:p>
        </w:tc>
      </w:tr>
    </w:tbl>
    <w:p w:rsidR="002C0F56" w:rsidRDefault="00E67C6E">
      <w:pPr>
        <w:spacing w:after="0" w:line="259" w:lineRule="auto"/>
        <w:ind w:left="10" w:right="853" w:hanging="10"/>
        <w:jc w:val="right"/>
      </w:pPr>
      <w:r>
        <w:rPr>
          <w:i/>
          <w:sz w:val="24"/>
        </w:rPr>
        <w:t xml:space="preserve">Продолжение табл. 1 </w:t>
      </w:r>
    </w:p>
    <w:tbl>
      <w:tblPr>
        <w:tblStyle w:val="TableGrid"/>
        <w:tblW w:w="9621" w:type="dxa"/>
        <w:tblInd w:w="72" w:type="dxa"/>
        <w:tblCellMar>
          <w:top w:w="62" w:type="dxa"/>
          <w:left w:w="108" w:type="dxa"/>
          <w:bottom w:w="0" w:type="dxa"/>
          <w:right w:w="48" w:type="dxa"/>
        </w:tblCellMar>
        <w:tblLook w:val="04A0" w:firstRow="1" w:lastRow="0" w:firstColumn="1" w:lastColumn="0" w:noHBand="0" w:noVBand="1"/>
      </w:tblPr>
      <w:tblGrid>
        <w:gridCol w:w="4808"/>
        <w:gridCol w:w="4813"/>
      </w:tblGrid>
      <w:tr w:rsidR="002C0F56">
        <w:trPr>
          <w:trHeight w:val="881"/>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Подписание и хранение графиков работы сотрудников торговых объектов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Регистрация, учет и текущее хранение организационной и распорядительной документации по персоналу </w:t>
            </w:r>
          </w:p>
        </w:tc>
      </w:tr>
      <w:tr w:rsidR="002C0F56">
        <w:trPr>
          <w:trHeight w:val="564"/>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Оформление документов для оформления банковских карт, передача данных в банк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Не соответствует профстандарту </w:t>
            </w:r>
          </w:p>
        </w:tc>
      </w:tr>
      <w:tr w:rsidR="002C0F56">
        <w:trPr>
          <w:trHeight w:val="838"/>
        </w:trPr>
        <w:tc>
          <w:tcPr>
            <w:tcW w:w="480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Подсчет трудового стажа и внесение в SAP HR в день приема </w:t>
            </w:r>
          </w:p>
        </w:tc>
        <w:tc>
          <w:tcPr>
            <w:tcW w:w="481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pPr>
            <w:r>
              <w:rPr>
                <w:sz w:val="24"/>
              </w:rPr>
              <w:t xml:space="preserve">Регистрация, учет и текущее хранение организационной и распорядительной документации по персоналу </w:t>
            </w:r>
          </w:p>
        </w:tc>
      </w:tr>
    </w:tbl>
    <w:p w:rsidR="002C0F56" w:rsidRDefault="00E67C6E">
      <w:pPr>
        <w:spacing w:after="0" w:line="259" w:lineRule="auto"/>
        <w:ind w:left="744" w:firstLine="0"/>
        <w:jc w:val="left"/>
      </w:pPr>
      <w:r>
        <w:t xml:space="preserve"> </w:t>
      </w:r>
    </w:p>
    <w:p w:rsidR="002C0F56" w:rsidRDefault="00E67C6E">
      <w:pPr>
        <w:spacing w:after="0"/>
        <w:ind w:left="165" w:right="873"/>
      </w:pPr>
      <w:r>
        <w:t>Подводя итоги проведённого сравнения можно сделать вывод, что почти все обязанности, указанные в объявлении, соответствуют трудовым действиям, необходимым для выполнения трудовой функции “документационное обеспечение работы с персоналом”. Можно отметить то</w:t>
      </w:r>
      <w:r>
        <w:t xml:space="preserve">лько то, что используется разная формулировка задач, но суть остаётся понятной. Работодатель скорее всего ознакомлен с профессиональным стандартом на данную должность и требует от своих сотрудников выполнения соответствующих обязанностей.  </w:t>
      </w:r>
    </w:p>
    <w:p w:rsidR="002C0F56" w:rsidRDefault="00E67C6E">
      <w:pPr>
        <w:spacing w:after="0"/>
        <w:ind w:left="165" w:right="869"/>
      </w:pPr>
      <w:r>
        <w:t xml:space="preserve">Далее проведём </w:t>
      </w:r>
      <w:r>
        <w:t>анализ на соответствие требованиям к знаниям потенциального сотрудника. Работодатель указывает на знание трудового законодательства РФ и на наличие высшего образования. Профессиональный стандарт не обязывает сотрудника, выполняющего трудовую функцию по док</w:t>
      </w:r>
      <w:r>
        <w:t xml:space="preserve">ументационному обеспечению работы с персоналом иметь высшее образование, достаточно среднего профессионального образования. Знание трудового законодательства является необходимым требованием профстандарта </w:t>
      </w:r>
      <w:r>
        <w:lastRenderedPageBreak/>
        <w:t>на ряду с другими, такими как: знание порядка оформ</w:t>
      </w:r>
      <w:r>
        <w:t xml:space="preserve">ления, ведения и хранения документов по персоналу, порядка учета движения кадров и составления установленной отчётности, порядок расчета стажа, льгот, компенсаций, оформления пенсий, основы архивного законодательства и нормативные правовые акты Российской </w:t>
      </w:r>
      <w:r>
        <w:t xml:space="preserve">Федерации, в части ведения документации по персоналу и т.д.[1]. Данные требования не указаны в объявлении, но прописанные должностные обязанности подразумевают знание вышеперечисленных процедур и документов. </w:t>
      </w:r>
    </w:p>
    <w:p w:rsidR="002C0F56" w:rsidRDefault="00E67C6E">
      <w:pPr>
        <w:spacing w:after="2"/>
        <w:ind w:left="165" w:right="873"/>
      </w:pPr>
      <w:r>
        <w:t>Представленные в объявлении о вакансии обязанно</w:t>
      </w:r>
      <w:r>
        <w:t>сти и требования полностью соответствует компетенциям, указанным в профессиональном стандарте. Недостатком объявления является не полное указание обязанностей и требований, которые также есть в профстандарте. Однако, это вполне объяснимо: объявление являет</w:t>
      </w:r>
      <w:r>
        <w:t xml:space="preserve">ся довольно краткой формой изложения информации и более подробно соискатель может изучить, предъявляемые требования, уже непосредственно на собеседовании.  </w:t>
      </w:r>
    </w:p>
    <w:p w:rsidR="002C0F56" w:rsidRDefault="00E67C6E">
      <w:pPr>
        <w:spacing w:after="0"/>
        <w:ind w:left="165" w:right="874"/>
      </w:pPr>
      <w:r>
        <w:t>Проанализированные объявления о вакансиях составлены достаточно структурировано, ёмко и информативн</w:t>
      </w:r>
      <w:r>
        <w:t>о. Работодатели особое внимание уделяют к содержанию объявления. Также мы выявили соответствие компетенций, представленных в профессиональном стандарте и объявлении о вакансии на примере должности “специалист по кадровому делопроизводству». Работодатели оз</w:t>
      </w:r>
      <w:r>
        <w:t xml:space="preserve">накомлены с профстандартом, и предполагаемые обязанности претендента соответствуют утверждённому документу.   </w:t>
      </w:r>
    </w:p>
    <w:p w:rsidR="002C0F56" w:rsidRDefault="00E67C6E">
      <w:pPr>
        <w:spacing w:after="23"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tabs>
          <w:tab w:val="center" w:pos="850"/>
          <w:tab w:val="center" w:pos="2777"/>
          <w:tab w:val="center" w:pos="4862"/>
          <w:tab w:val="center" w:pos="6537"/>
          <w:tab w:val="center" w:pos="7829"/>
          <w:tab w:val="center" w:pos="9086"/>
        </w:tabs>
        <w:ind w:left="0" w:firstLine="0"/>
        <w:jc w:val="left"/>
      </w:pPr>
      <w:r>
        <w:rPr>
          <w:rFonts w:ascii="Calibri" w:eastAsia="Calibri" w:hAnsi="Calibri" w:cs="Calibri"/>
          <w:sz w:val="22"/>
        </w:rPr>
        <w:tab/>
      </w:r>
      <w:r>
        <w:t>1.</w:t>
      </w:r>
      <w:r>
        <w:rPr>
          <w:rFonts w:ascii="Arial" w:eastAsia="Arial" w:hAnsi="Arial" w:cs="Arial"/>
        </w:rPr>
        <w:t xml:space="preserve"> </w:t>
      </w:r>
      <w:r>
        <w:rPr>
          <w:rFonts w:ascii="Arial" w:eastAsia="Arial" w:hAnsi="Arial" w:cs="Arial"/>
        </w:rPr>
        <w:tab/>
      </w:r>
      <w:r>
        <w:t xml:space="preserve">Профессиональный </w:t>
      </w:r>
      <w:r>
        <w:tab/>
        <w:t xml:space="preserve">стандарт </w:t>
      </w:r>
      <w:r>
        <w:tab/>
        <w:t xml:space="preserve">"Специалист </w:t>
      </w:r>
      <w:r>
        <w:tab/>
        <w:t xml:space="preserve">по </w:t>
      </w:r>
      <w:r>
        <w:tab/>
        <w:t xml:space="preserve">управлению </w:t>
      </w:r>
    </w:p>
    <w:p w:rsidR="002C0F56" w:rsidRDefault="00E67C6E">
      <w:pPr>
        <w:spacing w:after="12"/>
        <w:ind w:left="165" w:right="302" w:firstLine="0"/>
      </w:pPr>
      <w:r>
        <w:t xml:space="preserve">персоналом" </w:t>
      </w:r>
    </w:p>
    <w:p w:rsidR="002C0F56" w:rsidRDefault="00E67C6E">
      <w:pPr>
        <w:spacing w:after="0" w:line="259" w:lineRule="auto"/>
        <w:ind w:left="744" w:firstLine="0"/>
        <w:jc w:val="left"/>
      </w:pPr>
      <w:r>
        <w:t xml:space="preserve"> </w:t>
      </w:r>
    </w:p>
    <w:p w:rsidR="002C0F56" w:rsidRDefault="00E67C6E">
      <w:pPr>
        <w:spacing w:after="27" w:line="259" w:lineRule="auto"/>
        <w:ind w:left="744" w:firstLine="0"/>
        <w:jc w:val="left"/>
      </w:pPr>
      <w:r>
        <w:t xml:space="preserve"> </w:t>
      </w:r>
    </w:p>
    <w:p w:rsidR="002C0F56" w:rsidRDefault="00E67C6E">
      <w:pPr>
        <w:spacing w:after="25" w:line="259" w:lineRule="auto"/>
        <w:ind w:left="10" w:right="856" w:hanging="10"/>
        <w:jc w:val="right"/>
      </w:pPr>
      <w:r>
        <w:rPr>
          <w:b/>
        </w:rPr>
        <w:t xml:space="preserve">Гузельбаева Г.Т., к.э.н., доц. </w:t>
      </w:r>
    </w:p>
    <w:p w:rsidR="002C0F56" w:rsidRDefault="00E67C6E">
      <w:pPr>
        <w:spacing w:after="0" w:line="267" w:lineRule="auto"/>
        <w:ind w:left="905" w:right="860" w:hanging="10"/>
        <w:jc w:val="right"/>
      </w:pPr>
      <w:r>
        <w:rPr>
          <w:i/>
        </w:rPr>
        <w:t xml:space="preserve">Казанский федеральный університет </w:t>
      </w:r>
    </w:p>
    <w:p w:rsidR="002C0F56" w:rsidRDefault="00E67C6E">
      <w:pPr>
        <w:spacing w:after="30" w:line="259" w:lineRule="auto"/>
        <w:ind w:left="0" w:right="797" w:firstLine="0"/>
        <w:jc w:val="right"/>
      </w:pPr>
      <w:r>
        <w:rPr>
          <w:i/>
        </w:rPr>
        <w:t xml:space="preserve"> </w:t>
      </w:r>
    </w:p>
    <w:p w:rsidR="002C0F56" w:rsidRDefault="00E67C6E">
      <w:pPr>
        <w:pStyle w:val="1"/>
        <w:spacing w:after="15" w:line="271" w:lineRule="auto"/>
        <w:ind w:left="502" w:right="0"/>
        <w:jc w:val="left"/>
      </w:pPr>
      <w:r>
        <w:t xml:space="preserve">РЕАЛИЗАЦИЯ ГОСУДАРСТВЕННО-ЧАСТНОГО ПАРТНЕРСТВА В </w:t>
      </w:r>
    </w:p>
    <w:p w:rsidR="002C0F56" w:rsidRDefault="00E67C6E">
      <w:pPr>
        <w:pStyle w:val="1"/>
        <w:ind w:left="700" w:right="1379"/>
      </w:pPr>
      <w:r>
        <w:t xml:space="preserve">ОСОБЫХ ЭКОНОМИЧЕСКИХ ЗОНАХ </w:t>
      </w:r>
    </w:p>
    <w:p w:rsidR="002C0F56" w:rsidRDefault="00E67C6E">
      <w:pPr>
        <w:spacing w:after="0" w:line="259" w:lineRule="auto"/>
        <w:ind w:left="744" w:firstLine="0"/>
        <w:jc w:val="left"/>
      </w:pPr>
      <w:r>
        <w:t xml:space="preserve"> </w:t>
      </w:r>
    </w:p>
    <w:p w:rsidR="002C0F56" w:rsidRDefault="00E67C6E">
      <w:pPr>
        <w:ind w:left="165" w:right="866"/>
      </w:pPr>
      <w:r>
        <w:t>В настоящее время одной из важнейших внутриэкономических задач России является перевод отечественной промышленности от сырьевой направленно</w:t>
      </w:r>
      <w:r>
        <w:t xml:space="preserve">сти в сферу высоких технологий, в сферу инновационной деятельности. Добиться успеха в реализации данной задачи можно благодаря использованию одного из </w:t>
      </w:r>
      <w:r>
        <w:lastRenderedPageBreak/>
        <w:t>новых, перспективных инструментов по привлечению частных инвестиций и диверсификации экономики - особые э</w:t>
      </w:r>
      <w:r>
        <w:t xml:space="preserve">кономические зоны (ОЭЗ). </w:t>
      </w:r>
    </w:p>
    <w:p w:rsidR="002C0F56" w:rsidRDefault="00E67C6E">
      <w:pPr>
        <w:spacing w:after="0"/>
        <w:ind w:left="165" w:right="866"/>
      </w:pPr>
      <w:r>
        <w:t>Несмотря на множество схожих черт государственно – частного партнерства и ОЭЗ, есть одно принципиальное отличие, которое сводится к следующему. Если в случае партнерства участники реализуют проект в одной сфере, то в рамках ОЭЗ фу</w:t>
      </w:r>
      <w:r>
        <w:t xml:space="preserve">нкционирует большое количество резидентов, которые занимаются разнонаправленной деятельностью. </w:t>
      </w:r>
    </w:p>
    <w:p w:rsidR="002C0F56" w:rsidRDefault="00E67C6E">
      <w:pPr>
        <w:spacing w:after="0"/>
        <w:ind w:left="165" w:right="868"/>
      </w:pPr>
      <w:r>
        <w:t>Следовательно, ОЭЗ являются не формой ГЧП, а скорее средой его реализации, которая носит локальный характер. Особенностью локальной среды является то, что она п</w:t>
      </w:r>
      <w:r>
        <w:t xml:space="preserve">орождается взаимодействием агентов, принадлежащих к разным секторам экономики, а также формируется при взаимном влиянии государственной власти и представителей деловых кругов.  </w:t>
      </w:r>
    </w:p>
    <w:p w:rsidR="002C0F56" w:rsidRDefault="00E67C6E">
      <w:pPr>
        <w:ind w:left="165" w:right="302"/>
      </w:pPr>
      <w:r>
        <w:t>На сегодняшний день на территории РФ предусмотрено создание следующих типов ОЭ</w:t>
      </w:r>
      <w:r>
        <w:t xml:space="preserve">З: </w:t>
      </w:r>
    </w:p>
    <w:p w:rsidR="002C0F56" w:rsidRDefault="00E67C6E">
      <w:pPr>
        <w:numPr>
          <w:ilvl w:val="0"/>
          <w:numId w:val="84"/>
        </w:numPr>
        <w:ind w:right="869"/>
      </w:pPr>
      <w:r>
        <w:t xml:space="preserve">промышленно-производственные (ППЗ); </w:t>
      </w:r>
    </w:p>
    <w:p w:rsidR="002C0F56" w:rsidRDefault="00E67C6E">
      <w:pPr>
        <w:numPr>
          <w:ilvl w:val="0"/>
          <w:numId w:val="84"/>
        </w:numPr>
        <w:spacing w:after="5" w:line="268" w:lineRule="auto"/>
        <w:ind w:right="869"/>
      </w:pPr>
      <w:r>
        <w:t xml:space="preserve">технико-внедренческие (ТВЗ); - туристско- рекреационные (ТРЗ); - портовые (ПОЭЗ). </w:t>
      </w:r>
    </w:p>
    <w:p w:rsidR="002C0F56" w:rsidRDefault="00E67C6E">
      <w:pPr>
        <w:spacing w:after="3"/>
        <w:ind w:left="165" w:right="865"/>
      </w:pPr>
      <w:r>
        <w:t xml:space="preserve">Что касается требований к минимальному объему инвестиций для резидентов ОЭЗ, то они для ТВЗ отсутствуют, а для резидентов промышленнопроизводственных и, в некоторых случаях, портовых особых экономических зон установлены. Для ППЗ данная сумма составляет 10 </w:t>
      </w:r>
      <w:r>
        <w:t xml:space="preserve">млн.евро (за исключением нематериальных активов), из которых в течение года со дня заключения соглашения должно быть инвестировано не менее 1 млн.евро. </w:t>
      </w:r>
    </w:p>
    <w:p w:rsidR="002C0F56" w:rsidRDefault="00E67C6E">
      <w:pPr>
        <w:ind w:left="165" w:right="872"/>
      </w:pPr>
      <w:r>
        <w:t>В случае ведения деятельности в ПОЭЗ резидент в течение срока действия соглашения обязан осуществить ка</w:t>
      </w:r>
      <w:r>
        <w:t xml:space="preserve">питальные вложения в рублях в сумме, эквивалентной: </w:t>
      </w:r>
    </w:p>
    <w:p w:rsidR="002C0F56" w:rsidRDefault="00E67C6E">
      <w:pPr>
        <w:numPr>
          <w:ilvl w:val="0"/>
          <w:numId w:val="84"/>
        </w:numPr>
        <w:ind w:right="869"/>
      </w:pPr>
      <w:r>
        <w:t>не менее десяти миллионам евро (за исключением нематериальных активов) при строительстве объектов инфраструктуры морского порта, речного порта, аэропорта, в том числе новых морского порта, речного порта,</w:t>
      </w:r>
      <w:r>
        <w:t xml:space="preserve"> аэропорта; </w:t>
      </w:r>
    </w:p>
    <w:p w:rsidR="002C0F56" w:rsidRDefault="00E67C6E">
      <w:pPr>
        <w:numPr>
          <w:ilvl w:val="0"/>
          <w:numId w:val="84"/>
        </w:numPr>
        <w:spacing w:after="10"/>
        <w:ind w:right="869"/>
      </w:pPr>
      <w:r>
        <w:t xml:space="preserve">не менее трем миллионам евро (за исключением нематериальных активов) при реконструкции объектов инфраструктуры морского порта, речного порта, аэропорта[1]. </w:t>
      </w:r>
    </w:p>
    <w:p w:rsidR="002C0F56" w:rsidRDefault="00E67C6E">
      <w:pPr>
        <w:ind w:left="165" w:right="872"/>
      </w:pPr>
      <w:r>
        <w:t>Основной целью создания ПОЭЗ является создание условий для перераспределения транзитны</w:t>
      </w:r>
      <w:r>
        <w:t xml:space="preserve">х мировых потоков товаров и капиталов в интересах Российской Федерации.  </w:t>
      </w:r>
    </w:p>
    <w:p w:rsidR="002C0F56" w:rsidRDefault="00E67C6E">
      <w:pPr>
        <w:spacing w:after="0"/>
        <w:ind w:left="165" w:right="866"/>
      </w:pPr>
      <w:r>
        <w:t>Следующий тип ОЭЗ, как технико-внедренческие, призван создавать высокотехнологичную продукцию и доводить ее до промышленного применения. Если рассматривать зарубежный опыт, то они на</w:t>
      </w:r>
      <w:r>
        <w:t xml:space="preserve">иболее часто </w:t>
      </w:r>
      <w:r>
        <w:lastRenderedPageBreak/>
        <w:t>встречаются в США, Японии и Китае. Причем, в американской практике их именуют технопарками, в японской – технополисами, в китайской – зонами развития новой и высокой технологии. Вместе с тем в Китае зоны развития «представляют собой ориентиров</w:t>
      </w:r>
      <w:r>
        <w:t xml:space="preserve">анные на внешний мир районы, в которых концентрируются иностранные инвестиции и где система стимулов экономического роста зависит от притока капиталов из-за рубежа» [2]. </w:t>
      </w:r>
    </w:p>
    <w:p w:rsidR="002C0F56" w:rsidRDefault="00E67C6E">
      <w:pPr>
        <w:spacing w:after="0"/>
        <w:ind w:left="165" w:right="870"/>
      </w:pPr>
      <w:r>
        <w:t>Однако проведенные нами исследования показывают, что проблем в области развития ОЭЗ е</w:t>
      </w:r>
      <w:r>
        <w:t>ще немало. По мнению экспертов на успешное развитие ОЭЗ негативное воздействие оказывают следующие факторы: дефицит резидентов, неудовлетворительный объем предоставляемых льгот, медленное освоение территорий; недостаточно прозрачный механизм заключения сог</w:t>
      </w:r>
      <w:r>
        <w:t xml:space="preserve">лашений с резидентами, высокие входные барьеры; неразвитость социальной инфраструктуры, низкая активность осваивания бюджетных средств. </w:t>
      </w:r>
    </w:p>
    <w:p w:rsidR="002C0F56" w:rsidRDefault="00E67C6E">
      <w:pPr>
        <w:spacing w:after="0"/>
        <w:ind w:left="165" w:right="866"/>
      </w:pPr>
      <w:r>
        <w:t>Особого внимания из перечисленных проблем заслуживает вопрос предоставления льгот инвесторам, которых, по их мнению, не</w:t>
      </w:r>
      <w:r>
        <w:t xml:space="preserve">достаточно, так как они не компенсируют в полной мере возникающие риски. Кроме того, их с меньшими усилиями можно получить в рамках регионального законодательства. </w:t>
      </w:r>
    </w:p>
    <w:p w:rsidR="002C0F56" w:rsidRDefault="00E67C6E">
      <w:pPr>
        <w:ind w:left="165" w:right="870"/>
      </w:pPr>
      <w:r>
        <w:t>В качестве институциональных преобразований, мы считаем уместным, институтам управления ОЭЗ</w:t>
      </w:r>
      <w:r>
        <w:t xml:space="preserve"> наладить тесную связь с создаваемыми в настоящее время региональными центрами ГЧП. Данные центры помогут сформировать взаимосвязи органов управления ОЭЗ с банками, технопарками, промышленными округами, которые, в отличие от государства, обладают современн</w:t>
      </w:r>
      <w:r>
        <w:t xml:space="preserve">ыми финансовыми инструментами инвестирования. </w:t>
      </w:r>
    </w:p>
    <w:p w:rsidR="002C0F56" w:rsidRDefault="00E67C6E">
      <w:pPr>
        <w:spacing w:after="0"/>
        <w:ind w:left="165" w:right="871"/>
      </w:pPr>
      <w:r>
        <w:t>Таким образом, несмотря на существующие трудности в процессе создания ОЭЗ, они наряду с другими институтами развития могут стать эффективным инструментом антикризисной политики, притока инвестиций, роста занят</w:t>
      </w:r>
      <w:r>
        <w:t xml:space="preserve">ости населения, повышения конкурентоспособности экономики страны, которая принимает выгодный экспортно-ориентированный характер. </w:t>
      </w:r>
    </w:p>
    <w:p w:rsidR="002C0F56" w:rsidRDefault="00E67C6E">
      <w:pPr>
        <w:spacing w:after="0"/>
        <w:ind w:left="165" w:right="869"/>
      </w:pPr>
      <w:r>
        <w:t>Инновационный потенциал  ОЭЗ может выражаться в виде статических и динамических экономических эффектов. Статические экономичес</w:t>
      </w:r>
      <w:r>
        <w:t xml:space="preserve">кие эффекты достигаются в случае, когда появляются новые источники дохода и рабочие места, растет экспорт, поступает иностранная валюта, пополняется доходная часть государственного бюджета. </w:t>
      </w:r>
    </w:p>
    <w:p w:rsidR="002C0F56" w:rsidRDefault="00E67C6E">
      <w:pPr>
        <w:spacing w:after="6"/>
        <w:ind w:left="165" w:right="873"/>
      </w:pPr>
      <w:r>
        <w:t>Динамические эффекты  включают потенциальную возможность создания</w:t>
      </w:r>
      <w:r>
        <w:t xml:space="preserve"> новых рабочих мест, повышение квалификации персонала, обеспечение трансфера новых технологий и эффект демонстрации, который возникает вследствие применения передового опыта. Эффекты данной группы являются более значимыми с точки зрения долгосрочной прибыл</w:t>
      </w:r>
      <w:r>
        <w:t xml:space="preserve">и от развития зоны, но в меньшей степени поддаются измерению.  </w:t>
      </w:r>
    </w:p>
    <w:p w:rsidR="002C0F56" w:rsidRDefault="00E67C6E">
      <w:pPr>
        <w:spacing w:after="10"/>
        <w:ind w:left="165" w:right="873"/>
      </w:pPr>
      <w:r>
        <w:lastRenderedPageBreak/>
        <w:t>В целом создание и развитие ОЭЗ имеет ряд положительных моментов, а именно: способствует интенсификации экономического роста, укреплению внешнеэкономического потенциала страны; позволяет обеспечить мощный научно-технологический рывок; оказывает существенно</w:t>
      </w:r>
      <w:r>
        <w:t xml:space="preserve">е влияние, как на отдельные аспекты экономической безопасности, так и на ее общий уровень. </w:t>
      </w:r>
    </w:p>
    <w:p w:rsidR="002C0F56" w:rsidRDefault="00E67C6E">
      <w:pPr>
        <w:spacing w:after="0"/>
        <w:ind w:left="165" w:right="868"/>
      </w:pPr>
      <w:r>
        <w:t>Говоря о достоинствах и преимуществах ОЭЗ, необходимо иметь в виду, что их реализация возможна лишь при создании определенных условий, к таковым относятся: развитие</w:t>
      </w:r>
      <w:r>
        <w:t xml:space="preserve"> институтов управленческого менеджмента (конъюнктурных, маркетинговых, институтов сертификации), оказывающих содействие инвесторам в продвижении инновационных технологий, товаров и услуг на рынок; институтов и механизмов финансового рынка (кредитование, уп</w:t>
      </w:r>
      <w:r>
        <w:t xml:space="preserve">равление активами, страхование, лизинг и т.д.); формирование инновационной деятельности, в том числе на основе образования специальных венчурных фондов.   </w:t>
      </w:r>
    </w:p>
    <w:p w:rsidR="002C0F56" w:rsidRDefault="00E67C6E">
      <w:pPr>
        <w:spacing w:after="24" w:line="259" w:lineRule="auto"/>
        <w:ind w:left="0" w:right="55" w:firstLine="0"/>
        <w:jc w:val="center"/>
      </w:pPr>
      <w:r>
        <w:t xml:space="preserve"> </w:t>
      </w:r>
    </w:p>
    <w:p w:rsidR="002C0F56" w:rsidRDefault="00E67C6E">
      <w:pPr>
        <w:spacing w:after="5"/>
        <w:ind w:left="744" w:right="876" w:firstLine="3325"/>
      </w:pPr>
      <w:r>
        <w:t xml:space="preserve">Список литературы: 1. Официальный сайт Министерства экономического развития Российской </w:t>
      </w:r>
    </w:p>
    <w:p w:rsidR="002C0F56" w:rsidRDefault="00E67C6E">
      <w:pPr>
        <w:ind w:left="165" w:right="302" w:firstLine="0"/>
      </w:pPr>
      <w:r>
        <w:t>Федерации.</w:t>
      </w:r>
      <w:r>
        <w:t xml:space="preserve"> URL: </w:t>
      </w:r>
      <w:hyperlink r:id="rId522">
        <w:r>
          <w:t>http</w:t>
        </w:r>
      </w:hyperlink>
      <w:hyperlink r:id="rId523">
        <w:r>
          <w:t>://</w:t>
        </w:r>
      </w:hyperlink>
      <w:hyperlink r:id="rId524">
        <w:r>
          <w:t>economy</w:t>
        </w:r>
      </w:hyperlink>
      <w:hyperlink r:id="rId525">
        <w:r>
          <w:t>.</w:t>
        </w:r>
      </w:hyperlink>
      <w:hyperlink r:id="rId526">
        <w:r>
          <w:t>gov</w:t>
        </w:r>
      </w:hyperlink>
      <w:hyperlink r:id="rId527">
        <w:r>
          <w:t>.</w:t>
        </w:r>
      </w:hyperlink>
      <w:hyperlink r:id="rId528">
        <w:r>
          <w:t>ru</w:t>
        </w:r>
      </w:hyperlink>
      <w:hyperlink r:id="rId529">
        <w:r>
          <w:t>/</w:t>
        </w:r>
      </w:hyperlink>
      <w:hyperlink r:id="rId530">
        <w:r>
          <w:t xml:space="preserve"> </w:t>
        </w:r>
      </w:hyperlink>
    </w:p>
    <w:p w:rsidR="002C0F56" w:rsidRDefault="00E67C6E">
      <w:pPr>
        <w:ind w:left="165" w:right="865"/>
      </w:pPr>
      <w:r>
        <w:t>2. Пи Цяньшэн, Ван Кай (2006) Опыт китайских зон техникоэкономического развития /Пер. с китайского. – СП</w:t>
      </w:r>
      <w:r>
        <w:t xml:space="preserve">б.: Изд-во СанктПетербургского университета.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0" w:right="869" w:firstLine="0"/>
        <w:jc w:val="right"/>
      </w:pPr>
      <w:r>
        <w:rPr>
          <w:b/>
          <w:sz w:val="32"/>
        </w:rPr>
        <w:t xml:space="preserve">Денисюк М. Н.  </w:t>
      </w:r>
    </w:p>
    <w:p w:rsidR="002C0F56" w:rsidRDefault="00E67C6E">
      <w:pPr>
        <w:spacing w:after="11" w:line="270" w:lineRule="auto"/>
        <w:ind w:left="10" w:right="862" w:hanging="10"/>
        <w:jc w:val="right"/>
      </w:pPr>
      <w:r>
        <w:t xml:space="preserve">Научный руководитель: Дунько Э.М., к.э.н., доц.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rPr>
          <w:b/>
        </w:rPr>
        <w:t xml:space="preserve"> </w:t>
      </w:r>
    </w:p>
    <w:p w:rsidR="002C0F56" w:rsidRDefault="00E67C6E">
      <w:pPr>
        <w:pStyle w:val="1"/>
        <w:ind w:left="700" w:right="1377"/>
      </w:pPr>
      <w:r>
        <w:t xml:space="preserve">АВТОМАТИЗАЦИЯ ПРОЦЕССОВ УПРАВЛЕНИЯ РИСКАМИ </w:t>
      </w:r>
    </w:p>
    <w:p w:rsidR="002C0F56" w:rsidRDefault="00E67C6E">
      <w:pPr>
        <w:pStyle w:val="1"/>
        <w:ind w:left="700" w:right="1377"/>
      </w:pPr>
      <w:r>
        <w:t xml:space="preserve">ЛИЗИНГОВОЙ КОМПАНИИ </w:t>
      </w:r>
    </w:p>
    <w:p w:rsidR="002C0F56" w:rsidRDefault="00E67C6E">
      <w:pPr>
        <w:spacing w:after="27" w:line="259" w:lineRule="auto"/>
        <w:ind w:left="744" w:firstLine="0"/>
        <w:jc w:val="left"/>
      </w:pPr>
      <w:r>
        <w:rPr>
          <w:b/>
        </w:rPr>
        <w:t xml:space="preserve"> </w:t>
      </w:r>
    </w:p>
    <w:p w:rsidR="002C0F56" w:rsidRDefault="00E67C6E">
      <w:pPr>
        <w:spacing w:after="0"/>
        <w:ind w:left="165" w:right="868"/>
      </w:pPr>
      <w:r>
        <w:t xml:space="preserve">Лизинг (англ. Leasing – </w:t>
      </w:r>
      <w:r>
        <w:t>аренда) - долгосрочная аренда (на срок от 6 месяцев до нескольких лет) машин, оборудования, транспортных средств, сооружений производственного назначения, предусматривающая возможность их последующего выкупа арендатором. Лизинг осуществляется на основе дол</w:t>
      </w:r>
      <w:r>
        <w:t xml:space="preserve">госрочного договора между лизинговой компанией (лизингодателем), </w:t>
      </w:r>
      <w:r>
        <w:lastRenderedPageBreak/>
        <w:t>приобретающей оборудование за свой счет и сдающей его в аренду на несколько лет, и лизингополучателем, который постепенно вносит арендную плату за использование лизингового имущества. Нивелир</w:t>
      </w:r>
      <w:r>
        <w:t xml:space="preserve">ование рисков – обязательное условие работы любого финансового учреждения, участвующего в сделках.  </w:t>
      </w:r>
    </w:p>
    <w:p w:rsidR="002C0F56" w:rsidRDefault="00E67C6E">
      <w:pPr>
        <w:ind w:left="165" w:right="866"/>
      </w:pPr>
      <w:r>
        <w:t xml:space="preserve">Актуальность выбранной темы обоснована тем, что в наше время лизинг становится более популярным, растет его клиентская база. Лизинг в последнее время стал </w:t>
      </w:r>
      <w:r>
        <w:t>альтернативой банковского кредита. Многие субъекты предпринимательской деятельности, лишенные доступа к кредитным ресурсам вследствие жесткой банковской политики по отбору клиентов и предъявления к ним чрезмерно высоких требований относительно стоимости ак</w:t>
      </w:r>
      <w:r>
        <w:t xml:space="preserve">тивов компании, вынуждены искать новые источники инвестиций в свой бизнес и таким решением для них становится лизинг. С увеличением популярности лизинга, растет и количество рисков, которым подвержены лизинговые компании.  </w:t>
      </w:r>
    </w:p>
    <w:p w:rsidR="002C0F56" w:rsidRDefault="00E67C6E">
      <w:pPr>
        <w:ind w:left="165" w:right="863"/>
      </w:pPr>
      <w:r>
        <w:t>В условиях финансово-экономическ</w:t>
      </w:r>
      <w:r>
        <w:t>ого кризиса значение эффективного управления рисками существенно возрастает. Применение автоматизированных систем управления рисками минимизирует угрозы и повышает возможности для достижения стратегических целей предприятий, включая увеличение их прибыльно</w:t>
      </w:r>
      <w:r>
        <w:t>сти и доходности. Достижение поставленных целей возможно при воплощении в жизнь большого комплекса задач, к которым относятся: идентификация рисков; оценка их влияния на стратегические цели предприятия; разработка мероприятий и организация данных процессов</w:t>
      </w:r>
      <w:r>
        <w:t xml:space="preserve">; обучение и повышение квалификации менеджеров в исследуемой области; создание и осуществление плана управления рисками. </w:t>
      </w:r>
    </w:p>
    <w:p w:rsidR="002C0F56" w:rsidRDefault="00E67C6E">
      <w:pPr>
        <w:spacing w:after="0"/>
        <w:ind w:left="165" w:right="865"/>
      </w:pPr>
      <w:r>
        <w:t>Лизинг  – фактически тот же кредит, который человек или  предприятие получает в виде необходимого имущества. При этом в отличие от кре</w:t>
      </w:r>
      <w:r>
        <w:t>дита, лизингополучатель может рассчитывать на значительно более гибкие условия по выплатам. Одной из задач управления рисками лизинговой компании является выявление платежеспособности клиента. В наше время для выявления рисков связанных с неплатежеспособно</w:t>
      </w:r>
      <w:r>
        <w:t xml:space="preserve">стью клиента по лизинговой сделке применяются программные продукты, реализующие технологии кредитного скоринга.  </w:t>
      </w:r>
    </w:p>
    <w:p w:rsidR="002C0F56" w:rsidRDefault="00E67C6E">
      <w:pPr>
        <w:ind w:left="165" w:right="871"/>
      </w:pPr>
      <w:r>
        <w:t>Скоринг представляет собой математическую модель, с помощью которой на основе кредитной истории «прошлых» клиентов банк или лизинговая компани</w:t>
      </w:r>
      <w:r>
        <w:t xml:space="preserve">я пытается определить, насколько велика вероятность, что конкретный потенциальный заемщик вернет выданные средства в срок. [2] </w:t>
      </w:r>
    </w:p>
    <w:p w:rsidR="002C0F56" w:rsidRDefault="00E67C6E">
      <w:pPr>
        <w:spacing w:after="64"/>
        <w:ind w:left="165" w:right="865"/>
      </w:pPr>
      <w:r>
        <w:t>Разработанная в процессе исследования информационно-</w:t>
      </w:r>
      <w:r>
        <w:t xml:space="preserve">аналитическая система оценки лизингоспособности (лизингового скоринга) включает взаимосвязанные модули (элементы), обеспечивающие процесс принятия </w:t>
      </w:r>
      <w:r>
        <w:lastRenderedPageBreak/>
        <w:t>решения о предоставлении лизинга заёмщику и обслуживание лизингового портфеля. Ключевые преимущества от ее вн</w:t>
      </w:r>
      <w:r>
        <w:t xml:space="preserve">едрения: </w:t>
      </w:r>
    </w:p>
    <w:p w:rsidR="002C0F56" w:rsidRDefault="00E67C6E">
      <w:pPr>
        <w:numPr>
          <w:ilvl w:val="0"/>
          <w:numId w:val="85"/>
        </w:numPr>
        <w:spacing w:after="15" w:line="268" w:lineRule="auto"/>
        <w:ind w:right="302"/>
      </w:pPr>
      <w:r>
        <w:t xml:space="preserve">увеличение числа и скорости обработки поступающих заявок в разы; </w:t>
      </w:r>
    </w:p>
    <w:p w:rsidR="002C0F56" w:rsidRDefault="00E67C6E">
      <w:pPr>
        <w:numPr>
          <w:ilvl w:val="0"/>
          <w:numId w:val="85"/>
        </w:numPr>
        <w:spacing w:after="59"/>
        <w:ind w:right="302"/>
      </w:pPr>
      <w:r>
        <w:t xml:space="preserve">эффективная оценка и постоянный оперативный контроль уровня рисков заемщика; </w:t>
      </w:r>
    </w:p>
    <w:p w:rsidR="002C0F56" w:rsidRDefault="00E67C6E">
      <w:pPr>
        <w:numPr>
          <w:ilvl w:val="0"/>
          <w:numId w:val="85"/>
        </w:numPr>
        <w:spacing w:after="63"/>
        <w:ind w:right="302"/>
      </w:pPr>
      <w:r>
        <w:t>снижение влияния субъективных факторов при принятии решения о предоставлении лизинга, обеспечение объе</w:t>
      </w:r>
      <w:r>
        <w:t xml:space="preserve">ктивности в оценке заявок во всех отделениях организации; </w:t>
      </w:r>
    </w:p>
    <w:p w:rsidR="002C0F56" w:rsidRDefault="00E67C6E">
      <w:pPr>
        <w:numPr>
          <w:ilvl w:val="0"/>
          <w:numId w:val="85"/>
        </w:numPr>
        <w:spacing w:after="63"/>
        <w:ind w:right="302"/>
      </w:pPr>
      <w:r>
        <w:t xml:space="preserve">оценка и управление риском портфеля лизинга в целом, учет параметров новых сделок, уровня рентабельности и риска лизингового портфеля организации; </w:t>
      </w:r>
    </w:p>
    <w:p w:rsidR="002C0F56" w:rsidRDefault="00E67C6E">
      <w:pPr>
        <w:numPr>
          <w:ilvl w:val="0"/>
          <w:numId w:val="85"/>
        </w:numPr>
        <w:spacing w:after="57"/>
        <w:ind w:right="302"/>
      </w:pPr>
      <w:r>
        <w:t>реализация единого подхода при оценке заемщиков д</w:t>
      </w:r>
      <w:r>
        <w:t xml:space="preserve">ля различных типов лизинговых продуктов; </w:t>
      </w:r>
    </w:p>
    <w:p w:rsidR="002C0F56" w:rsidRDefault="00E67C6E">
      <w:pPr>
        <w:numPr>
          <w:ilvl w:val="0"/>
          <w:numId w:val="85"/>
        </w:numPr>
        <w:spacing w:after="59"/>
        <w:ind w:right="302"/>
      </w:pPr>
      <w:r>
        <w:t xml:space="preserve">адаптация условий лизинга (параметров сделки) под возможности заемщика – кастомизация лизингового продукта; </w:t>
      </w:r>
    </w:p>
    <w:p w:rsidR="002C0F56" w:rsidRDefault="00E67C6E">
      <w:pPr>
        <w:numPr>
          <w:ilvl w:val="0"/>
          <w:numId w:val="85"/>
        </w:numPr>
        <w:ind w:right="302"/>
      </w:pPr>
      <w:r>
        <w:t>экономия затрат за счет сокращение численности персонала и использования персонала более низкой квалифика</w:t>
      </w:r>
      <w:r>
        <w:t xml:space="preserve">ции. </w:t>
      </w:r>
    </w:p>
    <w:p w:rsidR="002C0F56" w:rsidRDefault="00E67C6E">
      <w:pPr>
        <w:spacing w:after="0"/>
        <w:ind w:left="165" w:right="869"/>
      </w:pPr>
      <w:r>
        <w:t xml:space="preserve">Разработанная информационно-аналитическая система управления рисками лизинговой компании дает возможность адекватно моделировать ситуации, проводить количественную и качественную оценку, как самих рисков, так и потенциальных потерь от них, выполнять </w:t>
      </w:r>
      <w:r>
        <w:t xml:space="preserve">прогнозирование с максимально возможной и заданной точностью.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86"/>
        </w:numPr>
        <w:ind w:right="866"/>
      </w:pPr>
      <w:r>
        <w:t xml:space="preserve">Кузнецов, С.Д. Проектирование и разработка корпоративных информационных систем. – [Электронный ресурс] – Режим доступа: </w:t>
      </w:r>
      <w:hyperlink r:id="rId531">
        <w:r>
          <w:t>http://zeus.sai.msu.ru:7000/cfin/prcorpsys/index.shtml</w:t>
        </w:r>
      </w:hyperlink>
      <w:hyperlink r:id="rId532">
        <w:r>
          <w:t>.</w:t>
        </w:r>
      </w:hyperlink>
      <w:r>
        <w:t xml:space="preserve"> – Дата доступа: 02.04.2017. </w:t>
      </w:r>
    </w:p>
    <w:p w:rsidR="002C0F56" w:rsidRDefault="00E67C6E">
      <w:pPr>
        <w:numPr>
          <w:ilvl w:val="0"/>
          <w:numId w:val="86"/>
        </w:numPr>
        <w:ind w:right="866"/>
      </w:pPr>
      <w:r>
        <w:t>Скоринг как метод оценки кредитного риска [Электронный ресурс]:– Режим дос</w:t>
      </w:r>
      <w:r>
        <w:t xml:space="preserve">тупа : </w:t>
      </w:r>
      <w:hyperlink r:id="rId533">
        <w:r>
          <w:t>http://www.cfin.ru/finanalysis/banks/scoring.shtml</w:t>
        </w:r>
      </w:hyperlink>
      <w:hyperlink r:id="rId534">
        <w:r>
          <w:t xml:space="preserve"> </w:t>
        </w:r>
      </w:hyperlink>
      <w:r>
        <w:t>– Дата доступа: 02.04.2017 3.</w:t>
      </w:r>
      <w:r>
        <w:rPr>
          <w:rFonts w:ascii="Arial" w:eastAsia="Arial" w:hAnsi="Arial" w:cs="Arial"/>
        </w:rPr>
        <w:t xml:space="preserve"> </w:t>
      </w:r>
      <w:r>
        <w:t>Соловьев, В. И. Математическ</w:t>
      </w:r>
      <w:r>
        <w:t xml:space="preserve">ие методы управления рисками: учеб. Пособие / В. И. Соловьев. – Москва: издательство ГУУ, 2003. –100 с.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pStyle w:val="1"/>
        <w:spacing w:after="25" w:line="259" w:lineRule="auto"/>
        <w:ind w:right="856"/>
        <w:jc w:val="right"/>
      </w:pPr>
      <w:r>
        <w:t xml:space="preserve">Джуманазаров О.Р. </w:t>
      </w:r>
      <w:r>
        <w:rPr>
          <w:b w:val="0"/>
        </w:rPr>
        <w:t xml:space="preserve">Научний руководитель: Юсупов Ф., к.т.н., доц.  </w:t>
      </w:r>
    </w:p>
    <w:p w:rsidR="002C0F56" w:rsidRDefault="00E67C6E">
      <w:pPr>
        <w:spacing w:after="0" w:line="267" w:lineRule="auto"/>
        <w:ind w:left="1753" w:right="860" w:hanging="10"/>
        <w:jc w:val="right"/>
      </w:pPr>
      <w:r>
        <w:rPr>
          <w:i/>
        </w:rPr>
        <w:t xml:space="preserve">Ургенчский филиал Ташкентского университета информационных технологий </w:t>
      </w:r>
    </w:p>
    <w:p w:rsidR="002C0F56" w:rsidRDefault="00E67C6E">
      <w:pPr>
        <w:spacing w:after="26" w:line="259" w:lineRule="auto"/>
        <w:ind w:left="744" w:firstLine="0"/>
        <w:jc w:val="left"/>
      </w:pPr>
      <w:r>
        <w:rPr>
          <w:b/>
        </w:rPr>
        <w:t xml:space="preserve"> </w:t>
      </w:r>
    </w:p>
    <w:p w:rsidR="002C0F56" w:rsidRDefault="00E67C6E">
      <w:pPr>
        <w:pStyle w:val="1"/>
        <w:spacing w:after="15" w:line="271" w:lineRule="auto"/>
        <w:ind w:left="201" w:right="0"/>
        <w:jc w:val="left"/>
      </w:pPr>
      <w:r>
        <w:lastRenderedPageBreak/>
        <w:t xml:space="preserve">ПРОЕКТИРОВАНИЕ ARDUINO-ПРОЕКТЫ С ПОМОЩЬЮ “FRITZING” </w:t>
      </w:r>
    </w:p>
    <w:p w:rsidR="002C0F56" w:rsidRDefault="00E67C6E">
      <w:pPr>
        <w:spacing w:after="0" w:line="259" w:lineRule="auto"/>
        <w:ind w:left="744" w:firstLine="0"/>
        <w:jc w:val="left"/>
      </w:pPr>
      <w:r>
        <w:rPr>
          <w:b/>
        </w:rPr>
        <w:t xml:space="preserve"> </w:t>
      </w:r>
    </w:p>
    <w:p w:rsidR="002C0F56" w:rsidRDefault="00E67C6E">
      <w:pPr>
        <w:spacing w:after="7"/>
        <w:ind w:left="165" w:right="784"/>
      </w:pPr>
      <w:r>
        <w:rPr>
          <w:noProof/>
        </w:rPr>
        <w:drawing>
          <wp:anchor distT="0" distB="0" distL="114300" distR="114300" simplePos="0" relativeHeight="251663360" behindDoc="0" locked="0" layoutInCell="1" allowOverlap="0">
            <wp:simplePos x="0" y="0"/>
            <wp:positionH relativeFrom="column">
              <wp:posOffset>3429762</wp:posOffset>
            </wp:positionH>
            <wp:positionV relativeFrom="paragraph">
              <wp:posOffset>-14544</wp:posOffset>
            </wp:positionV>
            <wp:extent cx="2858771" cy="1329690"/>
            <wp:effectExtent l="0" t="0" r="0" b="0"/>
            <wp:wrapSquare wrapText="bothSides"/>
            <wp:docPr id="28207" name="Picture 28207"/>
            <wp:cNvGraphicFramePr/>
            <a:graphic xmlns:a="http://schemas.openxmlformats.org/drawingml/2006/main">
              <a:graphicData uri="http://schemas.openxmlformats.org/drawingml/2006/picture">
                <pic:pic xmlns:pic="http://schemas.openxmlformats.org/drawingml/2006/picture">
                  <pic:nvPicPr>
                    <pic:cNvPr id="28207" name="Picture 28207"/>
                    <pic:cNvPicPr/>
                  </pic:nvPicPr>
                  <pic:blipFill>
                    <a:blip r:embed="rId535"/>
                    <a:stretch>
                      <a:fillRect/>
                    </a:stretch>
                  </pic:blipFill>
                  <pic:spPr>
                    <a:xfrm>
                      <a:off x="0" y="0"/>
                      <a:ext cx="2858771" cy="1329690"/>
                    </a:xfrm>
                    <a:prstGeom prst="rect">
                      <a:avLst/>
                    </a:prstGeom>
                  </pic:spPr>
                </pic:pic>
              </a:graphicData>
            </a:graphic>
          </wp:anchor>
        </w:drawing>
      </w:r>
      <w:r>
        <w:t xml:space="preserve">Fritzing является превосходным инструментом разработчика с открытым исходным кодом для обучения, прототипирования и обменом проектами на базе </w:t>
      </w:r>
      <w:r>
        <w:rPr>
          <w:i/>
        </w:rPr>
        <w:t>Arduino</w:t>
      </w:r>
      <w:r>
        <w:t xml:space="preserve">.  Он работает </w:t>
      </w:r>
    </w:p>
    <w:p w:rsidR="002C0F56" w:rsidRDefault="00E67C6E">
      <w:pPr>
        <w:spacing w:after="5" w:line="269" w:lineRule="auto"/>
        <w:ind w:left="190" w:right="784" w:hanging="10"/>
        <w:jc w:val="left"/>
      </w:pPr>
      <w:r>
        <w:t xml:space="preserve">на </w:t>
      </w:r>
      <w:r>
        <w:rPr>
          <w:i/>
        </w:rPr>
        <w:t>Windows, Mac OS</w:t>
      </w:r>
      <w:r>
        <w:t xml:space="preserve"> и </w:t>
      </w:r>
      <w:r>
        <w:rPr>
          <w:i/>
        </w:rPr>
        <w:t>Linux</w:t>
      </w:r>
      <w:r>
        <w:t xml:space="preserve">. </w:t>
      </w:r>
      <w:r>
        <w:rPr>
          <w:b/>
          <w:sz w:val="24"/>
        </w:rPr>
        <w:t>(Рис. 1)</w:t>
      </w:r>
      <w:r>
        <w:t xml:space="preserve"> </w:t>
      </w:r>
    </w:p>
    <w:p w:rsidR="002C0F56" w:rsidRDefault="00E67C6E">
      <w:pPr>
        <w:spacing w:after="22" w:line="259" w:lineRule="auto"/>
        <w:ind w:left="744" w:right="784" w:firstLine="0"/>
        <w:jc w:val="left"/>
      </w:pPr>
      <w:r>
        <w:rPr>
          <w:i/>
        </w:rPr>
        <w:t xml:space="preserve"> </w:t>
      </w:r>
    </w:p>
    <w:p w:rsidR="002C0F56" w:rsidRDefault="00E67C6E">
      <w:pPr>
        <w:spacing w:after="14"/>
        <w:ind w:left="165" w:right="865"/>
      </w:pPr>
      <w:r>
        <w:rPr>
          <w:i/>
        </w:rPr>
        <w:t>Fritzing</w:t>
      </w:r>
      <w:r>
        <w:t xml:space="preserve"> позволяет вам разработать принципиальную схему устройства, и создать ее представление в виде соединения макетов элементов, которые выглядят очень даже профессионально. Он также дает возможность разработать печатную плату для ее дальней</w:t>
      </w:r>
      <w:r>
        <w:t xml:space="preserve">шего изготовления. В отличие от других систем проектирования, у </w:t>
      </w:r>
      <w:r>
        <w:rPr>
          <w:i/>
        </w:rPr>
        <w:t>Fritzing</w:t>
      </w:r>
      <w:r>
        <w:t xml:space="preserve"> простой интерфейс, который делает разработку электронных схем интуитивно понятной. [3] </w:t>
      </w:r>
    </w:p>
    <w:p w:rsidR="002C0F56" w:rsidRDefault="00E67C6E">
      <w:pPr>
        <w:spacing w:after="0" w:line="259" w:lineRule="auto"/>
        <w:ind w:left="3613" w:firstLine="0"/>
        <w:jc w:val="center"/>
      </w:pPr>
      <w:r>
        <w:t xml:space="preserve"> </w:t>
      </w:r>
    </w:p>
    <w:p w:rsidR="002C0F56" w:rsidRDefault="00E67C6E">
      <w:pPr>
        <w:spacing w:line="259" w:lineRule="auto"/>
        <w:ind w:left="180" w:firstLine="0"/>
        <w:jc w:val="left"/>
      </w:pPr>
      <w:r>
        <w:rPr>
          <w:rFonts w:ascii="Calibri" w:eastAsia="Calibri" w:hAnsi="Calibri" w:cs="Calibri"/>
          <w:noProof/>
          <w:sz w:val="22"/>
        </w:rPr>
        <mc:AlternateContent>
          <mc:Choice Requires="wpg">
            <w:drawing>
              <wp:inline distT="0" distB="0" distL="0" distR="0">
                <wp:extent cx="6560947" cy="4291965"/>
                <wp:effectExtent l="0" t="0" r="0" b="0"/>
                <wp:docPr id="588935" name="Group 588935"/>
                <wp:cNvGraphicFramePr/>
                <a:graphic xmlns:a="http://schemas.openxmlformats.org/drawingml/2006/main">
                  <a:graphicData uri="http://schemas.microsoft.com/office/word/2010/wordprocessingGroup">
                    <wpg:wgp>
                      <wpg:cNvGrpSpPr/>
                      <wpg:grpSpPr>
                        <a:xfrm>
                          <a:off x="0" y="0"/>
                          <a:ext cx="6560947" cy="4291965"/>
                          <a:chOff x="0" y="0"/>
                          <a:chExt cx="6560947" cy="4291965"/>
                        </a:xfrm>
                      </wpg:grpSpPr>
                      <pic:pic xmlns:pic="http://schemas.openxmlformats.org/drawingml/2006/picture">
                        <pic:nvPicPr>
                          <pic:cNvPr id="28209" name="Picture 28209"/>
                          <pic:cNvPicPr/>
                        </pic:nvPicPr>
                        <pic:blipFill>
                          <a:blip r:embed="rId536"/>
                          <a:stretch>
                            <a:fillRect/>
                          </a:stretch>
                        </pic:blipFill>
                        <pic:spPr>
                          <a:xfrm>
                            <a:off x="139827" y="0"/>
                            <a:ext cx="3790950" cy="2019300"/>
                          </a:xfrm>
                          <a:prstGeom prst="rect">
                            <a:avLst/>
                          </a:prstGeom>
                        </pic:spPr>
                      </pic:pic>
                      <pic:pic xmlns:pic="http://schemas.openxmlformats.org/drawingml/2006/picture">
                        <pic:nvPicPr>
                          <pic:cNvPr id="28211" name="Picture 28211"/>
                          <pic:cNvPicPr/>
                        </pic:nvPicPr>
                        <pic:blipFill>
                          <a:blip r:embed="rId537"/>
                          <a:stretch>
                            <a:fillRect/>
                          </a:stretch>
                        </pic:blipFill>
                        <pic:spPr>
                          <a:xfrm>
                            <a:off x="2743962" y="2121534"/>
                            <a:ext cx="3816985" cy="2170430"/>
                          </a:xfrm>
                          <a:prstGeom prst="rect">
                            <a:avLst/>
                          </a:prstGeom>
                        </pic:spPr>
                      </pic:pic>
                      <wps:wsp>
                        <wps:cNvPr id="28294" name="Rectangle 28294"/>
                        <wps:cNvSpPr/>
                        <wps:spPr>
                          <a:xfrm>
                            <a:off x="4403725" y="85156"/>
                            <a:ext cx="2341142" cy="215728"/>
                          </a:xfrm>
                          <a:prstGeom prst="rect">
                            <a:avLst/>
                          </a:prstGeom>
                          <a:ln>
                            <a:noFill/>
                          </a:ln>
                        </wps:spPr>
                        <wps:txbx>
                          <w:txbxContent>
                            <w:p w:rsidR="002C0F56" w:rsidRDefault="00E67C6E">
                              <w:pPr>
                                <w:spacing w:after="160" w:line="259" w:lineRule="auto"/>
                                <w:ind w:left="0" w:firstLine="0"/>
                                <w:jc w:val="left"/>
                              </w:pPr>
                              <w:r>
                                <w:t xml:space="preserve">Когда вы первый раз </w:t>
                              </w:r>
                            </w:p>
                          </w:txbxContent>
                        </wps:txbx>
                        <wps:bodyPr horzOverflow="overflow" vert="horz" lIns="0" tIns="0" rIns="0" bIns="0" rtlCol="0">
                          <a:noAutofit/>
                        </wps:bodyPr>
                      </wps:wsp>
                      <wps:wsp>
                        <wps:cNvPr id="97546" name="Rectangle 97546"/>
                        <wps:cNvSpPr/>
                        <wps:spPr>
                          <a:xfrm>
                            <a:off x="4045585" y="289372"/>
                            <a:ext cx="1201637" cy="215728"/>
                          </a:xfrm>
                          <a:prstGeom prst="rect">
                            <a:avLst/>
                          </a:prstGeom>
                          <a:ln>
                            <a:noFill/>
                          </a:ln>
                        </wps:spPr>
                        <wps:txbx>
                          <w:txbxContent>
                            <w:p w:rsidR="002C0F56" w:rsidRDefault="00E67C6E">
                              <w:pPr>
                                <w:spacing w:after="160" w:line="259" w:lineRule="auto"/>
                                <w:ind w:left="0" w:firstLine="0"/>
                                <w:jc w:val="left"/>
                              </w:pPr>
                              <w:r>
                                <w:t xml:space="preserve">открываете </w:t>
                              </w:r>
                            </w:p>
                          </w:txbxContent>
                        </wps:txbx>
                        <wps:bodyPr horzOverflow="overflow" vert="horz" lIns="0" tIns="0" rIns="0" bIns="0" rtlCol="0">
                          <a:noAutofit/>
                        </wps:bodyPr>
                      </wps:wsp>
                      <wps:wsp>
                        <wps:cNvPr id="97547" name="Rectangle 97547"/>
                        <wps:cNvSpPr/>
                        <wps:spPr>
                          <a:xfrm>
                            <a:off x="5603819" y="289372"/>
                            <a:ext cx="745836" cy="215728"/>
                          </a:xfrm>
                          <a:prstGeom prst="rect">
                            <a:avLst/>
                          </a:prstGeom>
                          <a:ln>
                            <a:noFill/>
                          </a:ln>
                        </wps:spPr>
                        <wps:txbx>
                          <w:txbxContent>
                            <w:p w:rsidR="002C0F56" w:rsidRDefault="00E67C6E">
                              <w:pPr>
                                <w:spacing w:after="160" w:line="259" w:lineRule="auto"/>
                                <w:ind w:left="0" w:firstLine="0"/>
                                <w:jc w:val="left"/>
                              </w:pPr>
                              <w:r>
                                <w:t xml:space="preserve">проект </w:t>
                              </w:r>
                            </w:p>
                          </w:txbxContent>
                        </wps:txbx>
                        <wps:bodyPr horzOverflow="overflow" vert="horz" lIns="0" tIns="0" rIns="0" bIns="0" rtlCol="0">
                          <a:noAutofit/>
                        </wps:bodyPr>
                      </wps:wsp>
                      <wps:wsp>
                        <wps:cNvPr id="28299" name="Rectangle 28299"/>
                        <wps:cNvSpPr/>
                        <wps:spPr>
                          <a:xfrm>
                            <a:off x="4045585" y="493588"/>
                            <a:ext cx="111935" cy="215728"/>
                          </a:xfrm>
                          <a:prstGeom prst="rect">
                            <a:avLst/>
                          </a:prstGeom>
                          <a:ln>
                            <a:noFill/>
                          </a:ln>
                        </wps:spPr>
                        <wps:txbx>
                          <w:txbxContent>
                            <w:p w:rsidR="002C0F56" w:rsidRDefault="00E67C6E">
                              <w:pPr>
                                <w:spacing w:after="160" w:line="259" w:lineRule="auto"/>
                                <w:ind w:left="0" w:firstLine="0"/>
                                <w:jc w:val="left"/>
                              </w:pPr>
                              <w:r>
                                <w:t>в</w:t>
                              </w:r>
                            </w:p>
                          </w:txbxContent>
                        </wps:txbx>
                        <wps:bodyPr horzOverflow="overflow" vert="horz" lIns="0" tIns="0" rIns="0" bIns="0" rtlCol="0">
                          <a:noAutofit/>
                        </wps:bodyPr>
                      </wps:wsp>
                      <wps:wsp>
                        <wps:cNvPr id="28300" name="Rectangle 28300"/>
                        <wps:cNvSpPr/>
                        <wps:spPr>
                          <a:xfrm>
                            <a:off x="4129405" y="493588"/>
                            <a:ext cx="118575" cy="215728"/>
                          </a:xfrm>
                          <a:prstGeom prst="rect">
                            <a:avLst/>
                          </a:prstGeom>
                          <a:ln>
                            <a:noFill/>
                          </a:ln>
                        </wps:spPr>
                        <wps:txbx>
                          <w:txbxContent>
                            <w:p w:rsidR="002C0F56" w:rsidRDefault="00E67C6E">
                              <w:pPr>
                                <w:spacing w:after="160" w:line="259" w:lineRule="auto"/>
                                <w:ind w:left="0" w:firstLine="0"/>
                                <w:jc w:val="left"/>
                              </w:pPr>
                              <w:r>
                                <w:t>о</w:t>
                              </w:r>
                            </w:p>
                          </w:txbxContent>
                        </wps:txbx>
                        <wps:bodyPr horzOverflow="overflow" vert="horz" lIns="0" tIns="0" rIns="0" bIns="0" rtlCol="0">
                          <a:noAutofit/>
                        </wps:bodyPr>
                      </wps:wsp>
                      <wps:wsp>
                        <wps:cNvPr id="28301" name="Rectangle 28301"/>
                        <wps:cNvSpPr/>
                        <wps:spPr>
                          <a:xfrm>
                            <a:off x="4219321" y="458347"/>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28302" name="Rectangle 28302"/>
                        <wps:cNvSpPr/>
                        <wps:spPr>
                          <a:xfrm>
                            <a:off x="4263518" y="458347"/>
                            <a:ext cx="762673" cy="262525"/>
                          </a:xfrm>
                          <a:prstGeom prst="rect">
                            <a:avLst/>
                          </a:prstGeom>
                          <a:ln>
                            <a:noFill/>
                          </a:ln>
                        </wps:spPr>
                        <wps:txbx>
                          <w:txbxContent>
                            <w:p w:rsidR="002C0F56" w:rsidRDefault="00E67C6E">
                              <w:pPr>
                                <w:spacing w:after="160" w:line="259" w:lineRule="auto"/>
                                <w:ind w:left="0" w:firstLine="0"/>
                                <w:jc w:val="left"/>
                              </w:pPr>
                              <w:r>
                                <w:rPr>
                                  <w:i/>
                                </w:rPr>
                                <w:t>Fritzing</w:t>
                              </w:r>
                            </w:p>
                          </w:txbxContent>
                        </wps:txbx>
                        <wps:bodyPr horzOverflow="overflow" vert="horz" lIns="0" tIns="0" rIns="0" bIns="0" rtlCol="0">
                          <a:noAutofit/>
                        </wps:bodyPr>
                      </wps:wsp>
                      <wps:wsp>
                        <wps:cNvPr id="97548" name="Rectangle 97548"/>
                        <wps:cNvSpPr/>
                        <wps:spPr>
                          <a:xfrm>
                            <a:off x="4838065" y="493588"/>
                            <a:ext cx="118575" cy="215728"/>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7550" name="Rectangle 97550"/>
                        <wps:cNvSpPr/>
                        <wps:spPr>
                          <a:xfrm>
                            <a:off x="5750111" y="493588"/>
                            <a:ext cx="551847" cy="215728"/>
                          </a:xfrm>
                          <a:prstGeom prst="rect">
                            <a:avLst/>
                          </a:prstGeom>
                          <a:ln>
                            <a:noFill/>
                          </a:ln>
                        </wps:spPr>
                        <wps:txbx>
                          <w:txbxContent>
                            <w:p w:rsidR="002C0F56" w:rsidRDefault="00E67C6E">
                              <w:pPr>
                                <w:spacing w:after="160" w:line="259" w:lineRule="auto"/>
                                <w:ind w:left="0" w:firstLine="0"/>
                                <w:jc w:val="left"/>
                              </w:pPr>
                              <w:r>
                                <w:t xml:space="preserve">вами </w:t>
                              </w:r>
                            </w:p>
                          </w:txbxContent>
                        </wps:txbx>
                        <wps:bodyPr horzOverflow="overflow" vert="horz" lIns="0" tIns="0" rIns="0" bIns="0" rtlCol="0">
                          <a:noAutofit/>
                        </wps:bodyPr>
                      </wps:wsp>
                      <wps:wsp>
                        <wps:cNvPr id="97549" name="Rectangle 97549"/>
                        <wps:cNvSpPr/>
                        <wps:spPr>
                          <a:xfrm>
                            <a:off x="5100000" y="493588"/>
                            <a:ext cx="632241" cy="215728"/>
                          </a:xfrm>
                          <a:prstGeom prst="rect">
                            <a:avLst/>
                          </a:prstGeom>
                          <a:ln>
                            <a:noFill/>
                          </a:ln>
                        </wps:spPr>
                        <wps:txbx>
                          <w:txbxContent>
                            <w:p w:rsidR="002C0F56" w:rsidRDefault="00E67C6E">
                              <w:pPr>
                                <w:spacing w:after="160" w:line="259" w:lineRule="auto"/>
                                <w:ind w:left="0" w:firstLine="0"/>
                                <w:jc w:val="left"/>
                              </w:pPr>
                              <w:r>
                                <w:t xml:space="preserve">перед </w:t>
                              </w:r>
                            </w:p>
                          </w:txbxContent>
                        </wps:txbx>
                        <wps:bodyPr horzOverflow="overflow" vert="horz" lIns="0" tIns="0" rIns="0" bIns="0" rtlCol="0">
                          <a:noAutofit/>
                        </wps:bodyPr>
                      </wps:wsp>
                      <wps:wsp>
                        <wps:cNvPr id="97551" name="Rectangle 97551"/>
                        <wps:cNvSpPr/>
                        <wps:spPr>
                          <a:xfrm>
                            <a:off x="4045585" y="698058"/>
                            <a:ext cx="968519" cy="215728"/>
                          </a:xfrm>
                          <a:prstGeom prst="rect">
                            <a:avLst/>
                          </a:prstGeom>
                          <a:ln>
                            <a:noFill/>
                          </a:ln>
                        </wps:spPr>
                        <wps:txbx>
                          <w:txbxContent>
                            <w:p w:rsidR="002C0F56" w:rsidRDefault="00E67C6E">
                              <w:pPr>
                                <w:spacing w:after="160" w:line="259" w:lineRule="auto"/>
                                <w:ind w:left="0" w:firstLine="0"/>
                                <w:jc w:val="left"/>
                              </w:pPr>
                              <w:r>
                                <w:t xml:space="preserve">появится </w:t>
                              </w:r>
                            </w:p>
                          </w:txbxContent>
                        </wps:txbx>
                        <wps:bodyPr horzOverflow="overflow" vert="horz" lIns="0" tIns="0" rIns="0" bIns="0" rtlCol="0">
                          <a:noAutofit/>
                        </wps:bodyPr>
                      </wps:wsp>
                      <wps:wsp>
                        <wps:cNvPr id="97553" name="Rectangle 97553"/>
                        <wps:cNvSpPr/>
                        <wps:spPr>
                          <a:xfrm>
                            <a:off x="5716509" y="698058"/>
                            <a:ext cx="479042" cy="215728"/>
                          </a:xfrm>
                          <a:prstGeom prst="rect">
                            <a:avLst/>
                          </a:prstGeom>
                          <a:ln>
                            <a:noFill/>
                          </a:ln>
                        </wps:spPr>
                        <wps:txbx>
                          <w:txbxContent>
                            <w:p w:rsidR="002C0F56" w:rsidRDefault="00E67C6E">
                              <w:pPr>
                                <w:spacing w:after="160" w:line="259" w:lineRule="auto"/>
                                <w:ind w:left="0" w:firstLine="0"/>
                                <w:jc w:val="left"/>
                              </w:pPr>
                              <w:r>
                                <w:t>окно</w:t>
                              </w:r>
                            </w:p>
                          </w:txbxContent>
                        </wps:txbx>
                        <wps:bodyPr horzOverflow="overflow" vert="horz" lIns="0" tIns="0" rIns="0" bIns="0" rtlCol="0">
                          <a:noAutofit/>
                        </wps:bodyPr>
                      </wps:wsp>
                      <wps:wsp>
                        <wps:cNvPr id="97552" name="Rectangle 97552"/>
                        <wps:cNvSpPr/>
                        <wps:spPr>
                          <a:xfrm>
                            <a:off x="5017364" y="698058"/>
                            <a:ext cx="606392" cy="215728"/>
                          </a:xfrm>
                          <a:prstGeom prst="rect">
                            <a:avLst/>
                          </a:prstGeom>
                          <a:ln>
                            <a:noFill/>
                          </a:ln>
                        </wps:spPr>
                        <wps:txbx>
                          <w:txbxContent>
                            <w:p w:rsidR="002C0F56" w:rsidRDefault="00E67C6E">
                              <w:pPr>
                                <w:spacing w:after="160" w:line="259" w:lineRule="auto"/>
                                <w:ind w:left="0" w:firstLine="0"/>
                                <w:jc w:val="left"/>
                              </w:pPr>
                              <w:r>
                                <w:t xml:space="preserve">такое </w:t>
                              </w:r>
                            </w:p>
                          </w:txbxContent>
                        </wps:txbx>
                        <wps:bodyPr horzOverflow="overflow" vert="horz" lIns="0" tIns="0" rIns="0" bIns="0" rtlCol="0">
                          <a:noAutofit/>
                        </wps:bodyPr>
                      </wps:wsp>
                      <wps:wsp>
                        <wps:cNvPr id="28306" name="Rectangle 28306"/>
                        <wps:cNvSpPr/>
                        <wps:spPr>
                          <a:xfrm>
                            <a:off x="6078982" y="662817"/>
                            <a:ext cx="116041"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588867" name="Rectangle 588867"/>
                        <wps:cNvSpPr/>
                        <wps:spPr>
                          <a:xfrm>
                            <a:off x="4045585" y="898309"/>
                            <a:ext cx="67496" cy="181116"/>
                          </a:xfrm>
                          <a:prstGeom prst="rect">
                            <a:avLst/>
                          </a:prstGeom>
                          <a:ln>
                            <a:noFill/>
                          </a:ln>
                        </wps:spPr>
                        <wps:txbx>
                          <w:txbxContent>
                            <w:p w:rsidR="002C0F56" w:rsidRDefault="00E67C6E">
                              <w:pPr>
                                <w:spacing w:after="160" w:line="259" w:lineRule="auto"/>
                                <w:ind w:left="0" w:firstLine="0"/>
                                <w:jc w:val="left"/>
                              </w:pPr>
                              <w:r>
                                <w:rPr>
                                  <w:b/>
                                  <w:sz w:val="24"/>
                                </w:rPr>
                                <w:t>(</w:t>
                              </w:r>
                            </w:p>
                          </w:txbxContent>
                        </wps:txbx>
                        <wps:bodyPr horzOverflow="overflow" vert="horz" lIns="0" tIns="0" rIns="0" bIns="0" rtlCol="0">
                          <a:noAutofit/>
                        </wps:bodyPr>
                      </wps:wsp>
                      <wps:wsp>
                        <wps:cNvPr id="588869" name="Rectangle 588869"/>
                        <wps:cNvSpPr/>
                        <wps:spPr>
                          <a:xfrm>
                            <a:off x="4096335" y="898309"/>
                            <a:ext cx="378223" cy="181116"/>
                          </a:xfrm>
                          <a:prstGeom prst="rect">
                            <a:avLst/>
                          </a:prstGeom>
                          <a:ln>
                            <a:noFill/>
                          </a:ln>
                        </wps:spPr>
                        <wps:txbx>
                          <w:txbxContent>
                            <w:p w:rsidR="002C0F56" w:rsidRDefault="00E67C6E">
                              <w:pPr>
                                <w:spacing w:after="160" w:line="259" w:lineRule="auto"/>
                                <w:ind w:left="0" w:firstLine="0"/>
                                <w:jc w:val="left"/>
                              </w:pPr>
                              <w:r>
                                <w:rPr>
                                  <w:b/>
                                  <w:sz w:val="24"/>
                                </w:rPr>
                                <w:t>Рис.</w:t>
                              </w:r>
                            </w:p>
                          </w:txbxContent>
                        </wps:txbx>
                        <wps:bodyPr horzOverflow="overflow" vert="horz" lIns="0" tIns="0" rIns="0" bIns="0" rtlCol="0">
                          <a:noAutofit/>
                        </wps:bodyPr>
                      </wps:wsp>
                      <wps:wsp>
                        <wps:cNvPr id="588868" name="Rectangle 588868"/>
                        <wps:cNvSpPr/>
                        <wps:spPr>
                          <a:xfrm>
                            <a:off x="4380713" y="898309"/>
                            <a:ext cx="170667" cy="181116"/>
                          </a:xfrm>
                          <a:prstGeom prst="rect">
                            <a:avLst/>
                          </a:prstGeom>
                          <a:ln>
                            <a:noFill/>
                          </a:ln>
                        </wps:spPr>
                        <wps:txbx>
                          <w:txbxContent>
                            <w:p w:rsidR="002C0F56" w:rsidRDefault="00E67C6E">
                              <w:pPr>
                                <w:spacing w:after="160" w:line="259" w:lineRule="auto"/>
                                <w:ind w:left="0" w:firstLine="0"/>
                                <w:jc w:val="left"/>
                              </w:pPr>
                              <w:r>
                                <w:rPr>
                                  <w:b/>
                                  <w:sz w:val="24"/>
                                </w:rPr>
                                <w:t>2)</w:t>
                              </w:r>
                            </w:p>
                          </w:txbxContent>
                        </wps:txbx>
                        <wps:bodyPr horzOverflow="overflow" vert="horz" lIns="0" tIns="0" rIns="0" bIns="0" rtlCol="0">
                          <a:noAutofit/>
                        </wps:bodyPr>
                      </wps:wsp>
                      <wps:wsp>
                        <wps:cNvPr id="28309" name="Rectangle 28309"/>
                        <wps:cNvSpPr/>
                        <wps:spPr>
                          <a:xfrm>
                            <a:off x="4510406" y="842649"/>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28310" name="Rectangle 28310"/>
                        <wps:cNvSpPr/>
                        <wps:spPr>
                          <a:xfrm>
                            <a:off x="4403725" y="1042293"/>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28311" name="Rectangle 28311"/>
                        <wps:cNvSpPr/>
                        <wps:spPr>
                          <a:xfrm>
                            <a:off x="4403725" y="1246509"/>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28312" name="Rectangle 28312"/>
                        <wps:cNvSpPr/>
                        <wps:spPr>
                          <a:xfrm>
                            <a:off x="4403725" y="1452249"/>
                            <a:ext cx="59288" cy="262524"/>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28313" name="Rectangle 28313"/>
                        <wps:cNvSpPr/>
                        <wps:spPr>
                          <a:xfrm>
                            <a:off x="4403725" y="1656465"/>
                            <a:ext cx="59288" cy="262526"/>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28314" name="Rectangle 28314"/>
                        <wps:cNvSpPr/>
                        <wps:spPr>
                          <a:xfrm>
                            <a:off x="4403725" y="1860681"/>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97554" name="Rectangle 97554"/>
                        <wps:cNvSpPr/>
                        <wps:spPr>
                          <a:xfrm>
                            <a:off x="0" y="2508570"/>
                            <a:ext cx="1846684" cy="215727"/>
                          </a:xfrm>
                          <a:prstGeom prst="rect">
                            <a:avLst/>
                          </a:prstGeom>
                          <a:ln>
                            <a:noFill/>
                          </a:ln>
                        </wps:spPr>
                        <wps:txbx>
                          <w:txbxContent>
                            <w:p w:rsidR="002C0F56" w:rsidRDefault="00E67C6E">
                              <w:pPr>
                                <w:spacing w:after="160" w:line="259" w:lineRule="auto"/>
                                <w:ind w:left="0" w:firstLine="0"/>
                                <w:jc w:val="left"/>
                              </w:pPr>
                              <w:r>
                                <w:t xml:space="preserve">Переключившись </w:t>
                              </w:r>
                            </w:p>
                          </w:txbxContent>
                        </wps:txbx>
                        <wps:bodyPr horzOverflow="overflow" vert="horz" lIns="0" tIns="0" rIns="0" bIns="0" rtlCol="0">
                          <a:noAutofit/>
                        </wps:bodyPr>
                      </wps:wsp>
                      <wps:wsp>
                        <wps:cNvPr id="97555" name="Rectangle 97555"/>
                        <wps:cNvSpPr/>
                        <wps:spPr>
                          <a:xfrm>
                            <a:off x="1587655" y="2508570"/>
                            <a:ext cx="291931" cy="215727"/>
                          </a:xfrm>
                          <a:prstGeom prst="rect">
                            <a:avLst/>
                          </a:prstGeom>
                          <a:ln>
                            <a:noFill/>
                          </a:ln>
                        </wps:spPr>
                        <wps:txbx>
                          <w:txbxContent>
                            <w:p w:rsidR="002C0F56" w:rsidRDefault="00E67C6E">
                              <w:pPr>
                                <w:spacing w:after="160" w:line="259" w:lineRule="auto"/>
                                <w:ind w:left="0" w:firstLine="0"/>
                                <w:jc w:val="left"/>
                              </w:pPr>
                              <w:r>
                                <w:t xml:space="preserve">на </w:t>
                              </w:r>
                            </w:p>
                          </w:txbxContent>
                        </wps:txbx>
                        <wps:bodyPr horzOverflow="overflow" vert="horz" lIns="0" tIns="0" rIns="0" bIns="0" rtlCol="0">
                          <a:noAutofit/>
                        </wps:bodyPr>
                      </wps:wsp>
                      <wps:wsp>
                        <wps:cNvPr id="97556" name="Rectangle 97556"/>
                        <wps:cNvSpPr/>
                        <wps:spPr>
                          <a:xfrm>
                            <a:off x="2006322" y="2508570"/>
                            <a:ext cx="861565" cy="215727"/>
                          </a:xfrm>
                          <a:prstGeom prst="rect">
                            <a:avLst/>
                          </a:prstGeom>
                          <a:ln>
                            <a:noFill/>
                          </a:ln>
                        </wps:spPr>
                        <wps:txbx>
                          <w:txbxContent>
                            <w:p w:rsidR="002C0F56" w:rsidRDefault="00E67C6E">
                              <w:pPr>
                                <w:spacing w:after="160" w:line="259" w:lineRule="auto"/>
                                <w:ind w:left="0" w:firstLine="0"/>
                                <w:jc w:val="left"/>
                              </w:pPr>
                              <w:r>
                                <w:t xml:space="preserve">вкладку </w:t>
                              </w:r>
                            </w:p>
                          </w:txbxContent>
                        </wps:txbx>
                        <wps:bodyPr horzOverflow="overflow" vert="horz" lIns="0" tIns="0" rIns="0" bIns="0" rtlCol="0">
                          <a:noAutofit/>
                        </wps:bodyPr>
                      </wps:wsp>
                      <wps:wsp>
                        <wps:cNvPr id="97557" name="Rectangle 97557"/>
                        <wps:cNvSpPr/>
                        <wps:spPr>
                          <a:xfrm>
                            <a:off x="0" y="2714310"/>
                            <a:ext cx="1039427" cy="215727"/>
                          </a:xfrm>
                          <a:prstGeom prst="rect">
                            <a:avLst/>
                          </a:prstGeom>
                          <a:ln>
                            <a:noFill/>
                          </a:ln>
                        </wps:spPr>
                        <wps:txbx>
                          <w:txbxContent>
                            <w:p w:rsidR="002C0F56" w:rsidRDefault="00E67C6E">
                              <w:pPr>
                                <w:spacing w:after="160" w:line="259" w:lineRule="auto"/>
                                <w:ind w:left="0" w:firstLine="0"/>
                                <w:jc w:val="left"/>
                              </w:pPr>
                              <w:r>
                                <w:t xml:space="preserve">Макетная </w:t>
                              </w:r>
                            </w:p>
                          </w:txbxContent>
                        </wps:txbx>
                        <wps:bodyPr horzOverflow="overflow" vert="horz" lIns="0" tIns="0" rIns="0" bIns="0" rtlCol="0">
                          <a:noAutofit/>
                        </wps:bodyPr>
                      </wps:wsp>
                      <wps:wsp>
                        <wps:cNvPr id="97559" name="Rectangle 97559"/>
                        <wps:cNvSpPr/>
                        <wps:spPr>
                          <a:xfrm>
                            <a:off x="1591577" y="2714310"/>
                            <a:ext cx="368768" cy="215727"/>
                          </a:xfrm>
                          <a:prstGeom prst="rect">
                            <a:avLst/>
                          </a:prstGeom>
                          <a:ln>
                            <a:noFill/>
                          </a:ln>
                        </wps:spPr>
                        <wps:txbx>
                          <w:txbxContent>
                            <w:p w:rsidR="002C0F56" w:rsidRDefault="00E67C6E">
                              <w:pPr>
                                <w:spacing w:after="160" w:line="259" w:lineRule="auto"/>
                                <w:ind w:left="0" w:firstLine="0"/>
                                <w:jc w:val="left"/>
                              </w:pPr>
                              <w:r>
                                <w:t xml:space="preserve">мы </w:t>
                              </w:r>
                            </w:p>
                          </w:txbxContent>
                        </wps:txbx>
                        <wps:bodyPr horzOverflow="overflow" vert="horz" lIns="0" tIns="0" rIns="0" bIns="0" rtlCol="0">
                          <a:noAutofit/>
                        </wps:bodyPr>
                      </wps:wsp>
                      <wps:wsp>
                        <wps:cNvPr id="97560" name="Rectangle 97560"/>
                        <wps:cNvSpPr/>
                        <wps:spPr>
                          <a:xfrm>
                            <a:off x="2043945" y="2714310"/>
                            <a:ext cx="810578" cy="215727"/>
                          </a:xfrm>
                          <a:prstGeom prst="rect">
                            <a:avLst/>
                          </a:prstGeom>
                          <a:ln>
                            <a:noFill/>
                          </a:ln>
                        </wps:spPr>
                        <wps:txbx>
                          <w:txbxContent>
                            <w:p w:rsidR="002C0F56" w:rsidRDefault="00E67C6E">
                              <w:pPr>
                                <w:spacing w:after="160" w:line="259" w:lineRule="auto"/>
                                <w:ind w:left="0" w:firstLine="0"/>
                                <w:jc w:val="left"/>
                              </w:pPr>
                              <w:r>
                                <w:t xml:space="preserve">увидим </w:t>
                              </w:r>
                            </w:p>
                          </w:txbxContent>
                        </wps:txbx>
                        <wps:bodyPr horzOverflow="overflow" vert="horz" lIns="0" tIns="0" rIns="0" bIns="0" rtlCol="0">
                          <a:noAutofit/>
                        </wps:bodyPr>
                      </wps:wsp>
                      <wps:wsp>
                        <wps:cNvPr id="97558" name="Rectangle 97558"/>
                        <wps:cNvSpPr/>
                        <wps:spPr>
                          <a:xfrm>
                            <a:off x="955018" y="2714310"/>
                            <a:ext cx="616352" cy="215727"/>
                          </a:xfrm>
                          <a:prstGeom prst="rect">
                            <a:avLst/>
                          </a:prstGeom>
                          <a:ln>
                            <a:noFill/>
                          </a:ln>
                        </wps:spPr>
                        <wps:txbx>
                          <w:txbxContent>
                            <w:p w:rsidR="002C0F56" w:rsidRDefault="00E67C6E">
                              <w:pPr>
                                <w:spacing w:after="160" w:line="259" w:lineRule="auto"/>
                                <w:ind w:left="0" w:firstLine="0"/>
                                <w:jc w:val="left"/>
                              </w:pPr>
                              <w:r>
                                <w:t xml:space="preserve">плата </w:t>
                              </w:r>
                            </w:p>
                          </w:txbxContent>
                        </wps:txbx>
                        <wps:bodyPr horzOverflow="overflow" vert="horz" lIns="0" tIns="0" rIns="0" bIns="0" rtlCol="0">
                          <a:noAutofit/>
                        </wps:bodyPr>
                      </wps:wsp>
                      <wps:wsp>
                        <wps:cNvPr id="28322" name="Rectangle 28322"/>
                        <wps:cNvSpPr/>
                        <wps:spPr>
                          <a:xfrm>
                            <a:off x="0" y="2918526"/>
                            <a:ext cx="1804946" cy="215727"/>
                          </a:xfrm>
                          <a:prstGeom prst="rect">
                            <a:avLst/>
                          </a:prstGeom>
                          <a:ln>
                            <a:noFill/>
                          </a:ln>
                        </wps:spPr>
                        <wps:txbx>
                          <w:txbxContent>
                            <w:p w:rsidR="002C0F56" w:rsidRDefault="00E67C6E">
                              <w:pPr>
                                <w:spacing w:after="160" w:line="259" w:lineRule="auto"/>
                                <w:ind w:left="0" w:firstLine="0"/>
                                <w:jc w:val="left"/>
                              </w:pPr>
                              <w:r>
                                <w:t>следующий экран</w:t>
                              </w:r>
                            </w:p>
                          </w:txbxContent>
                        </wps:txbx>
                        <wps:bodyPr horzOverflow="overflow" vert="horz" lIns="0" tIns="0" rIns="0" bIns="0" rtlCol="0">
                          <a:noAutofit/>
                        </wps:bodyPr>
                      </wps:wsp>
                      <wps:wsp>
                        <wps:cNvPr id="28323" name="Rectangle 28323"/>
                        <wps:cNvSpPr/>
                        <wps:spPr>
                          <a:xfrm>
                            <a:off x="1358138" y="288328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588870" name="Rectangle 588870"/>
                        <wps:cNvSpPr/>
                        <wps:spPr>
                          <a:xfrm>
                            <a:off x="1402334" y="2938946"/>
                            <a:ext cx="67496" cy="181116"/>
                          </a:xfrm>
                          <a:prstGeom prst="rect">
                            <a:avLst/>
                          </a:prstGeom>
                          <a:ln>
                            <a:noFill/>
                          </a:ln>
                        </wps:spPr>
                        <wps:txbx>
                          <w:txbxContent>
                            <w:p w:rsidR="002C0F56" w:rsidRDefault="00E67C6E">
                              <w:pPr>
                                <w:spacing w:after="160" w:line="259" w:lineRule="auto"/>
                                <w:ind w:left="0" w:firstLine="0"/>
                                <w:jc w:val="left"/>
                              </w:pPr>
                              <w:r>
                                <w:rPr>
                                  <w:b/>
                                  <w:sz w:val="24"/>
                                </w:rPr>
                                <w:t>(</w:t>
                              </w:r>
                            </w:p>
                          </w:txbxContent>
                        </wps:txbx>
                        <wps:bodyPr horzOverflow="overflow" vert="horz" lIns="0" tIns="0" rIns="0" bIns="0" rtlCol="0">
                          <a:noAutofit/>
                        </wps:bodyPr>
                      </wps:wsp>
                      <wps:wsp>
                        <wps:cNvPr id="588872" name="Rectangle 588872"/>
                        <wps:cNvSpPr/>
                        <wps:spPr>
                          <a:xfrm>
                            <a:off x="1453083" y="2938946"/>
                            <a:ext cx="428896" cy="181116"/>
                          </a:xfrm>
                          <a:prstGeom prst="rect">
                            <a:avLst/>
                          </a:prstGeom>
                          <a:ln>
                            <a:noFill/>
                          </a:ln>
                        </wps:spPr>
                        <wps:txbx>
                          <w:txbxContent>
                            <w:p w:rsidR="002C0F56" w:rsidRDefault="00E67C6E">
                              <w:pPr>
                                <w:spacing w:after="160" w:line="259" w:lineRule="auto"/>
                                <w:ind w:left="0" w:firstLine="0"/>
                                <w:jc w:val="left"/>
                              </w:pPr>
                              <w:r>
                                <w:rPr>
                                  <w:b/>
                                  <w:sz w:val="24"/>
                                </w:rPr>
                                <w:t xml:space="preserve">Рис. </w:t>
                              </w:r>
                            </w:p>
                          </w:txbxContent>
                        </wps:txbx>
                        <wps:bodyPr horzOverflow="overflow" vert="horz" lIns="0" tIns="0" rIns="0" bIns="0" rtlCol="0">
                          <a:noAutofit/>
                        </wps:bodyPr>
                      </wps:wsp>
                      <wps:wsp>
                        <wps:cNvPr id="588871" name="Rectangle 588871"/>
                        <wps:cNvSpPr/>
                        <wps:spPr>
                          <a:xfrm>
                            <a:off x="1775562" y="2938946"/>
                            <a:ext cx="168842" cy="181116"/>
                          </a:xfrm>
                          <a:prstGeom prst="rect">
                            <a:avLst/>
                          </a:prstGeom>
                          <a:ln>
                            <a:noFill/>
                          </a:ln>
                        </wps:spPr>
                        <wps:txbx>
                          <w:txbxContent>
                            <w:p w:rsidR="002C0F56" w:rsidRDefault="00E67C6E">
                              <w:pPr>
                                <w:spacing w:after="160" w:line="259" w:lineRule="auto"/>
                                <w:ind w:left="0" w:firstLine="0"/>
                                <w:jc w:val="left"/>
                              </w:pPr>
                              <w:r>
                                <w:rPr>
                                  <w:b/>
                                  <w:sz w:val="24"/>
                                </w:rPr>
                                <w:t>3)</w:t>
                              </w:r>
                            </w:p>
                          </w:txbxContent>
                        </wps:txbx>
                        <wps:bodyPr horzOverflow="overflow" vert="horz" lIns="0" tIns="0" rIns="0" bIns="0" rtlCol="0">
                          <a:noAutofit/>
                        </wps:bodyPr>
                      </wps:wsp>
                      <wps:wsp>
                        <wps:cNvPr id="28325" name="Rectangle 28325"/>
                        <wps:cNvSpPr/>
                        <wps:spPr>
                          <a:xfrm>
                            <a:off x="1902587" y="2883285"/>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588935" style="width:516.61pt;height:337.95pt;mso-position-horizontal-relative:char;mso-position-vertical-relative:line" coordsize="65609,42919">
                <v:shape id="Picture 28209" style="position:absolute;width:37909;height:20193;left:1398;top:0;" filled="f">
                  <v:imagedata r:id="rId538"/>
                </v:shape>
                <v:shape id="Picture 28211" style="position:absolute;width:38169;height:21704;left:27439;top:21215;" filled="f">
                  <v:imagedata r:id="rId539"/>
                </v:shape>
                <v:rect id="Rectangle 28294" style="position:absolute;width:23411;height:2157;left:44037;top:851;" filled="f" stroked="f">
                  <v:textbox inset="0,0,0,0">
                    <w:txbxContent>
                      <w:p>
                        <w:pPr>
                          <w:spacing w:before="0" w:after="160" w:line="259" w:lineRule="auto"/>
                          <w:ind w:left="0" w:firstLine="0"/>
                          <w:jc w:val="left"/>
                        </w:pPr>
                        <w:r>
                          <w:rPr/>
                          <w:t xml:space="preserve">Когда вы первый раз </w:t>
                        </w:r>
                      </w:p>
                    </w:txbxContent>
                  </v:textbox>
                </v:rect>
                <v:rect id="Rectangle 97546" style="position:absolute;width:12016;height:2157;left:40455;top:2893;" filled="f" stroked="f">
                  <v:textbox inset="0,0,0,0">
                    <w:txbxContent>
                      <w:p>
                        <w:pPr>
                          <w:spacing w:before="0" w:after="160" w:line="259" w:lineRule="auto"/>
                          <w:ind w:left="0" w:firstLine="0"/>
                          <w:jc w:val="left"/>
                        </w:pPr>
                        <w:r>
                          <w:rPr/>
                          <w:t xml:space="preserve">открываете </w:t>
                        </w:r>
                      </w:p>
                    </w:txbxContent>
                  </v:textbox>
                </v:rect>
                <v:rect id="Rectangle 97547" style="position:absolute;width:7458;height:2157;left:56038;top:2893;" filled="f" stroked="f">
                  <v:textbox inset="0,0,0,0">
                    <w:txbxContent>
                      <w:p>
                        <w:pPr>
                          <w:spacing w:before="0" w:after="160" w:line="259" w:lineRule="auto"/>
                          <w:ind w:left="0" w:firstLine="0"/>
                          <w:jc w:val="left"/>
                        </w:pPr>
                        <w:r>
                          <w:rPr/>
                          <w:t xml:space="preserve">проект </w:t>
                        </w:r>
                      </w:p>
                    </w:txbxContent>
                  </v:textbox>
                </v:rect>
                <v:rect id="Rectangle 28299" style="position:absolute;width:1119;height:2157;left:40455;top:4935;" filled="f" stroked="f">
                  <v:textbox inset="0,0,0,0">
                    <w:txbxContent>
                      <w:p>
                        <w:pPr>
                          <w:spacing w:before="0" w:after="160" w:line="259" w:lineRule="auto"/>
                          <w:ind w:left="0" w:firstLine="0"/>
                          <w:jc w:val="left"/>
                        </w:pPr>
                        <w:r>
                          <w:rPr/>
                          <w:t xml:space="preserve">в</w:t>
                        </w:r>
                      </w:p>
                    </w:txbxContent>
                  </v:textbox>
                </v:rect>
                <v:rect id="Rectangle 28300" style="position:absolute;width:1185;height:2157;left:41294;top:4935;" filled="f" stroked="f">
                  <v:textbox inset="0,0,0,0">
                    <w:txbxContent>
                      <w:p>
                        <w:pPr>
                          <w:spacing w:before="0" w:after="160" w:line="259" w:lineRule="auto"/>
                          <w:ind w:left="0" w:firstLine="0"/>
                          <w:jc w:val="left"/>
                        </w:pPr>
                        <w:r>
                          <w:rPr/>
                          <w:t xml:space="preserve">о</w:t>
                        </w:r>
                      </w:p>
                    </w:txbxContent>
                  </v:textbox>
                </v:rect>
                <v:rect id="Rectangle 28301" style="position:absolute;width:592;height:2625;left:42193;top:4583;" filled="f" stroked="f">
                  <v:textbox inset="0,0,0,0">
                    <w:txbxContent>
                      <w:p>
                        <w:pPr>
                          <w:spacing w:before="0" w:after="160" w:line="259" w:lineRule="auto"/>
                          <w:ind w:left="0" w:firstLine="0"/>
                          <w:jc w:val="left"/>
                        </w:pPr>
                        <w:r>
                          <w:rPr/>
                          <w:t xml:space="preserve"> </w:t>
                        </w:r>
                      </w:p>
                    </w:txbxContent>
                  </v:textbox>
                </v:rect>
                <v:rect id="Rectangle 28302" style="position:absolute;width:7626;height:2625;left:42635;top:4583;" filled="f" stroked="f">
                  <v:textbox inset="0,0,0,0">
                    <w:txbxContent>
                      <w:p>
                        <w:pPr>
                          <w:spacing w:before="0" w:after="160" w:line="259" w:lineRule="auto"/>
                          <w:ind w:left="0" w:firstLine="0"/>
                          <w:jc w:val="left"/>
                        </w:pPr>
                        <w:r>
                          <w:rPr>
                            <w:rFonts w:cs="Times New Roman" w:hAnsi="Times New Roman" w:eastAsia="Times New Roman" w:ascii="Times New Roman"/>
                            <w:i w:val="1"/>
                          </w:rPr>
                          <w:t xml:space="preserve">Fritzing</w:t>
                        </w:r>
                      </w:p>
                    </w:txbxContent>
                  </v:textbox>
                </v:rect>
                <v:rect id="Rectangle 97548" style="position:absolute;width:1185;height:2157;left:48380;top:4935;" filled="f" stroked="f">
                  <v:textbox inset="0,0,0,0">
                    <w:txbxContent>
                      <w:p>
                        <w:pPr>
                          <w:spacing w:before="0" w:after="160" w:line="259" w:lineRule="auto"/>
                          <w:ind w:left="0" w:firstLine="0"/>
                          <w:jc w:val="left"/>
                        </w:pPr>
                        <w:r>
                          <w:rPr/>
                          <w:t xml:space="preserve">, </w:t>
                        </w:r>
                      </w:p>
                    </w:txbxContent>
                  </v:textbox>
                </v:rect>
                <v:rect id="Rectangle 97550" style="position:absolute;width:5518;height:2157;left:57501;top:4935;" filled="f" stroked="f">
                  <v:textbox inset="0,0,0,0">
                    <w:txbxContent>
                      <w:p>
                        <w:pPr>
                          <w:spacing w:before="0" w:after="160" w:line="259" w:lineRule="auto"/>
                          <w:ind w:left="0" w:firstLine="0"/>
                          <w:jc w:val="left"/>
                        </w:pPr>
                        <w:r>
                          <w:rPr/>
                          <w:t xml:space="preserve">вами </w:t>
                        </w:r>
                      </w:p>
                    </w:txbxContent>
                  </v:textbox>
                </v:rect>
                <v:rect id="Rectangle 97549" style="position:absolute;width:6322;height:2157;left:51000;top:4935;" filled="f" stroked="f">
                  <v:textbox inset="0,0,0,0">
                    <w:txbxContent>
                      <w:p>
                        <w:pPr>
                          <w:spacing w:before="0" w:after="160" w:line="259" w:lineRule="auto"/>
                          <w:ind w:left="0" w:firstLine="0"/>
                          <w:jc w:val="left"/>
                        </w:pPr>
                        <w:r>
                          <w:rPr/>
                          <w:t xml:space="preserve">перед </w:t>
                        </w:r>
                      </w:p>
                    </w:txbxContent>
                  </v:textbox>
                </v:rect>
                <v:rect id="Rectangle 97551" style="position:absolute;width:9685;height:2157;left:40455;top:6980;" filled="f" stroked="f">
                  <v:textbox inset="0,0,0,0">
                    <w:txbxContent>
                      <w:p>
                        <w:pPr>
                          <w:spacing w:before="0" w:after="160" w:line="259" w:lineRule="auto"/>
                          <w:ind w:left="0" w:firstLine="0"/>
                          <w:jc w:val="left"/>
                        </w:pPr>
                        <w:r>
                          <w:rPr/>
                          <w:t xml:space="preserve">появится </w:t>
                        </w:r>
                      </w:p>
                    </w:txbxContent>
                  </v:textbox>
                </v:rect>
                <v:rect id="Rectangle 97553" style="position:absolute;width:4790;height:2157;left:57165;top:6980;" filled="f" stroked="f">
                  <v:textbox inset="0,0,0,0">
                    <w:txbxContent>
                      <w:p>
                        <w:pPr>
                          <w:spacing w:before="0" w:after="160" w:line="259" w:lineRule="auto"/>
                          <w:ind w:left="0" w:firstLine="0"/>
                          <w:jc w:val="left"/>
                        </w:pPr>
                        <w:r>
                          <w:rPr/>
                          <w:t xml:space="preserve">окно</w:t>
                        </w:r>
                      </w:p>
                    </w:txbxContent>
                  </v:textbox>
                </v:rect>
                <v:rect id="Rectangle 97552" style="position:absolute;width:6063;height:2157;left:50173;top:6980;" filled="f" stroked="f">
                  <v:textbox inset="0,0,0,0">
                    <w:txbxContent>
                      <w:p>
                        <w:pPr>
                          <w:spacing w:before="0" w:after="160" w:line="259" w:lineRule="auto"/>
                          <w:ind w:left="0" w:firstLine="0"/>
                          <w:jc w:val="left"/>
                        </w:pPr>
                        <w:r>
                          <w:rPr/>
                          <w:t xml:space="preserve">такое </w:t>
                        </w:r>
                      </w:p>
                    </w:txbxContent>
                  </v:textbox>
                </v:rect>
                <v:rect id="Rectangle 28306" style="position:absolute;width:1160;height:2625;left:60789;top:6628;" filled="f" stroked="f">
                  <v:textbox inset="0,0,0,0">
                    <w:txbxContent>
                      <w:p>
                        <w:pPr>
                          <w:spacing w:before="0" w:after="160" w:line="259" w:lineRule="auto"/>
                          <w:ind w:left="0" w:firstLine="0"/>
                          <w:jc w:val="left"/>
                        </w:pPr>
                        <w:r>
                          <w:rPr/>
                          <w:t xml:space="preserve">. </w:t>
                        </w:r>
                      </w:p>
                    </w:txbxContent>
                  </v:textbox>
                </v:rect>
                <v:rect id="Rectangle 588867" style="position:absolute;width:674;height:1811;left:40455;top:8983;"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w:t>
                        </w:r>
                      </w:p>
                    </w:txbxContent>
                  </v:textbox>
                </v:rect>
                <v:rect id="Rectangle 588869" style="position:absolute;width:3782;height:1811;left:40963;top:8983;"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Рис.</w:t>
                        </w:r>
                      </w:p>
                    </w:txbxContent>
                  </v:textbox>
                </v:rect>
                <v:rect id="Rectangle 588868" style="position:absolute;width:1706;height:1811;left:43807;top:8983;"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2)</w:t>
                        </w:r>
                      </w:p>
                    </w:txbxContent>
                  </v:textbox>
                </v:rect>
                <v:rect id="Rectangle 28309" style="position:absolute;width:592;height:2625;left:45104;top:8426;" filled="f" stroked="f">
                  <v:textbox inset="0,0,0,0">
                    <w:txbxContent>
                      <w:p>
                        <w:pPr>
                          <w:spacing w:before="0" w:after="160" w:line="259" w:lineRule="auto"/>
                          <w:ind w:left="0" w:firstLine="0"/>
                          <w:jc w:val="left"/>
                        </w:pPr>
                        <w:r>
                          <w:rPr/>
                          <w:t xml:space="preserve"> </w:t>
                        </w:r>
                      </w:p>
                    </w:txbxContent>
                  </v:textbox>
                </v:rect>
                <v:rect id="Rectangle 28310" style="position:absolute;width:592;height:2625;left:44037;top:10422;" filled="f" stroked="f">
                  <v:textbox inset="0,0,0,0">
                    <w:txbxContent>
                      <w:p>
                        <w:pPr>
                          <w:spacing w:before="0" w:after="160" w:line="259" w:lineRule="auto"/>
                          <w:ind w:left="0" w:firstLine="0"/>
                          <w:jc w:val="left"/>
                        </w:pPr>
                        <w:r>
                          <w:rPr/>
                          <w:t xml:space="preserve"> </w:t>
                        </w:r>
                      </w:p>
                    </w:txbxContent>
                  </v:textbox>
                </v:rect>
                <v:rect id="Rectangle 28311" style="position:absolute;width:592;height:2625;left:44037;top:12465;" filled="f" stroked="f">
                  <v:textbox inset="0,0,0,0">
                    <w:txbxContent>
                      <w:p>
                        <w:pPr>
                          <w:spacing w:before="0" w:after="160" w:line="259" w:lineRule="auto"/>
                          <w:ind w:left="0" w:firstLine="0"/>
                          <w:jc w:val="left"/>
                        </w:pPr>
                        <w:r>
                          <w:rPr/>
                          <w:t xml:space="preserve"> </w:t>
                        </w:r>
                      </w:p>
                    </w:txbxContent>
                  </v:textbox>
                </v:rect>
                <v:rect id="Rectangle 28312" style="position:absolute;width:592;height:2625;left:44037;top:14522;" filled="f" stroked="f">
                  <v:textbox inset="0,0,0,0">
                    <w:txbxContent>
                      <w:p>
                        <w:pPr>
                          <w:spacing w:before="0" w:after="160" w:line="259" w:lineRule="auto"/>
                          <w:ind w:left="0" w:firstLine="0"/>
                          <w:jc w:val="left"/>
                        </w:pPr>
                        <w:r>
                          <w:rPr/>
                          <w:t xml:space="preserve"> </w:t>
                        </w:r>
                      </w:p>
                    </w:txbxContent>
                  </v:textbox>
                </v:rect>
                <v:rect id="Rectangle 28313" style="position:absolute;width:592;height:2625;left:44037;top:16564;" filled="f" stroked="f">
                  <v:textbox inset="0,0,0,0">
                    <w:txbxContent>
                      <w:p>
                        <w:pPr>
                          <w:spacing w:before="0" w:after="160" w:line="259" w:lineRule="auto"/>
                          <w:ind w:left="0" w:firstLine="0"/>
                          <w:jc w:val="left"/>
                        </w:pPr>
                        <w:r>
                          <w:rPr/>
                          <w:t xml:space="preserve"> </w:t>
                        </w:r>
                      </w:p>
                    </w:txbxContent>
                  </v:textbox>
                </v:rect>
                <v:rect id="Rectangle 28314" style="position:absolute;width:592;height:2625;left:44037;top:18606;" filled="f" stroked="f">
                  <v:textbox inset="0,0,0,0">
                    <w:txbxContent>
                      <w:p>
                        <w:pPr>
                          <w:spacing w:before="0" w:after="160" w:line="259" w:lineRule="auto"/>
                          <w:ind w:left="0" w:firstLine="0"/>
                          <w:jc w:val="left"/>
                        </w:pPr>
                        <w:r>
                          <w:rPr/>
                          <w:t xml:space="preserve"> </w:t>
                        </w:r>
                      </w:p>
                    </w:txbxContent>
                  </v:textbox>
                </v:rect>
                <v:rect id="Rectangle 97554" style="position:absolute;width:18466;height:2157;left:0;top:25085;" filled="f" stroked="f">
                  <v:textbox inset="0,0,0,0">
                    <w:txbxContent>
                      <w:p>
                        <w:pPr>
                          <w:spacing w:before="0" w:after="160" w:line="259" w:lineRule="auto"/>
                          <w:ind w:left="0" w:firstLine="0"/>
                          <w:jc w:val="left"/>
                        </w:pPr>
                        <w:r>
                          <w:rPr/>
                          <w:t xml:space="preserve">Переключившись </w:t>
                        </w:r>
                      </w:p>
                    </w:txbxContent>
                  </v:textbox>
                </v:rect>
                <v:rect id="Rectangle 97555" style="position:absolute;width:2919;height:2157;left:15876;top:25085;" filled="f" stroked="f">
                  <v:textbox inset="0,0,0,0">
                    <w:txbxContent>
                      <w:p>
                        <w:pPr>
                          <w:spacing w:before="0" w:after="160" w:line="259" w:lineRule="auto"/>
                          <w:ind w:left="0" w:firstLine="0"/>
                          <w:jc w:val="left"/>
                        </w:pPr>
                        <w:r>
                          <w:rPr/>
                          <w:t xml:space="preserve">на </w:t>
                        </w:r>
                      </w:p>
                    </w:txbxContent>
                  </v:textbox>
                </v:rect>
                <v:rect id="Rectangle 97556" style="position:absolute;width:8615;height:2157;left:20063;top:25085;" filled="f" stroked="f">
                  <v:textbox inset="0,0,0,0">
                    <w:txbxContent>
                      <w:p>
                        <w:pPr>
                          <w:spacing w:before="0" w:after="160" w:line="259" w:lineRule="auto"/>
                          <w:ind w:left="0" w:firstLine="0"/>
                          <w:jc w:val="left"/>
                        </w:pPr>
                        <w:r>
                          <w:rPr/>
                          <w:t xml:space="preserve">вкладку </w:t>
                        </w:r>
                      </w:p>
                    </w:txbxContent>
                  </v:textbox>
                </v:rect>
                <v:rect id="Rectangle 97557" style="position:absolute;width:10394;height:2157;left:0;top:27143;" filled="f" stroked="f">
                  <v:textbox inset="0,0,0,0">
                    <w:txbxContent>
                      <w:p>
                        <w:pPr>
                          <w:spacing w:before="0" w:after="160" w:line="259" w:lineRule="auto"/>
                          <w:ind w:left="0" w:firstLine="0"/>
                          <w:jc w:val="left"/>
                        </w:pPr>
                        <w:r>
                          <w:rPr/>
                          <w:t xml:space="preserve">Макетная </w:t>
                        </w:r>
                      </w:p>
                    </w:txbxContent>
                  </v:textbox>
                </v:rect>
                <v:rect id="Rectangle 97559" style="position:absolute;width:3687;height:2157;left:15915;top:27143;" filled="f" stroked="f">
                  <v:textbox inset="0,0,0,0">
                    <w:txbxContent>
                      <w:p>
                        <w:pPr>
                          <w:spacing w:before="0" w:after="160" w:line="259" w:lineRule="auto"/>
                          <w:ind w:left="0" w:firstLine="0"/>
                          <w:jc w:val="left"/>
                        </w:pPr>
                        <w:r>
                          <w:rPr/>
                          <w:t xml:space="preserve">мы </w:t>
                        </w:r>
                      </w:p>
                    </w:txbxContent>
                  </v:textbox>
                </v:rect>
                <v:rect id="Rectangle 97560" style="position:absolute;width:8105;height:2157;left:20439;top:27143;" filled="f" stroked="f">
                  <v:textbox inset="0,0,0,0">
                    <w:txbxContent>
                      <w:p>
                        <w:pPr>
                          <w:spacing w:before="0" w:after="160" w:line="259" w:lineRule="auto"/>
                          <w:ind w:left="0" w:firstLine="0"/>
                          <w:jc w:val="left"/>
                        </w:pPr>
                        <w:r>
                          <w:rPr/>
                          <w:t xml:space="preserve">увидим </w:t>
                        </w:r>
                      </w:p>
                    </w:txbxContent>
                  </v:textbox>
                </v:rect>
                <v:rect id="Rectangle 97558" style="position:absolute;width:6163;height:2157;left:9550;top:27143;" filled="f" stroked="f">
                  <v:textbox inset="0,0,0,0">
                    <w:txbxContent>
                      <w:p>
                        <w:pPr>
                          <w:spacing w:before="0" w:after="160" w:line="259" w:lineRule="auto"/>
                          <w:ind w:left="0" w:firstLine="0"/>
                          <w:jc w:val="left"/>
                        </w:pPr>
                        <w:r>
                          <w:rPr/>
                          <w:t xml:space="preserve">плата </w:t>
                        </w:r>
                      </w:p>
                    </w:txbxContent>
                  </v:textbox>
                </v:rect>
                <v:rect id="Rectangle 28322" style="position:absolute;width:18049;height:2157;left:0;top:29185;" filled="f" stroked="f">
                  <v:textbox inset="0,0,0,0">
                    <w:txbxContent>
                      <w:p>
                        <w:pPr>
                          <w:spacing w:before="0" w:after="160" w:line="259" w:lineRule="auto"/>
                          <w:ind w:left="0" w:firstLine="0"/>
                          <w:jc w:val="left"/>
                        </w:pPr>
                        <w:r>
                          <w:rPr/>
                          <w:t xml:space="preserve">следующий экран</w:t>
                        </w:r>
                      </w:p>
                    </w:txbxContent>
                  </v:textbox>
                </v:rect>
                <v:rect id="Rectangle 28323" style="position:absolute;width:592;height:2625;left:13581;top:28832;" filled="f" stroked="f">
                  <v:textbox inset="0,0,0,0">
                    <w:txbxContent>
                      <w:p>
                        <w:pPr>
                          <w:spacing w:before="0" w:after="160" w:line="259" w:lineRule="auto"/>
                          <w:ind w:left="0" w:firstLine="0"/>
                          <w:jc w:val="left"/>
                        </w:pPr>
                        <w:r>
                          <w:rPr/>
                          <w:t xml:space="preserve"> </w:t>
                        </w:r>
                      </w:p>
                    </w:txbxContent>
                  </v:textbox>
                </v:rect>
                <v:rect id="Rectangle 588870" style="position:absolute;width:674;height:1811;left:14023;top:29389;"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w:t>
                        </w:r>
                      </w:p>
                    </w:txbxContent>
                  </v:textbox>
                </v:rect>
                <v:rect id="Rectangle 588872" style="position:absolute;width:4288;height:1811;left:14530;top:29389;"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Рис. </w:t>
                        </w:r>
                      </w:p>
                    </w:txbxContent>
                  </v:textbox>
                </v:rect>
                <v:rect id="Rectangle 588871" style="position:absolute;width:1688;height:1811;left:17755;top:29389;"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3)</w:t>
                        </w:r>
                      </w:p>
                    </w:txbxContent>
                  </v:textbox>
                </v:rect>
                <v:rect id="Rectangle 28325" style="position:absolute;width:592;height:2625;left:19025;top:28832;" filled="f" stroked="f">
                  <v:textbox inset="0,0,0,0">
                    <w:txbxContent>
                      <w:p>
                        <w:pPr>
                          <w:spacing w:before="0" w:after="160" w:line="259" w:lineRule="auto"/>
                          <w:ind w:left="0" w:firstLine="0"/>
                          <w:jc w:val="left"/>
                        </w:pPr>
                        <w:r>
                          <w:rPr/>
                          <w:t xml:space="preserve"> </w:t>
                        </w:r>
                      </w:p>
                    </w:txbxContent>
                  </v:textbox>
                </v:rect>
              </v:group>
            </w:pict>
          </mc:Fallback>
        </mc:AlternateContent>
      </w:r>
    </w:p>
    <w:p w:rsidR="002C0F56" w:rsidRDefault="00E67C6E">
      <w:pPr>
        <w:spacing w:after="0" w:line="259" w:lineRule="auto"/>
        <w:ind w:left="744" w:firstLine="0"/>
        <w:jc w:val="left"/>
      </w:pPr>
      <w:r>
        <w:t xml:space="preserve"> </w:t>
      </w:r>
    </w:p>
    <w:p w:rsidR="002C0F56" w:rsidRDefault="00E67C6E">
      <w:pPr>
        <w:spacing w:after="27" w:line="259" w:lineRule="auto"/>
        <w:ind w:left="744" w:firstLine="0"/>
        <w:jc w:val="left"/>
      </w:pPr>
      <w:r>
        <w:t xml:space="preserve"> </w:t>
      </w:r>
    </w:p>
    <w:p w:rsidR="002C0F56" w:rsidRDefault="00E67C6E">
      <w:pPr>
        <w:ind w:left="165" w:right="302"/>
      </w:pPr>
      <w:r>
        <w:lastRenderedPageBreak/>
        <w:t>Давайте разместим компонент  какой-</w:t>
      </w:r>
      <w:r>
        <w:t xml:space="preserve">нибудь элемент в нижней части макетной платы. Мы будем проектировать ардуино звуковой модуль. [1]  </w:t>
      </w:r>
    </w:p>
    <w:p w:rsidR="002C0F56" w:rsidRDefault="00E67C6E">
      <w:pPr>
        <w:spacing w:after="59"/>
        <w:ind w:left="744" w:right="1039" w:firstLine="0"/>
      </w:pPr>
      <w:r>
        <w:t xml:space="preserve">Вам понадобится </w:t>
      </w:r>
    </w:p>
    <w:p w:rsidR="002C0F56" w:rsidRDefault="00E67C6E">
      <w:pPr>
        <w:numPr>
          <w:ilvl w:val="0"/>
          <w:numId w:val="87"/>
        </w:numPr>
        <w:spacing w:after="12"/>
        <w:ind w:right="1039"/>
      </w:pPr>
      <w:r>
        <w:rPr>
          <w:noProof/>
        </w:rPr>
        <w:drawing>
          <wp:anchor distT="0" distB="0" distL="114300" distR="114300" simplePos="0" relativeHeight="251664384" behindDoc="0" locked="0" layoutInCell="1" allowOverlap="0">
            <wp:simplePos x="0" y="0"/>
            <wp:positionH relativeFrom="column">
              <wp:posOffset>3665347</wp:posOffset>
            </wp:positionH>
            <wp:positionV relativeFrom="paragraph">
              <wp:posOffset>-75504</wp:posOffset>
            </wp:positionV>
            <wp:extent cx="2461260" cy="1534160"/>
            <wp:effectExtent l="0" t="0" r="0" b="0"/>
            <wp:wrapSquare wrapText="bothSides"/>
            <wp:docPr id="28355" name="Picture 28355"/>
            <wp:cNvGraphicFramePr/>
            <a:graphic xmlns:a="http://schemas.openxmlformats.org/drawingml/2006/main">
              <a:graphicData uri="http://schemas.openxmlformats.org/drawingml/2006/picture">
                <pic:pic xmlns:pic="http://schemas.openxmlformats.org/drawingml/2006/picture">
                  <pic:nvPicPr>
                    <pic:cNvPr id="28355" name="Picture 28355"/>
                    <pic:cNvPicPr/>
                  </pic:nvPicPr>
                  <pic:blipFill>
                    <a:blip r:embed="rId540"/>
                    <a:stretch>
                      <a:fillRect/>
                    </a:stretch>
                  </pic:blipFill>
                  <pic:spPr>
                    <a:xfrm>
                      <a:off x="0" y="0"/>
                      <a:ext cx="2461260" cy="1534160"/>
                    </a:xfrm>
                    <a:prstGeom prst="rect">
                      <a:avLst/>
                    </a:prstGeom>
                  </pic:spPr>
                </pic:pic>
              </a:graphicData>
            </a:graphic>
          </wp:anchor>
        </w:drawing>
      </w:r>
      <w:r>
        <w:t xml:space="preserve">Макетная плата; </w:t>
      </w:r>
    </w:p>
    <w:p w:rsidR="002C0F56" w:rsidRDefault="00E67C6E">
      <w:pPr>
        <w:numPr>
          <w:ilvl w:val="0"/>
          <w:numId w:val="87"/>
        </w:numPr>
        <w:spacing w:after="12"/>
        <w:ind w:right="1039"/>
      </w:pPr>
      <w:r>
        <w:t xml:space="preserve">USB-кабель; </w:t>
      </w:r>
    </w:p>
    <w:p w:rsidR="002C0F56" w:rsidRDefault="00E67C6E">
      <w:pPr>
        <w:numPr>
          <w:ilvl w:val="0"/>
          <w:numId w:val="87"/>
        </w:numPr>
        <w:spacing w:after="12"/>
        <w:ind w:right="1039"/>
      </w:pPr>
      <w:r>
        <w:t xml:space="preserve">Arduino uno; </w:t>
      </w:r>
    </w:p>
    <w:p w:rsidR="002C0F56" w:rsidRDefault="00E67C6E">
      <w:pPr>
        <w:numPr>
          <w:ilvl w:val="0"/>
          <w:numId w:val="87"/>
        </w:numPr>
        <w:ind w:right="1039"/>
      </w:pPr>
      <w:r>
        <w:t xml:space="preserve">Звуковой модуль WTV020 с micro SD считывателем; </w:t>
      </w:r>
    </w:p>
    <w:p w:rsidR="002C0F56" w:rsidRDefault="00E67C6E">
      <w:pPr>
        <w:numPr>
          <w:ilvl w:val="0"/>
          <w:numId w:val="87"/>
        </w:numPr>
        <w:spacing w:after="12"/>
        <w:ind w:right="1039"/>
      </w:pPr>
      <w:r>
        <w:t xml:space="preserve">Калонка  </w:t>
      </w:r>
    </w:p>
    <w:p w:rsidR="002C0F56" w:rsidRDefault="00E67C6E">
      <w:pPr>
        <w:numPr>
          <w:ilvl w:val="0"/>
          <w:numId w:val="87"/>
        </w:numPr>
        <w:spacing w:after="12"/>
        <w:ind w:right="1039"/>
      </w:pPr>
      <w:r>
        <w:t xml:space="preserve">1 светодиода (красный); </w:t>
      </w:r>
    </w:p>
    <w:p w:rsidR="002C0F56" w:rsidRDefault="00E67C6E">
      <w:pPr>
        <w:numPr>
          <w:ilvl w:val="0"/>
          <w:numId w:val="87"/>
        </w:numPr>
        <w:spacing w:after="16"/>
        <w:ind w:right="1039"/>
      </w:pPr>
      <w:r>
        <w:t xml:space="preserve">1 </w:t>
      </w:r>
      <w:r>
        <w:t xml:space="preserve">резистора по 220 Ом;  </w:t>
      </w:r>
      <w:r>
        <w:tab/>
        <w:t xml:space="preserve"> </w:t>
      </w:r>
      <w:r>
        <w:tab/>
        <w:t xml:space="preserve"> </w:t>
      </w:r>
      <w:r>
        <w:tab/>
        <w:t xml:space="preserve"> </w:t>
      </w:r>
      <w:r>
        <w:tab/>
        <w:t xml:space="preserve"> </w:t>
      </w:r>
      <w:r>
        <w:tab/>
      </w:r>
      <w:r>
        <w:rPr>
          <w:b/>
          <w:sz w:val="24"/>
        </w:rPr>
        <w:t>(Рис.4)</w:t>
      </w:r>
      <w:r>
        <w:t xml:space="preserve"> </w:t>
      </w:r>
    </w:p>
    <w:p w:rsidR="002C0F56" w:rsidRDefault="00E67C6E">
      <w:pPr>
        <w:numPr>
          <w:ilvl w:val="0"/>
          <w:numId w:val="87"/>
        </w:numPr>
        <w:spacing w:after="12"/>
        <w:ind w:right="1039"/>
      </w:pPr>
      <w:r>
        <w:t xml:space="preserve">соединительные провода. </w:t>
      </w:r>
    </w:p>
    <w:p w:rsidR="002C0F56" w:rsidRDefault="00E67C6E">
      <w:pPr>
        <w:spacing w:after="0" w:line="259" w:lineRule="auto"/>
        <w:ind w:left="744" w:firstLine="0"/>
        <w:jc w:val="left"/>
      </w:pPr>
      <w:r>
        <w:t xml:space="preserve"> </w:t>
      </w:r>
    </w:p>
    <w:p w:rsidR="002C0F56" w:rsidRDefault="00E67C6E">
      <w:pPr>
        <w:spacing w:after="0" w:line="259" w:lineRule="auto"/>
        <w:ind w:left="0" w:right="1558" w:firstLine="0"/>
        <w:jc w:val="right"/>
      </w:pPr>
      <w:r>
        <w:rPr>
          <w:noProof/>
        </w:rPr>
        <w:drawing>
          <wp:inline distT="0" distB="0" distL="0" distR="0">
            <wp:extent cx="4795520" cy="2680970"/>
            <wp:effectExtent l="0" t="0" r="0" b="0"/>
            <wp:docPr id="28434" name="Picture 28434"/>
            <wp:cNvGraphicFramePr/>
            <a:graphic xmlns:a="http://schemas.openxmlformats.org/drawingml/2006/main">
              <a:graphicData uri="http://schemas.openxmlformats.org/drawingml/2006/picture">
                <pic:pic xmlns:pic="http://schemas.openxmlformats.org/drawingml/2006/picture">
                  <pic:nvPicPr>
                    <pic:cNvPr id="28434" name="Picture 28434"/>
                    <pic:cNvPicPr/>
                  </pic:nvPicPr>
                  <pic:blipFill>
                    <a:blip r:embed="rId541"/>
                    <a:stretch>
                      <a:fillRect/>
                    </a:stretch>
                  </pic:blipFill>
                  <pic:spPr>
                    <a:xfrm>
                      <a:off x="0" y="0"/>
                      <a:ext cx="4795520" cy="2680970"/>
                    </a:xfrm>
                    <a:prstGeom prst="rect">
                      <a:avLst/>
                    </a:prstGeom>
                  </pic:spPr>
                </pic:pic>
              </a:graphicData>
            </a:graphic>
          </wp:inline>
        </w:drawing>
      </w:r>
      <w:r>
        <w:t xml:space="preserve"> </w:t>
      </w:r>
    </w:p>
    <w:p w:rsidR="002C0F56" w:rsidRDefault="00E67C6E">
      <w:pPr>
        <w:spacing w:after="5" w:line="271" w:lineRule="auto"/>
        <w:ind w:left="2269" w:right="396" w:hanging="10"/>
        <w:jc w:val="left"/>
      </w:pPr>
      <w:r>
        <w:rPr>
          <w:b/>
          <w:sz w:val="24"/>
        </w:rPr>
        <w:t xml:space="preserve">Рис.5. Схема подключения звукового модуля WTV020. </w:t>
      </w:r>
    </w:p>
    <w:p w:rsidR="002C0F56" w:rsidRDefault="00E67C6E">
      <w:pPr>
        <w:spacing w:after="0" w:line="259" w:lineRule="auto"/>
        <w:ind w:left="744" w:firstLine="0"/>
        <w:jc w:val="left"/>
      </w:pPr>
      <w:r>
        <w:t xml:space="preserve"> </w:t>
      </w:r>
    </w:p>
    <w:p w:rsidR="002C0F56" w:rsidRDefault="00E67C6E">
      <w:pPr>
        <w:ind w:left="165" w:right="876"/>
      </w:pPr>
      <w:r>
        <w:t>Светодиод подсоединенный к выходам 15, 16 горит постоянно и гаснит при воспроизведении звукового файла. Звуковые файлы должны быть ча</w:t>
      </w:r>
      <w:r>
        <w:t xml:space="preserve">стотой не более 16 КГц и форматом .WAV [1] </w:t>
      </w:r>
    </w:p>
    <w:p w:rsidR="002C0F56" w:rsidRDefault="00E67C6E">
      <w:pPr>
        <w:ind w:left="744" w:right="302" w:firstLine="0"/>
      </w:pPr>
      <w:r>
        <w:t>Для тестирования модуля необходимо установить библиотеку DHT.h</w:t>
      </w:r>
      <w:r>
        <w:rPr>
          <w:b/>
        </w:rPr>
        <w:t xml:space="preserve"> </w:t>
      </w:r>
    </w:p>
    <w:p w:rsidR="002C0F56" w:rsidRDefault="00E67C6E">
      <w:pPr>
        <w:spacing w:after="15" w:line="271" w:lineRule="auto"/>
        <w:ind w:left="201" w:hanging="10"/>
        <w:jc w:val="left"/>
      </w:pPr>
      <w:r>
        <w:rPr>
          <w:b/>
        </w:rPr>
        <w:t xml:space="preserve">Скетч  </w:t>
      </w:r>
    </w:p>
    <w:p w:rsidR="002C0F56" w:rsidRDefault="00E67C6E">
      <w:pPr>
        <w:spacing w:after="15"/>
        <w:ind w:left="165" w:right="302" w:firstLine="0"/>
      </w:pPr>
      <w:r>
        <w:rPr>
          <w:b/>
        </w:rPr>
        <w:t>#include "DHT.h"</w:t>
      </w:r>
      <w:r>
        <w:t xml:space="preserve">//библиотека для работы датчика температуры и влажности </w:t>
      </w:r>
    </w:p>
    <w:p w:rsidR="002C0F56" w:rsidRDefault="00E67C6E">
      <w:pPr>
        <w:spacing w:after="12"/>
        <w:ind w:left="165" w:right="302" w:firstLine="0"/>
      </w:pPr>
      <w:r>
        <w:rPr>
          <w:b/>
        </w:rPr>
        <w:t xml:space="preserve">#define DHTPIN 6 </w:t>
      </w:r>
      <w:r>
        <w:t xml:space="preserve"> //датчик подключен к пину 6 </w:t>
      </w:r>
    </w:p>
    <w:p w:rsidR="002C0F56" w:rsidRDefault="00E67C6E">
      <w:pPr>
        <w:spacing w:after="15" w:line="271" w:lineRule="auto"/>
        <w:ind w:left="201" w:hanging="10"/>
        <w:jc w:val="left"/>
      </w:pPr>
      <w:r>
        <w:rPr>
          <w:b/>
        </w:rPr>
        <w:t>#define DHTTYPE DHT</w:t>
      </w:r>
      <w:r>
        <w:rPr>
          <w:b/>
        </w:rPr>
        <w:t>22</w:t>
      </w:r>
      <w:r>
        <w:t xml:space="preserve"> //тип датчика </w:t>
      </w:r>
    </w:p>
    <w:p w:rsidR="002C0F56" w:rsidRDefault="00E67C6E">
      <w:pPr>
        <w:spacing w:after="5" w:line="268" w:lineRule="auto"/>
        <w:ind w:left="165" w:right="1536" w:firstLine="0"/>
        <w:jc w:val="left"/>
      </w:pPr>
      <w:r>
        <w:rPr>
          <w:b/>
        </w:rPr>
        <w:t xml:space="preserve">#include &lt;Wtv020sd16p.h&gt; </w:t>
      </w:r>
      <w:r>
        <w:t xml:space="preserve">//библиотека работы модуля WTV020 </w:t>
      </w:r>
      <w:r>
        <w:rPr>
          <w:b/>
        </w:rPr>
        <w:t xml:space="preserve">int resetPin = 7; </w:t>
      </w:r>
      <w:r>
        <w:t xml:space="preserve">//подключение ножки сброса модуля к пину 7 </w:t>
      </w:r>
      <w:r>
        <w:rPr>
          <w:b/>
        </w:rPr>
        <w:t xml:space="preserve">int clockPin = </w:t>
      </w:r>
      <w:r>
        <w:rPr>
          <w:b/>
        </w:rPr>
        <w:lastRenderedPageBreak/>
        <w:t xml:space="preserve">8; </w:t>
      </w:r>
      <w:r>
        <w:t xml:space="preserve">//подключение ножки тактового сигнала модуля к пину 8 </w:t>
      </w:r>
      <w:r>
        <w:rPr>
          <w:b/>
        </w:rPr>
        <w:t xml:space="preserve">int dataPin = 5; </w:t>
      </w:r>
      <w:r>
        <w:t xml:space="preserve"> //подключение информационног</w:t>
      </w:r>
      <w:r>
        <w:t xml:space="preserve">о вывода модуля к пину 5 </w:t>
      </w:r>
      <w:r>
        <w:rPr>
          <w:b/>
        </w:rPr>
        <w:t xml:space="preserve">int busyPin = 4; </w:t>
      </w:r>
      <w:r>
        <w:t xml:space="preserve"> //подключение вывода "занятости" модуля к пину 4 </w:t>
      </w:r>
    </w:p>
    <w:p w:rsidR="002C0F56" w:rsidRDefault="00E67C6E">
      <w:pPr>
        <w:spacing w:after="0" w:line="259" w:lineRule="auto"/>
        <w:ind w:left="744" w:firstLine="0"/>
        <w:jc w:val="left"/>
      </w:pPr>
      <w:r>
        <w:t xml:space="preserve"> </w:t>
      </w:r>
    </w:p>
    <w:p w:rsidR="002C0F56" w:rsidRDefault="00E67C6E">
      <w:pPr>
        <w:spacing w:after="176" w:line="259" w:lineRule="auto"/>
        <w:ind w:left="663" w:firstLine="0"/>
        <w:jc w:val="left"/>
      </w:pPr>
      <w:r>
        <w:t xml:space="preserve"> </w:t>
      </w:r>
      <w:r>
        <w:rPr>
          <w:noProof/>
        </w:rPr>
        <w:drawing>
          <wp:inline distT="0" distB="0" distL="0" distR="0">
            <wp:extent cx="4438650" cy="2533650"/>
            <wp:effectExtent l="0" t="0" r="0" b="0"/>
            <wp:docPr id="28568" name="Picture 28568"/>
            <wp:cNvGraphicFramePr/>
            <a:graphic xmlns:a="http://schemas.openxmlformats.org/drawingml/2006/main">
              <a:graphicData uri="http://schemas.openxmlformats.org/drawingml/2006/picture">
                <pic:pic xmlns:pic="http://schemas.openxmlformats.org/drawingml/2006/picture">
                  <pic:nvPicPr>
                    <pic:cNvPr id="28568" name="Picture 28568"/>
                    <pic:cNvPicPr/>
                  </pic:nvPicPr>
                  <pic:blipFill>
                    <a:blip r:embed="rId542"/>
                    <a:stretch>
                      <a:fillRect/>
                    </a:stretch>
                  </pic:blipFill>
                  <pic:spPr>
                    <a:xfrm>
                      <a:off x="0" y="0"/>
                      <a:ext cx="4438650" cy="2533650"/>
                    </a:xfrm>
                    <a:prstGeom prst="rect">
                      <a:avLst/>
                    </a:prstGeom>
                  </pic:spPr>
                </pic:pic>
              </a:graphicData>
            </a:graphic>
          </wp:inline>
        </w:drawing>
      </w:r>
    </w:p>
    <w:p w:rsidR="002C0F56" w:rsidRDefault="00E67C6E">
      <w:pPr>
        <w:spacing w:after="5" w:line="271" w:lineRule="auto"/>
        <w:ind w:left="2314" w:right="396" w:hanging="10"/>
        <w:jc w:val="left"/>
      </w:pPr>
      <w:r>
        <w:rPr>
          <w:b/>
          <w:sz w:val="24"/>
        </w:rPr>
        <w:t xml:space="preserve">Рис.6. Схема подключения к Arduino датчика  DHT22 </w:t>
      </w:r>
    </w:p>
    <w:p w:rsidR="002C0F56" w:rsidRDefault="00E67C6E">
      <w:pPr>
        <w:spacing w:after="0" w:line="259" w:lineRule="auto"/>
        <w:ind w:left="744" w:firstLine="0"/>
        <w:jc w:val="left"/>
      </w:pPr>
      <w:r>
        <w:t xml:space="preserve"> </w:t>
      </w:r>
    </w:p>
    <w:p w:rsidR="002C0F56" w:rsidRDefault="00E67C6E">
      <w:pPr>
        <w:spacing w:after="15" w:line="271" w:lineRule="auto"/>
        <w:ind w:left="201" w:hanging="10"/>
        <w:jc w:val="left"/>
      </w:pPr>
      <w:r>
        <w:rPr>
          <w:b/>
        </w:rPr>
        <w:t xml:space="preserve">Wtv020sd16p </w:t>
      </w:r>
      <w:r>
        <w:rPr>
          <w:b/>
        </w:rPr>
        <w:tab/>
        <w:t>wtv020sd16p(resetPin,clockPin,dataPin,busyPin);</w:t>
      </w:r>
      <w:r>
        <w:t xml:space="preserve"> </w:t>
      </w:r>
      <w:r>
        <w:tab/>
        <w:t xml:space="preserve">//объявляем модулю, куда что подключили </w:t>
      </w:r>
    </w:p>
    <w:p w:rsidR="002C0F56" w:rsidRDefault="00E67C6E">
      <w:pPr>
        <w:spacing w:after="12"/>
        <w:ind w:left="165" w:right="302" w:firstLine="0"/>
      </w:pPr>
      <w:r>
        <w:rPr>
          <w:b/>
        </w:rPr>
        <w:t xml:space="preserve">int info; </w:t>
      </w:r>
      <w:r>
        <w:t xml:space="preserve">       //переменная для записи пришедшего в Serial-порт значения </w:t>
      </w:r>
    </w:p>
    <w:p w:rsidR="002C0F56" w:rsidRDefault="00E67C6E">
      <w:pPr>
        <w:ind w:left="165" w:right="302" w:firstLine="0"/>
      </w:pPr>
      <w:r>
        <w:rPr>
          <w:b/>
        </w:rPr>
        <w:t>DHT dht(DHTPIN, DHTTYPE);</w:t>
      </w:r>
      <w:r>
        <w:t xml:space="preserve">   //внутренняя функция библиотеки DHT в которую указывается тип и пин подключения датчика </w:t>
      </w:r>
    </w:p>
    <w:p w:rsidR="002C0F56" w:rsidRDefault="00E67C6E">
      <w:pPr>
        <w:ind w:left="165" w:right="302" w:firstLine="0"/>
      </w:pPr>
      <w:r>
        <w:rPr>
          <w:b/>
        </w:rPr>
        <w:t>void setup() {</w:t>
      </w:r>
      <w:r>
        <w:t xml:space="preserve">             //функция начальной настройки микрок</w:t>
      </w:r>
      <w:r>
        <w:t xml:space="preserve">онтроллера (вызывается едноразово, при подаче питания) </w:t>
      </w:r>
    </w:p>
    <w:p w:rsidR="002C0F56" w:rsidRDefault="00E67C6E">
      <w:pPr>
        <w:ind w:left="165" w:right="302" w:firstLine="0"/>
      </w:pPr>
      <w:r>
        <w:t xml:space="preserve">  </w:t>
      </w:r>
      <w:r>
        <w:rPr>
          <w:b/>
        </w:rPr>
        <w:t>Serial.begin(9600);</w:t>
      </w:r>
      <w:r>
        <w:t xml:space="preserve">      //инициализируем Serial порт на работу со скоростью </w:t>
      </w:r>
    </w:p>
    <w:p w:rsidR="002C0F56" w:rsidRDefault="00E67C6E">
      <w:pPr>
        <w:spacing w:after="12"/>
        <w:ind w:left="165" w:right="302" w:firstLine="0"/>
      </w:pPr>
      <w:r>
        <w:t xml:space="preserve">9600 бод </w:t>
      </w:r>
    </w:p>
    <w:p w:rsidR="002C0F56" w:rsidRDefault="00E67C6E">
      <w:pPr>
        <w:spacing w:after="16"/>
        <w:ind w:left="165" w:right="302" w:firstLine="0"/>
      </w:pPr>
      <w:r>
        <w:t xml:space="preserve">  </w:t>
      </w:r>
      <w:r>
        <w:rPr>
          <w:b/>
        </w:rPr>
        <w:t>dht.begin();</w:t>
      </w:r>
      <w:r>
        <w:t xml:space="preserve">             //инициализируем датчик DHT22 </w:t>
      </w:r>
    </w:p>
    <w:p w:rsidR="002C0F56" w:rsidRDefault="00E67C6E">
      <w:pPr>
        <w:ind w:left="165" w:right="302" w:firstLine="0"/>
      </w:pPr>
      <w:r>
        <w:t xml:space="preserve">  </w:t>
      </w:r>
      <w:r>
        <w:rPr>
          <w:b/>
        </w:rPr>
        <w:t>wtv020sd16p.reset();</w:t>
      </w:r>
      <w:r>
        <w:t xml:space="preserve">     </w:t>
      </w:r>
      <w:r>
        <w:t xml:space="preserve">//перед работой с модулем WTV020, его необходимо </w:t>
      </w:r>
    </w:p>
    <w:p w:rsidR="002C0F56" w:rsidRDefault="00E67C6E">
      <w:pPr>
        <w:spacing w:after="12"/>
        <w:ind w:left="165" w:right="302" w:firstLine="0"/>
      </w:pPr>
      <w:r>
        <w:t xml:space="preserve">"сбросить" </w:t>
      </w:r>
    </w:p>
    <w:p w:rsidR="002C0F56" w:rsidRDefault="00E67C6E">
      <w:pPr>
        <w:spacing w:after="15" w:line="271" w:lineRule="auto"/>
        <w:ind w:left="201" w:hanging="10"/>
        <w:jc w:val="left"/>
      </w:pPr>
      <w:r>
        <w:rPr>
          <w:b/>
        </w:rPr>
        <w:t xml:space="preserve">}  </w:t>
      </w:r>
    </w:p>
    <w:p w:rsidR="002C0F56" w:rsidRDefault="00E67C6E">
      <w:pPr>
        <w:spacing w:after="12"/>
        <w:ind w:left="165" w:right="302" w:firstLine="0"/>
      </w:pPr>
      <w:r>
        <w:rPr>
          <w:b/>
        </w:rPr>
        <w:t>void loop() {</w:t>
      </w:r>
      <w:r>
        <w:t xml:space="preserve">                          //циклическая функция </w:t>
      </w:r>
    </w:p>
    <w:p w:rsidR="002C0F56" w:rsidRDefault="00E67C6E">
      <w:pPr>
        <w:spacing w:after="12"/>
        <w:ind w:left="165" w:right="1296" w:firstLine="0"/>
      </w:pPr>
      <w:r>
        <w:t xml:space="preserve">  </w:t>
      </w:r>
      <w:r>
        <w:rPr>
          <w:b/>
        </w:rPr>
        <w:t>if(Serial.available() &gt; 0){</w:t>
      </w:r>
      <w:r>
        <w:t xml:space="preserve">          //если что-то пришло в Serial-порт     </w:t>
      </w:r>
      <w:r>
        <w:rPr>
          <w:b/>
        </w:rPr>
        <w:t>info = Serial.parseInt();</w:t>
      </w:r>
      <w:r>
        <w:t xml:space="preserve">          //то записать э</w:t>
      </w:r>
      <w:r>
        <w:t xml:space="preserve">то значение в переменную info </w:t>
      </w:r>
    </w:p>
    <w:p w:rsidR="002C0F56" w:rsidRDefault="00E67C6E">
      <w:pPr>
        <w:ind w:left="165" w:right="3128" w:firstLine="0"/>
      </w:pPr>
      <w:r>
        <w:t xml:space="preserve">    </w:t>
      </w:r>
      <w:r>
        <w:rPr>
          <w:b/>
        </w:rPr>
        <w:t>switch(info){</w:t>
      </w:r>
      <w:r>
        <w:t xml:space="preserve">                      //проверяем содержимое info       </w:t>
      </w:r>
      <w:r>
        <w:rPr>
          <w:b/>
        </w:rPr>
        <w:t>case 1</w:t>
      </w:r>
      <w:r>
        <w:t xml:space="preserve">:                          //если пришел код 1 </w:t>
      </w:r>
    </w:p>
    <w:p w:rsidR="002C0F56" w:rsidRDefault="00E67C6E">
      <w:pPr>
        <w:ind w:left="165" w:right="302" w:firstLine="0"/>
      </w:pPr>
      <w:r>
        <w:t xml:space="preserve">        </w:t>
      </w:r>
      <w:r>
        <w:rPr>
          <w:b/>
        </w:rPr>
        <w:t>int temperature = dht.readTemperature();</w:t>
      </w:r>
      <w:r>
        <w:t xml:space="preserve"> //то записать в temperature значение температуры </w:t>
      </w:r>
    </w:p>
    <w:p w:rsidR="002C0F56" w:rsidRDefault="00E67C6E">
      <w:pPr>
        <w:ind w:left="165" w:right="302" w:firstLine="0"/>
      </w:pPr>
      <w:r>
        <w:lastRenderedPageBreak/>
        <w:t xml:space="preserve">        </w:t>
      </w:r>
      <w:r>
        <w:rPr>
          <w:b/>
        </w:rPr>
        <w:t>int humidity = dht.readHumidity();</w:t>
      </w:r>
      <w:r>
        <w:t xml:space="preserve">       //записать в humidity значениие влажности </w:t>
      </w:r>
    </w:p>
    <w:p w:rsidR="002C0F56" w:rsidRDefault="00E67C6E">
      <w:pPr>
        <w:spacing w:after="5" w:line="268" w:lineRule="auto"/>
        <w:ind w:left="165" w:right="293" w:firstLine="0"/>
        <w:jc w:val="left"/>
      </w:pPr>
      <w:r>
        <w:t xml:space="preserve">        </w:t>
      </w:r>
      <w:r>
        <w:rPr>
          <w:b/>
        </w:rPr>
        <w:t>Serial.println(temperature);</w:t>
      </w:r>
      <w:r>
        <w:t xml:space="preserve">             //вывод значения температуры в Serial             </w:t>
      </w:r>
      <w:r>
        <w:rPr>
          <w:b/>
        </w:rPr>
        <w:t>Serial.println(humidity);</w:t>
      </w:r>
      <w:r>
        <w:t xml:space="preserve">                //вывод значения влажно</w:t>
      </w:r>
      <w:r>
        <w:t xml:space="preserve">сти в Serial         </w:t>
      </w:r>
      <w:r>
        <w:rPr>
          <w:b/>
        </w:rPr>
        <w:t>temperature = temperature + 90;</w:t>
      </w:r>
      <w:r>
        <w:t xml:space="preserve">          //записи температурных значений (0-49 С) начинаются с 91го файла, поэтому прибавляем к значению температуры 90 </w:t>
      </w:r>
    </w:p>
    <w:p w:rsidR="002C0F56" w:rsidRDefault="00E67C6E">
      <w:pPr>
        <w:ind w:left="165" w:right="867" w:firstLine="0"/>
      </w:pPr>
      <w:r>
        <w:t xml:space="preserve">        </w:t>
      </w:r>
      <w:r>
        <w:rPr>
          <w:b/>
        </w:rPr>
        <w:t>humidity = humidity - 5;</w:t>
      </w:r>
      <w:r>
        <w:t xml:space="preserve">                 //записи значений влажности (10-9</w:t>
      </w:r>
      <w:r>
        <w:t xml:space="preserve">4%) начинаются с 5го файла, поэтому вычитаем от значения влажности 5        </w:t>
      </w:r>
      <w:r>
        <w:rPr>
          <w:b/>
        </w:rPr>
        <w:t xml:space="preserve"> wtv020sd16p.playVoice(4);</w:t>
      </w:r>
      <w:r>
        <w:t xml:space="preserve">              //воспроизвести файл №4 с записью </w:t>
      </w:r>
    </w:p>
    <w:p w:rsidR="002C0F56" w:rsidRDefault="00E67C6E">
      <w:pPr>
        <w:spacing w:after="12"/>
        <w:ind w:left="165" w:right="302" w:firstLine="0"/>
      </w:pPr>
      <w:r>
        <w:t xml:space="preserve">"информация с датчиков" </w:t>
      </w:r>
    </w:p>
    <w:p w:rsidR="002C0F56" w:rsidRDefault="00E67C6E">
      <w:pPr>
        <w:spacing w:after="12"/>
        <w:ind w:left="165" w:right="302" w:firstLine="0"/>
      </w:pPr>
      <w:r>
        <w:t xml:space="preserve">        </w:t>
      </w:r>
      <w:r>
        <w:rPr>
          <w:b/>
        </w:rPr>
        <w:t>delay(1900);</w:t>
      </w:r>
      <w:r>
        <w:t xml:space="preserve">                           //ждем 1,9 сек для воспроизведени</w:t>
      </w:r>
      <w:r>
        <w:t xml:space="preserve">я* </w:t>
      </w:r>
    </w:p>
    <w:p w:rsidR="002C0F56" w:rsidRPr="00E67C6E" w:rsidRDefault="00E67C6E">
      <w:pPr>
        <w:tabs>
          <w:tab w:val="center" w:pos="5723"/>
          <w:tab w:val="center" w:pos="6123"/>
          <w:tab w:val="center" w:pos="6524"/>
          <w:tab w:val="center" w:pos="7875"/>
          <w:tab w:val="center" w:pos="9521"/>
        </w:tabs>
        <w:spacing w:after="15" w:line="271" w:lineRule="auto"/>
        <w:ind w:left="0" w:firstLine="0"/>
        <w:jc w:val="left"/>
        <w:rPr>
          <w:lang w:val="en-US"/>
        </w:rPr>
      </w:pPr>
      <w:r>
        <w:t xml:space="preserve">        </w:t>
      </w:r>
      <w:r w:rsidRPr="00E67C6E">
        <w:rPr>
          <w:b/>
          <w:lang w:val="en-US"/>
        </w:rPr>
        <w:t>wtv020sd16p.playVoice(temperature);</w:t>
      </w:r>
      <w:r w:rsidRPr="00E67C6E">
        <w:rPr>
          <w:lang w:val="en-US"/>
        </w:rPr>
        <w:t xml:space="preserve"> </w:t>
      </w:r>
      <w:r w:rsidRPr="00E67C6E">
        <w:rPr>
          <w:lang w:val="en-US"/>
        </w:rPr>
        <w:tab/>
        <w:t xml:space="preserve"> </w:t>
      </w:r>
      <w:r w:rsidRPr="00E67C6E">
        <w:rPr>
          <w:lang w:val="en-US"/>
        </w:rPr>
        <w:tab/>
        <w:t xml:space="preserve"> </w:t>
      </w:r>
      <w:r w:rsidRPr="00E67C6E">
        <w:rPr>
          <w:lang w:val="en-US"/>
        </w:rPr>
        <w:tab/>
        <w:t xml:space="preserve"> </w:t>
      </w:r>
      <w:r w:rsidRPr="00E67C6E">
        <w:rPr>
          <w:lang w:val="en-US"/>
        </w:rPr>
        <w:tab/>
        <w:t>//</w:t>
      </w:r>
      <w:r>
        <w:t>воспроизвести</w:t>
      </w:r>
      <w:r w:rsidRPr="00E67C6E">
        <w:rPr>
          <w:lang w:val="en-US"/>
        </w:rPr>
        <w:t xml:space="preserve"> </w:t>
      </w:r>
      <w:r w:rsidRPr="00E67C6E">
        <w:rPr>
          <w:lang w:val="en-US"/>
        </w:rPr>
        <w:tab/>
      </w:r>
      <w:r>
        <w:t>файл</w:t>
      </w:r>
      <w:r w:rsidRPr="00E67C6E">
        <w:rPr>
          <w:lang w:val="en-US"/>
        </w:rPr>
        <w:t xml:space="preserve"> </w:t>
      </w:r>
    </w:p>
    <w:p w:rsidR="002C0F56" w:rsidRPr="00E67C6E" w:rsidRDefault="00E67C6E">
      <w:pPr>
        <w:spacing w:after="12"/>
        <w:ind w:left="165" w:right="302" w:firstLine="0"/>
        <w:rPr>
          <w:lang w:val="en-US"/>
        </w:rPr>
      </w:pPr>
      <w:r w:rsidRPr="00E67C6E">
        <w:rPr>
          <w:lang w:val="en-US"/>
        </w:rPr>
        <w:t xml:space="preserve">№temperature </w:t>
      </w:r>
    </w:p>
    <w:p w:rsidR="002C0F56" w:rsidRPr="00E67C6E" w:rsidRDefault="00E67C6E">
      <w:pPr>
        <w:spacing w:after="15" w:line="271" w:lineRule="auto"/>
        <w:ind w:left="201" w:right="1367" w:hanging="10"/>
        <w:jc w:val="left"/>
        <w:rPr>
          <w:lang w:val="en-US"/>
        </w:rPr>
      </w:pPr>
      <w:r w:rsidRPr="00E67C6E">
        <w:rPr>
          <w:lang w:val="en-US"/>
        </w:rPr>
        <w:t xml:space="preserve">        </w:t>
      </w:r>
      <w:r w:rsidRPr="00E67C6E">
        <w:rPr>
          <w:b/>
          <w:lang w:val="en-US"/>
        </w:rPr>
        <w:t>delay(10);</w:t>
      </w:r>
      <w:r w:rsidRPr="00E67C6E">
        <w:rPr>
          <w:lang w:val="en-US"/>
        </w:rPr>
        <w:t xml:space="preserve">                             //</w:t>
      </w:r>
      <w:r>
        <w:t>ждем</w:t>
      </w:r>
      <w:r w:rsidRPr="00E67C6E">
        <w:rPr>
          <w:lang w:val="en-US"/>
        </w:rPr>
        <w:t xml:space="preserve"> 10 </w:t>
      </w:r>
      <w:r>
        <w:t>мс</w:t>
      </w:r>
      <w:r w:rsidRPr="00E67C6E">
        <w:rPr>
          <w:lang w:val="en-US"/>
        </w:rPr>
        <w:t xml:space="preserve"> </w:t>
      </w:r>
      <w:r>
        <w:t>для</w:t>
      </w:r>
      <w:r w:rsidRPr="00E67C6E">
        <w:rPr>
          <w:lang w:val="en-US"/>
        </w:rPr>
        <w:t xml:space="preserve"> </w:t>
      </w:r>
      <w:r>
        <w:t>воспроизведения</w:t>
      </w:r>
      <w:r w:rsidRPr="00E67C6E">
        <w:rPr>
          <w:lang w:val="en-US"/>
        </w:rPr>
        <w:t xml:space="preserve">*         </w:t>
      </w:r>
      <w:r w:rsidRPr="00E67C6E">
        <w:rPr>
          <w:b/>
          <w:lang w:val="en-US"/>
        </w:rPr>
        <w:t>wtv020sd16p.playVoice(humidity);</w:t>
      </w:r>
      <w:r w:rsidRPr="00E67C6E">
        <w:rPr>
          <w:lang w:val="en-US"/>
        </w:rPr>
        <w:t xml:space="preserve">       //</w:t>
      </w:r>
      <w:r>
        <w:t>воспроизвести</w:t>
      </w:r>
      <w:r w:rsidRPr="00E67C6E">
        <w:rPr>
          <w:lang w:val="en-US"/>
        </w:rPr>
        <w:t xml:space="preserve"> </w:t>
      </w:r>
      <w:r>
        <w:t>файл</w:t>
      </w:r>
      <w:r w:rsidRPr="00E67C6E">
        <w:rPr>
          <w:lang w:val="en-US"/>
        </w:rPr>
        <w:t xml:space="preserve"> №humidity</w:t>
      </w:r>
      <w:r w:rsidRPr="00E67C6E">
        <w:rPr>
          <w:lang w:val="en-US"/>
        </w:rPr>
        <w:t xml:space="preserve">         </w:t>
      </w:r>
      <w:r w:rsidRPr="00E67C6E">
        <w:rPr>
          <w:b/>
          <w:lang w:val="en-US"/>
        </w:rPr>
        <w:t xml:space="preserve">delay(100);  </w:t>
      </w:r>
      <w:r w:rsidRPr="00E67C6E">
        <w:rPr>
          <w:lang w:val="en-US"/>
        </w:rPr>
        <w:t xml:space="preserve">      </w:t>
      </w:r>
      <w:r w:rsidRPr="00E67C6E">
        <w:rPr>
          <w:b/>
          <w:lang w:val="en-US"/>
        </w:rPr>
        <w:t xml:space="preserve">break;    </w:t>
      </w:r>
    </w:p>
    <w:p w:rsidR="002C0F56" w:rsidRDefault="00E67C6E">
      <w:pPr>
        <w:ind w:left="165" w:right="302" w:firstLine="0"/>
      </w:pPr>
      <w:r w:rsidRPr="00E67C6E">
        <w:rPr>
          <w:lang w:val="en-US"/>
        </w:rPr>
        <w:t xml:space="preserve">    </w:t>
      </w:r>
      <w:r>
        <w:rPr>
          <w:b/>
        </w:rPr>
        <w:t>}</w:t>
      </w:r>
      <w:r>
        <w:t xml:space="preserve">         //скобка закрытия switch </w:t>
      </w:r>
    </w:p>
    <w:p w:rsidR="002C0F56" w:rsidRDefault="00E67C6E">
      <w:pPr>
        <w:ind w:left="165" w:right="302" w:firstLine="0"/>
      </w:pPr>
      <w:r>
        <w:t xml:space="preserve">  </w:t>
      </w:r>
      <w:r>
        <w:rPr>
          <w:b/>
        </w:rPr>
        <w:t xml:space="preserve">}  </w:t>
      </w:r>
      <w:r>
        <w:t xml:space="preserve">         //скобка закрытия проверки Serial-порта </w:t>
      </w:r>
    </w:p>
    <w:p w:rsidR="002C0F56" w:rsidRDefault="00E67C6E">
      <w:pPr>
        <w:spacing w:after="12"/>
        <w:ind w:left="165" w:right="302" w:firstLine="0"/>
      </w:pPr>
      <w:r>
        <w:rPr>
          <w:b/>
        </w:rPr>
        <w:t xml:space="preserve">} </w:t>
      </w:r>
      <w:r>
        <w:t xml:space="preserve">            //закрытие циклической функции loop </w:t>
      </w:r>
    </w:p>
    <w:p w:rsidR="002C0F56" w:rsidRDefault="00E67C6E">
      <w:pPr>
        <w:spacing w:after="0" w:line="259" w:lineRule="auto"/>
        <w:ind w:left="744" w:firstLine="0"/>
        <w:jc w:val="left"/>
      </w:pPr>
      <w:r>
        <w:t xml:space="preserve"> </w:t>
      </w:r>
    </w:p>
    <w:p w:rsidR="002C0F56" w:rsidRDefault="00E67C6E">
      <w:pPr>
        <w:spacing w:after="0"/>
        <w:ind w:left="165" w:right="870"/>
      </w:pPr>
      <w:r>
        <w:t>Встроенные системы обладают несколькими общими характеристиками, кото</w:t>
      </w:r>
      <w:r>
        <w:t>рые отличают их от настольных систем, и ставят ряд вопросов к проектировщикам таких систем. Ключевой задачей является оптимизация метрики проекта, который является особенно трудным, поскольку эти показатели конкурировать друг с другом. Один особенно сложны</w:t>
      </w:r>
      <w:r>
        <w:t xml:space="preserve">й дизайн метрики для оптимизации времени вывода на рынок, потому что встроенные системы становятся все сложнее с огромной скоростью, и скорость, с которой производительность возрастает с каждым годом отстает от этого роста. </w:t>
      </w:r>
    </w:p>
    <w:p w:rsidR="002C0F56" w:rsidRDefault="00E67C6E">
      <w:pPr>
        <w:spacing w:after="23" w:line="259" w:lineRule="auto"/>
        <w:ind w:left="0" w:right="55" w:firstLine="0"/>
        <w:jc w:val="center"/>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88"/>
        </w:numPr>
        <w:spacing w:after="12"/>
        <w:ind w:right="302" w:hanging="336"/>
      </w:pPr>
      <w:hyperlink r:id="rId543">
        <w:r>
          <w:t>http://progmk.ru/avtoinformator</w:t>
        </w:r>
      </w:hyperlink>
      <w:hyperlink r:id="rId544">
        <w:r>
          <w:t>-</w:t>
        </w:r>
      </w:hyperlink>
      <w:hyperlink r:id="rId545">
        <w:r>
          <w:t>na</w:t>
        </w:r>
      </w:hyperlink>
      <w:hyperlink r:id="rId546">
        <w:r>
          <w:t>-</w:t>
        </w:r>
      </w:hyperlink>
      <w:hyperlink r:id="rId547">
        <w:r>
          <w:t>arduino</w:t>
        </w:r>
      </w:hyperlink>
      <w:hyperlink r:id="rId548">
        <w:r>
          <w:t>-</w:t>
        </w:r>
      </w:hyperlink>
      <w:hyperlink r:id="rId549">
        <w:r>
          <w:t>ozvuchivanie</w:t>
        </w:r>
      </w:hyperlink>
      <w:hyperlink r:id="rId550">
        <w:r>
          <w:t>-</w:t>
        </w:r>
      </w:hyperlink>
      <w:hyperlink r:id="rId551">
        <w:r>
          <w:t>komand/</w:t>
        </w:r>
      </w:hyperlink>
      <w:hyperlink r:id="rId552">
        <w:r>
          <w:t xml:space="preserve"> </w:t>
        </w:r>
      </w:hyperlink>
    </w:p>
    <w:p w:rsidR="002C0F56" w:rsidRDefault="00E67C6E">
      <w:pPr>
        <w:numPr>
          <w:ilvl w:val="0"/>
          <w:numId w:val="88"/>
        </w:numPr>
        <w:spacing w:after="12"/>
        <w:ind w:right="302" w:hanging="336"/>
      </w:pPr>
      <w:hyperlink r:id="rId553">
        <w:r>
          <w:t>http://cxem.net/arduino/arduino138.php</w:t>
        </w:r>
      </w:hyperlink>
      <w:hyperlink r:id="rId554">
        <w:r>
          <w:t xml:space="preserve"> </w:t>
        </w:r>
      </w:hyperlink>
    </w:p>
    <w:p w:rsidR="002C0F56" w:rsidRDefault="00E67C6E">
      <w:pPr>
        <w:numPr>
          <w:ilvl w:val="0"/>
          <w:numId w:val="88"/>
        </w:numPr>
        <w:ind w:right="302" w:hanging="336"/>
      </w:pPr>
      <w:hyperlink r:id="rId555">
        <w:r>
          <w:t>http://robotosha.ru/arduino/fritzing</w:t>
        </w:r>
      </w:hyperlink>
      <w:hyperlink r:id="rId556">
        <w:r>
          <w:t>-</w:t>
        </w:r>
      </w:hyperlink>
      <w:hyperlink r:id="rId557">
        <w:r>
          <w:t>intro.html</w:t>
        </w:r>
      </w:hyperlink>
      <w:hyperlink r:id="rId558">
        <w:r>
          <w:t xml:space="preserve"> </w:t>
        </w:r>
      </w:hyperlink>
    </w:p>
    <w:p w:rsidR="002C0F56" w:rsidRDefault="00E67C6E">
      <w:pPr>
        <w:numPr>
          <w:ilvl w:val="0"/>
          <w:numId w:val="88"/>
        </w:numPr>
        <w:ind w:right="302" w:hanging="336"/>
      </w:pPr>
      <w:r>
        <w:t xml:space="preserve">В. Петин Проекты с использованием контроллера Arduino. С.Петербург </w:t>
      </w:r>
    </w:p>
    <w:p w:rsidR="002C0F56" w:rsidRDefault="00E67C6E">
      <w:pPr>
        <w:spacing w:after="12"/>
        <w:ind w:left="165" w:right="302" w:firstLine="0"/>
      </w:pPr>
      <w:r>
        <w:t xml:space="preserve">“БХВ-Петербург” 2014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lastRenderedPageBreak/>
        <w:t xml:space="preserve">Дорошенко Е.Ю. </w:t>
      </w:r>
      <w:r>
        <w:rPr>
          <w:b w:val="0"/>
        </w:rPr>
        <w:t xml:space="preserve">Научный руководитель: Быченкова И.А., к.ф.н., доц.  </w:t>
      </w:r>
    </w:p>
    <w:p w:rsidR="002C0F56" w:rsidRDefault="00E67C6E">
      <w:pPr>
        <w:spacing w:after="0" w:line="267" w:lineRule="auto"/>
        <w:ind w:left="1246" w:right="860" w:hanging="10"/>
        <w:jc w:val="right"/>
      </w:pPr>
      <w:r>
        <w:rPr>
          <w:i/>
        </w:rPr>
        <w:t xml:space="preserve">Новосибирский государственный университет экономики и управления </w:t>
      </w:r>
    </w:p>
    <w:p w:rsidR="002C0F56" w:rsidRDefault="00E67C6E">
      <w:pPr>
        <w:spacing w:after="0" w:line="267" w:lineRule="auto"/>
        <w:ind w:left="905" w:right="860" w:hanging="10"/>
        <w:jc w:val="right"/>
      </w:pPr>
      <w:r>
        <w:rPr>
          <w:i/>
        </w:rPr>
        <w:t xml:space="preserve">(НИНХ)  </w:t>
      </w:r>
    </w:p>
    <w:p w:rsidR="002C0F56" w:rsidRDefault="00E67C6E">
      <w:pPr>
        <w:spacing w:after="0" w:line="259" w:lineRule="auto"/>
        <w:ind w:left="744" w:firstLine="0"/>
        <w:jc w:val="left"/>
      </w:pPr>
      <w:r>
        <w:t xml:space="preserve"> </w:t>
      </w:r>
    </w:p>
    <w:p w:rsidR="002C0F56" w:rsidRDefault="00E67C6E">
      <w:pPr>
        <w:pStyle w:val="1"/>
        <w:ind w:left="700" w:right="1378"/>
      </w:pPr>
      <w:r>
        <w:t xml:space="preserve">ЭКОЛОГИЯ  И  ЭКОНОМИКА:  ПРАВОВЫЕ   АСПЕКТЫ   ПЕРЕСЕЧЕНИЯ </w:t>
      </w:r>
    </w:p>
    <w:p w:rsidR="002C0F56" w:rsidRDefault="00E67C6E">
      <w:pPr>
        <w:spacing w:after="3"/>
        <w:ind w:left="165" w:right="868"/>
      </w:pPr>
      <w:r>
        <w:t>Человечество своим нерациональным и расточительным использованием природных ресурсов привело экологию планеты к катастрофическому состоянию: к истощению земель, проблеме мирового океана, глобальному потеплению климата и тому подобным явлениям. Тема экологи</w:t>
      </w:r>
      <w:r>
        <w:t>и – лишь одна из глобальных проблем общества, но она является, в сравнении с другими, наиболее важной, поскольку от нее зависит дальнейшая жизнь человечества, качество жизни людей. И так как люди – это часть природы, то охранять ее – значит, охранять самог</w:t>
      </w:r>
      <w:r>
        <w:t>о человека. Автор термина, немецкий биолог Э. Геккель, еще в 1869 году определил экологию как область знаний, изучающую экономику природы, -исследование общих взаимоотношений животных с живой и неживой природой [1]. Безусловно, силы таких двух разделов, ка</w:t>
      </w:r>
      <w:r>
        <w:t>к экология и экономика должны быть объединены общими целями. Данная проблема – проблема экологических загрязнений - стала настолько актуальной, что 05.01.2016 г. был принят указ о том, что 2017 год в Российской Федерации признан годом экологии [2]. Эпиграф</w:t>
      </w:r>
      <w:r>
        <w:t>ом к данному указу служат слова Президента РФ В.В. Путина: «Сегодня разговор об экологических проблемах надо вести в наступательном и практическом ключе и выводить природоохранную работу на уровень системной, ежедневной обязанности государственной власти в</w:t>
      </w:r>
      <w:r>
        <w:t xml:space="preserve">сех уровней» [3]. </w:t>
      </w:r>
    </w:p>
    <w:p w:rsidR="002C0F56" w:rsidRDefault="00E67C6E">
      <w:pPr>
        <w:spacing w:after="0"/>
        <w:ind w:left="165" w:right="864"/>
      </w:pPr>
      <w:r>
        <w:t>При обсуждении темы о загрязнении окружающей среды, имеется ввиду не только пагубное влияние предприятий, отраслей промышленности и инфраструктуры в целом, но и утилизация отходов, а также отношение самих людей к чистоте и порядку вне св</w:t>
      </w:r>
      <w:r>
        <w:t>оей квартиры. На основании данных проблем Законодательством РФ были разработаны определенные задачи, которые будут реализовываться в 2017 году. Среди них в качестве основных содержатся такие, как: улучшение общих экономических показателей; обеспечение экол</w:t>
      </w:r>
      <w:r>
        <w:t xml:space="preserve">огической безопасности Российской Федерации; привлечение граждан к сохранению природных богатств страны; развитие экологической ответственности всех слоёв общества. </w:t>
      </w:r>
    </w:p>
    <w:p w:rsidR="002C0F56" w:rsidRDefault="00E67C6E">
      <w:pPr>
        <w:ind w:left="165" w:right="865"/>
      </w:pPr>
      <w:r>
        <w:t xml:space="preserve">Кроме того, в указе были представлены области, в которых будут происходить мероприятия по </w:t>
      </w:r>
      <w:r>
        <w:t>сохранению природного богатства. Ими являются: изменения в водном, лесном, земельном кодексах России и многих федеральных законах, регламентирующих данную сферу; снижение выбросов загрязняющих веществ в окружающую среду, которое составит свыше 70 тыс. тонн</w:t>
      </w:r>
      <w:r>
        <w:t xml:space="preserve"> в год. </w:t>
      </w:r>
      <w:r>
        <w:lastRenderedPageBreak/>
        <w:t xml:space="preserve">Минприроды России и Росприроднадзором уже подписано 25 соглашений о реализации экологических программ с предприятиями на сумму 24 млрд. руб. и планируется заключить еще 13 аналогичных соглашений; предусматриваются также меры по рекультивации более </w:t>
      </w:r>
      <w:r>
        <w:t>20 полигонов бытовых отходов, открытие в десятках регионов новых мусоросортировочных, мусороперерабатывающих комплексов и центров обращения с отходами, внедрение во всех регионах страны системы сбора ртутьсодержащих и опасных отходов; создание особо охраня</w:t>
      </w:r>
      <w:r>
        <w:t>емых территорий: 7 национальных парков, 2 государственных природных заповедников и 2 федеральных заказников, а также улучшение охраны водных ресурсов, охраны лесных ресурсов и лесовосстановления, охраны животного мира и экологическое просвещение, подразуме</w:t>
      </w:r>
      <w:r>
        <w:t xml:space="preserve">вающее под собой региональные программы природоохранительных мероприятий [4]. </w:t>
      </w:r>
    </w:p>
    <w:p w:rsidR="002C0F56" w:rsidRDefault="00E67C6E">
      <w:pPr>
        <w:spacing w:after="0"/>
        <w:ind w:left="165" w:right="870"/>
      </w:pPr>
      <w:r>
        <w:t>Подобные меры призваны улучшить экологическую обстановку в стране, но данная проблема кроется не столько в том, что предприниматели не отдают себе отчет о вредоносной деятельнос</w:t>
      </w:r>
      <w:r>
        <w:t>ти предприятий, сколько в том, что общество потребления не задумывается о том, какие последствия за собой несет производство того или иного товара/услуги для окружающей среды. Люди, зачастую сами о том не ведая, вредят, прежде всего, своим спросом на опред</w:t>
      </w:r>
      <w:r>
        <w:t xml:space="preserve">еленный товар: человек дает понять своим поведением, что данный продукт востребован, тем самым он стимулирует рост производства, тем самым он губит лесные покровы, загрязняет почву, осушает источники пресной воды и наносит урон природе в целом. </w:t>
      </w:r>
    </w:p>
    <w:p w:rsidR="002C0F56" w:rsidRDefault="00E67C6E">
      <w:pPr>
        <w:spacing w:after="8"/>
        <w:ind w:left="165" w:right="862"/>
      </w:pPr>
      <w:r>
        <w:t>Комплекс м</w:t>
      </w:r>
      <w:r>
        <w:t>ероприятий по сохранению окружающей среды и ее ресурсов проводится, конечно, не только в России, но и по всему миру, поскольку этой проблемой охвачено большинство стран. Каждая из них старается по мере своих возможностей переходить на режим сбережения прир</w:t>
      </w:r>
      <w:r>
        <w:t>одных ресурсов, некоторые государства переходят на возобновляемую энергию. И для анализа экологического состояния разных стран, по методике Центра экологической политики и права при Йельском университете, был рассчитан Индекс экологической эффективности [о</w:t>
      </w:r>
      <w:r>
        <w:t>т 30.10.2016] (The Environmental Performance Index) [5]. Он представляет собой глобальное исследование международных экспертов. Сопровождающий его рейтинг стран мира отображает степень нагрузки на окружающую природную среду и рационального использования пр</w:t>
      </w:r>
      <w:r>
        <w:t xml:space="preserve">иродных ресурсов. Индекс измеряет достижения страны с точки зрения состояния экологии и управления природными ресурсами на основе 22 показателей в 10 категориях, которые отражают различные аспекты состояния окружающей природной среды и жизнеспособности её </w:t>
      </w:r>
      <w:r>
        <w:t xml:space="preserve">экологических систем, сохранение биологического разнообразия, противодействие изменению климата, состояние здоровья населения, практику экономической деятельности и степень </w:t>
      </w:r>
      <w:r>
        <w:lastRenderedPageBreak/>
        <w:t>её нагрузки на окружающую среду, а также эффективность государственной политики в о</w:t>
      </w:r>
      <w:r>
        <w:t>бласти экологии. Логично предположить, что чем более развита страна в сфере производства товаров и услуг, чем выше ее показатели ВВП и ВНП, тем менее экологически чистой она будет являться, и наоборот: чем менее развита страна, тем меньше ресурсов в ней за</w:t>
      </w:r>
      <w:r>
        <w:t>действовано, тем меньше земель определено под строительство заводов и фабрик, тем более экологически чистой она будет являться. Данную закономерность можно отследить в таких странах как Финляндия, которая входит в топ 45 стран по уровню ВВП, занимая  41-ое</w:t>
      </w:r>
      <w:r>
        <w:t xml:space="preserve"> место из 193, находясь при этом по индексу экологической эффективности на первом месте; США, находясь на первом месте по уровню ВВП, занимает 26 место по экологическому показателю; Швеция входит в тройку самых экологически чистых стран, при этом по уровню</w:t>
      </w:r>
      <w:r>
        <w:t xml:space="preserve"> валового внутреннего продукта занимает 21ое место. Если учесть, на примере Швеции, что она занимает 21 место из 193, то можно сказать о том, что данная страна является экономически и экологически развитой, поскольку разрыв по положению в рейтинге не велик</w:t>
      </w:r>
      <w:r>
        <w:t>, но если мы будем сравнивать сами показатели ВВП и EPI Швеции, а не места страны в данном рейтинге, то обнаружим, что у Швеции относительно других государств небольшие показатели, кроме этого, разница в данных показателях, существенная. Так, по размеру ВВ</w:t>
      </w:r>
      <w:r>
        <w:t>П в сравнении с лидирующей страной разница составляет 16 847 910 млн долларов [6]. Несмотря на подобные различия в показателях, данные государства являются экономически развитыми, конкурентно-способными, а их экологические показатели также занимают лидирую</w:t>
      </w:r>
      <w:r>
        <w:t>щие позиции. Связать данное можно с тем, что более развитые страны, имея достаточные финансовые ресурсы, располагают свои производства на территории менее развитых государств, чем, конечно создают проблемы местному населению. Россия же, находясь на 32-ом м</w:t>
      </w:r>
      <w:r>
        <w:t>есте по экологическому показателю, занимает 10 место по размеру Валового Внутреннего Продукта, что говорит о том, что наша страна демонстрирует хоть не лидирующие, но стабильные показатели. Из вышесказанного можно сделать следующий  вывод: экономические по</w:t>
      </w:r>
      <w:r>
        <w:t>казатели зависят от состояния экологии, а экологические от экономической развитости страны. Чтобы преодолеть подобные разрывы в показателях, нужно учитывать, что не все страны финансово обеспечены для внедрения новых технологий по сохранению живой природы,</w:t>
      </w:r>
      <w:r>
        <w:t xml:space="preserve"> что не все имеют нужные новые технологии, поэтому между странами, городами, ТНК и просто фирмами не должно быть конкуренции за борьбу в эколого-экономическом развитии, должна быть единая интеграционная политика, общая для всех и доступная всем, иначе «выи</w:t>
      </w:r>
      <w:r>
        <w:t xml:space="preserve">грыш» (превосходство) одного экономического субъекта может обернуться существенными убытками не сколько для другого, сколько для общества в целом [7]. </w:t>
      </w:r>
    </w:p>
    <w:p w:rsidR="002C0F56" w:rsidRDefault="00E67C6E">
      <w:pPr>
        <w:spacing w:after="0"/>
        <w:ind w:left="165" w:right="865"/>
      </w:pPr>
      <w:r>
        <w:lastRenderedPageBreak/>
        <w:t>Экономические субъекты, конечно, во главу угла ставят достижение максимума прибыли при минимальных затра</w:t>
      </w:r>
      <w:r>
        <w:t>тах, но в сегодняшней обстановке они должны учитывать не только собственную выгоду, но и главную цель человечества -  обеспечить себе максимум экономических, социальных и природных благ с учетом реальных возможных ограничений и объективных процессов, то ес</w:t>
      </w:r>
      <w:r>
        <w:t>ть обеспечить существование новых поколений без возникновения угрозы дисбаланса. Проекты, подобные указу о годе Экологии, должны проводится систематически, а не по мере возникновения проблемы, и действия по ним должны осуществляться регулярно. Лишь при пла</w:t>
      </w:r>
      <w:r>
        <w:t xml:space="preserve">новом и рациональном подходе к решению данной проблемы можно рассчитывать на ее позитивное решение.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89"/>
        </w:numPr>
        <w:spacing w:after="11" w:line="270" w:lineRule="auto"/>
        <w:ind w:right="302"/>
      </w:pPr>
      <w:r>
        <w:t xml:space="preserve">Экология справочник. «Экономика и экология: их взаимосвязь» </w:t>
      </w:r>
    </w:p>
    <w:p w:rsidR="002C0F56" w:rsidRDefault="00E67C6E">
      <w:pPr>
        <w:ind w:left="165" w:right="302" w:firstLine="0"/>
      </w:pPr>
      <w:r>
        <w:t xml:space="preserve">[Электронный </w:t>
      </w:r>
      <w:r>
        <w:tab/>
        <w:t xml:space="preserve">ресурс] </w:t>
      </w:r>
      <w:r>
        <w:tab/>
        <w:t xml:space="preserve">– </w:t>
      </w:r>
      <w:r>
        <w:tab/>
        <w:t xml:space="preserve">режим </w:t>
      </w:r>
      <w:r>
        <w:tab/>
        <w:t xml:space="preserve">доступа: </w:t>
      </w:r>
      <w:r>
        <w:tab/>
        <w:t xml:space="preserve"> </w:t>
      </w:r>
      <w:r>
        <w:tab/>
        <w:t xml:space="preserve"> </w:t>
      </w:r>
      <w:r>
        <w:tab/>
      </w:r>
      <w:hyperlink r:id="rId559">
        <w:r>
          <w:t>http</w:t>
        </w:r>
      </w:hyperlink>
      <w:hyperlink r:id="rId560">
        <w:r>
          <w:t>://</w:t>
        </w:r>
      </w:hyperlink>
      <w:hyperlink r:id="rId561">
        <w:r>
          <w:t>ru</w:t>
        </w:r>
      </w:hyperlink>
      <w:hyperlink r:id="rId562"/>
      <w:hyperlink r:id="rId563">
        <w:r>
          <w:t>ecology</w:t>
        </w:r>
      </w:hyperlink>
      <w:hyperlink r:id="rId564">
        <w:r>
          <w:t>.</w:t>
        </w:r>
      </w:hyperlink>
      <w:hyperlink r:id="rId565">
        <w:r>
          <w:t>info</w:t>
        </w:r>
      </w:hyperlink>
      <w:hyperlink r:id="rId566">
        <w:r>
          <w:t>/</w:t>
        </w:r>
      </w:hyperlink>
      <w:hyperlink r:id="rId567">
        <w:r>
          <w:t>post</w:t>
        </w:r>
      </w:hyperlink>
      <w:hyperlink r:id="rId568">
        <w:r>
          <w:t>/104037401150002/</w:t>
        </w:r>
      </w:hyperlink>
      <w:hyperlink r:id="rId569">
        <w:r>
          <w:t xml:space="preserve"> </w:t>
        </w:r>
      </w:hyperlink>
    </w:p>
    <w:p w:rsidR="002C0F56" w:rsidRDefault="00E67C6E">
      <w:pPr>
        <w:numPr>
          <w:ilvl w:val="0"/>
          <w:numId w:val="89"/>
        </w:numPr>
        <w:ind w:right="302"/>
      </w:pPr>
      <w:r>
        <w:t>Сайт Министерства природных ресурсов и эколо</w:t>
      </w:r>
      <w:r>
        <w:t xml:space="preserve">гии Российской Федерации. </w:t>
      </w:r>
      <w:hyperlink r:id="rId570">
        <w:r>
          <w:t xml:space="preserve">Указ Президента Российской Федерации от 05.01.2016 г. № 7 </w:t>
        </w:r>
      </w:hyperlink>
      <w:hyperlink r:id="rId571">
        <w:r>
          <w:t>«О</w:t>
        </w:r>
      </w:hyperlink>
      <w:hyperlink r:id="rId572">
        <w:r>
          <w:t xml:space="preserve"> </w:t>
        </w:r>
      </w:hyperlink>
      <w:hyperlink r:id="rId573">
        <w:r>
          <w:t>проведении в Российс</w:t>
        </w:r>
        <w:bookmarkStart w:id="0" w:name="_GoBack"/>
        <w:bookmarkEnd w:id="0"/>
        <w:r>
          <w:t>кой Федерации Года</w:t>
        </w:r>
      </w:hyperlink>
      <w:hyperlink r:id="rId574">
        <w:r>
          <w:t xml:space="preserve"> </w:t>
        </w:r>
      </w:hyperlink>
      <w:hyperlink r:id="rId575">
        <w:r>
          <w:t>экологии»</w:t>
        </w:r>
      </w:hyperlink>
      <w:hyperlink r:id="rId576">
        <w:r>
          <w:t xml:space="preserve"> </w:t>
        </w:r>
      </w:hyperlink>
      <w:r>
        <w:t xml:space="preserve">[Электронный ресурс] – режим доступа:  </w:t>
      </w:r>
      <w:hyperlink r:id="rId577">
        <w:r>
          <w:t>http://www.mnr.gov.ru/regulatory/</w:t>
        </w:r>
      </w:hyperlink>
      <w:hyperlink r:id="rId578">
        <w:r>
          <w:t xml:space="preserve"> </w:t>
        </w:r>
      </w:hyperlink>
    </w:p>
    <w:p w:rsidR="002C0F56" w:rsidRDefault="00E67C6E">
      <w:pPr>
        <w:numPr>
          <w:ilvl w:val="0"/>
          <w:numId w:val="89"/>
        </w:numPr>
        <w:ind w:right="302"/>
      </w:pPr>
      <w:r>
        <w:t xml:space="preserve">Официальные сетевые ресурсы Президента России. Полный текст указа </w:t>
      </w:r>
    </w:p>
    <w:p w:rsidR="002C0F56" w:rsidRDefault="00E67C6E">
      <w:pPr>
        <w:ind w:left="165" w:right="302" w:firstLine="0"/>
      </w:pPr>
      <w:r>
        <w:t xml:space="preserve">Президента </w:t>
      </w:r>
      <w:r>
        <w:tab/>
        <w:t xml:space="preserve">РФ. </w:t>
      </w:r>
      <w:r>
        <w:tab/>
        <w:t xml:space="preserve">[Электронный </w:t>
      </w:r>
      <w:r>
        <w:tab/>
        <w:t xml:space="preserve">ресурс] </w:t>
      </w:r>
      <w:r>
        <w:tab/>
        <w:t xml:space="preserve"> </w:t>
      </w:r>
      <w:r>
        <w:tab/>
        <w:t xml:space="preserve">– </w:t>
      </w:r>
      <w:r>
        <w:tab/>
        <w:t xml:space="preserve">режим </w:t>
      </w:r>
      <w:r>
        <w:tab/>
        <w:t xml:space="preserve">доступа: </w:t>
      </w:r>
      <w:hyperlink r:id="rId579">
        <w:r>
          <w:t>http://www.kremlin.ru/events/president/news/51142</w:t>
        </w:r>
      </w:hyperlink>
      <w:hyperlink r:id="rId580">
        <w:r>
          <w:t xml:space="preserve"> </w:t>
        </w:r>
      </w:hyperlink>
    </w:p>
    <w:p w:rsidR="002C0F56" w:rsidRDefault="00E67C6E">
      <w:pPr>
        <w:numPr>
          <w:ilvl w:val="0"/>
          <w:numId w:val="89"/>
        </w:numPr>
        <w:ind w:right="302"/>
      </w:pPr>
      <w:r>
        <w:t>Гуманитарные технологии (gt) — информационно - аналитический портал агентства «Центр гуманитарных технологий». Рейтинг стран мира по индексу экологической эффективности. 2016г. [Электронн</w:t>
      </w:r>
      <w:r>
        <w:t xml:space="preserve">ый ресурс]. – режим доступа: </w:t>
      </w:r>
      <w:hyperlink r:id="rId581" w:anchor="russia">
        <w:r>
          <w:t>http://gtmarket.ru/ratings/environmental</w:t>
        </w:r>
      </w:hyperlink>
      <w:hyperlink r:id="rId582" w:anchor="russia">
        <w:r>
          <w:t>-</w:t>
        </w:r>
      </w:hyperlink>
      <w:hyperlink r:id="rId583" w:anchor="russia">
        <w:r>
          <w:t>performance</w:t>
        </w:r>
      </w:hyperlink>
      <w:hyperlink r:id="rId584" w:anchor="russia">
        <w:r>
          <w:t>-</w:t>
        </w:r>
      </w:hyperlink>
      <w:hyperlink r:id="rId585" w:anchor="russia">
        <w:r>
          <w:t>index/info#russia</w:t>
        </w:r>
      </w:hyperlink>
      <w:hyperlink r:id="rId586" w:anchor="russia">
        <w:r>
          <w:t xml:space="preserve"> </w:t>
        </w:r>
      </w:hyperlink>
    </w:p>
    <w:p w:rsidR="002C0F56" w:rsidRDefault="00E67C6E">
      <w:pPr>
        <w:numPr>
          <w:ilvl w:val="0"/>
          <w:numId w:val="89"/>
        </w:numPr>
        <w:spacing w:after="12"/>
        <w:ind w:right="302"/>
      </w:pPr>
      <w:r>
        <w:t xml:space="preserve">2017 - год экологии в России [Электронный ресурс] – режим доступа: </w:t>
      </w:r>
    </w:p>
    <w:p w:rsidR="002C0F56" w:rsidRDefault="00E67C6E">
      <w:pPr>
        <w:ind w:left="165" w:right="302" w:firstLine="0"/>
      </w:pPr>
      <w:hyperlink r:id="rId587">
        <w:r>
          <w:t>http://ecoyear.ru/</w:t>
        </w:r>
      </w:hyperlink>
      <w:hyperlink r:id="rId588">
        <w:r>
          <w:t xml:space="preserve"> </w:t>
        </w:r>
      </w:hyperlink>
    </w:p>
    <w:p w:rsidR="002C0F56" w:rsidRDefault="00E67C6E">
      <w:pPr>
        <w:numPr>
          <w:ilvl w:val="0"/>
          <w:numId w:val="89"/>
        </w:numPr>
        <w:spacing w:after="12"/>
        <w:ind w:right="302"/>
      </w:pPr>
      <w:r>
        <w:t xml:space="preserve">Ecology target. «Перспективные технологии и окружающая среда» </w:t>
      </w:r>
    </w:p>
    <w:p w:rsidR="002C0F56" w:rsidRDefault="00E67C6E">
      <w:pPr>
        <w:spacing w:after="12"/>
        <w:ind w:left="165" w:right="302" w:firstLine="0"/>
      </w:pPr>
      <w:r>
        <w:t xml:space="preserve">[Электронный ресурс] – режим доступа:  </w:t>
      </w:r>
      <w:hyperlink r:id="rId589">
        <w:r>
          <w:t>http</w:t>
        </w:r>
      </w:hyperlink>
      <w:hyperlink r:id="rId590">
        <w:r>
          <w:t>://</w:t>
        </w:r>
      </w:hyperlink>
      <w:hyperlink r:id="rId591">
        <w:r>
          <w:t>www</w:t>
        </w:r>
      </w:hyperlink>
      <w:hyperlink r:id="rId592">
        <w:r>
          <w:t>.</w:t>
        </w:r>
      </w:hyperlink>
      <w:hyperlink r:id="rId593">
        <w:r>
          <w:t>ecologytarget</w:t>
        </w:r>
      </w:hyperlink>
      <w:hyperlink r:id="rId594">
        <w:r>
          <w:t>.</w:t>
        </w:r>
      </w:hyperlink>
      <w:hyperlink r:id="rId595">
        <w:r>
          <w:t>ru</w:t>
        </w:r>
      </w:hyperlink>
      <w:hyperlink r:id="rId596">
        <w:r>
          <w:t>/</w:t>
        </w:r>
      </w:hyperlink>
      <w:hyperlink r:id="rId597">
        <w:r>
          <w:t>tarecs</w:t>
        </w:r>
      </w:hyperlink>
      <w:hyperlink r:id="rId598">
        <w:r>
          <w:t>-</w:t>
        </w:r>
      </w:hyperlink>
      <w:hyperlink r:id="rId599">
        <w:r>
          <w:t>34</w:t>
        </w:r>
      </w:hyperlink>
      <w:hyperlink r:id="rId600">
        <w:r>
          <w:t>-</w:t>
        </w:r>
      </w:hyperlink>
    </w:p>
    <w:p w:rsidR="002C0F56" w:rsidRDefault="00E67C6E">
      <w:pPr>
        <w:ind w:left="165" w:right="302" w:firstLine="0"/>
      </w:pPr>
      <w:hyperlink r:id="rId601">
        <w:r>
          <w:t>1.</w:t>
        </w:r>
      </w:hyperlink>
      <w:hyperlink r:id="rId602">
        <w:r>
          <w:t>html</w:t>
        </w:r>
      </w:hyperlink>
      <w:hyperlink r:id="rId603">
        <w:r>
          <w:t xml:space="preserve"> </w:t>
        </w:r>
      </w:hyperlink>
    </w:p>
    <w:p w:rsidR="002C0F56" w:rsidRDefault="00E67C6E">
      <w:pPr>
        <w:numPr>
          <w:ilvl w:val="0"/>
          <w:numId w:val="89"/>
        </w:numPr>
        <w:spacing w:after="12"/>
        <w:ind w:right="302"/>
      </w:pPr>
      <w:r>
        <w:t xml:space="preserve">OECD better life index. «Рейтинг лучшей жизни» [Электронный ресурс] </w:t>
      </w:r>
    </w:p>
    <w:p w:rsidR="002C0F56" w:rsidRDefault="00E67C6E">
      <w:pPr>
        <w:spacing w:after="12"/>
        <w:ind w:left="165" w:right="302" w:firstLine="0"/>
      </w:pPr>
      <w:r>
        <w:t xml:space="preserve">– режим доступа:  </w:t>
      </w:r>
      <w:hyperlink r:id="rId604" w:anchor="/11111511111">
        <w:r>
          <w:t>http</w:t>
        </w:r>
      </w:hyperlink>
      <w:hyperlink r:id="rId605" w:anchor="/11111511111">
        <w:r>
          <w:t>://</w:t>
        </w:r>
      </w:hyperlink>
      <w:hyperlink r:id="rId606" w:anchor="/11111511111">
        <w:r>
          <w:t>www</w:t>
        </w:r>
      </w:hyperlink>
      <w:hyperlink r:id="rId607" w:anchor="/11111511111">
        <w:r>
          <w:t>.</w:t>
        </w:r>
      </w:hyperlink>
      <w:hyperlink r:id="rId608" w:anchor="/11111511111">
        <w:r>
          <w:t>oecdbetterlifeindex</w:t>
        </w:r>
      </w:hyperlink>
      <w:hyperlink r:id="rId609" w:anchor="/11111511111">
        <w:r>
          <w:t>.</w:t>
        </w:r>
      </w:hyperlink>
      <w:hyperlink r:id="rId610" w:anchor="/11111511111">
        <w:r>
          <w:t>org</w:t>
        </w:r>
      </w:hyperlink>
      <w:hyperlink r:id="rId611" w:anchor="/11111511111">
        <w:r>
          <w:t>/</w:t>
        </w:r>
      </w:hyperlink>
      <w:hyperlink r:id="rId612" w:anchor="/11111511111">
        <w:r>
          <w:t>ru</w:t>
        </w:r>
      </w:hyperlink>
      <w:hyperlink r:id="rId613" w:anchor="/11111511111">
        <w:r>
          <w:t>/#/11111511111</w:t>
        </w:r>
      </w:hyperlink>
      <w:hyperlink r:id="rId614" w:anchor="/11111511111">
        <w:r>
          <w:t xml:space="preserve"> </w:t>
        </w:r>
      </w:hyperlink>
    </w:p>
    <w:p w:rsidR="002C0F56" w:rsidRDefault="00E67C6E">
      <w:pPr>
        <w:spacing w:after="0" w:line="259" w:lineRule="auto"/>
        <w:ind w:left="744" w:firstLine="0"/>
        <w:jc w:val="left"/>
      </w:pPr>
      <w:r>
        <w:t xml:space="preserve"> </w:t>
      </w:r>
    </w:p>
    <w:p w:rsidR="002C0F56" w:rsidRDefault="00E67C6E">
      <w:pPr>
        <w:spacing w:after="27" w:line="259" w:lineRule="auto"/>
        <w:ind w:left="744" w:firstLine="0"/>
        <w:jc w:val="left"/>
      </w:pPr>
      <w:r>
        <w:t xml:space="preserve"> </w:t>
      </w:r>
    </w:p>
    <w:p w:rsidR="002C0F56" w:rsidRDefault="00E67C6E">
      <w:pPr>
        <w:spacing w:after="25" w:line="259" w:lineRule="auto"/>
        <w:ind w:left="10" w:right="856" w:hanging="10"/>
        <w:jc w:val="right"/>
      </w:pPr>
      <w:r>
        <w:rPr>
          <w:b/>
        </w:rPr>
        <w:lastRenderedPageBreak/>
        <w:t xml:space="preserve">Дружбальская А. С., Курмыса Ю.А. </w:t>
      </w:r>
    </w:p>
    <w:p w:rsidR="002C0F56" w:rsidRDefault="00E67C6E">
      <w:pPr>
        <w:spacing w:after="11" w:line="270" w:lineRule="auto"/>
        <w:ind w:left="10" w:right="862" w:hanging="10"/>
        <w:jc w:val="right"/>
      </w:pPr>
      <w:r>
        <w:t xml:space="preserve">Научный руководитель: Бункевич Н.Л.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rPr>
          <w:b/>
        </w:rPr>
        <w:t xml:space="preserve">  </w:t>
      </w:r>
    </w:p>
    <w:p w:rsidR="002C0F56" w:rsidRDefault="00E67C6E">
      <w:pPr>
        <w:pStyle w:val="1"/>
        <w:spacing w:after="15" w:line="271" w:lineRule="auto"/>
        <w:ind w:left="201" w:right="0"/>
        <w:jc w:val="left"/>
      </w:pPr>
      <w:r>
        <w:t xml:space="preserve">РАЗВИТИЕ И ИСПОЛЬЗОВАНИЕ АЛЬТЕРНАТИВНЫХ ИСТОЧНИКОВ </w:t>
      </w:r>
    </w:p>
    <w:p w:rsidR="002C0F56" w:rsidRDefault="00E67C6E">
      <w:pPr>
        <w:pStyle w:val="1"/>
        <w:ind w:left="700" w:right="1379"/>
      </w:pPr>
      <w:r>
        <w:t xml:space="preserve">ЭНЕРГИИ В РЕСПУБЛИКЕ БЕЛАРУСЬ </w:t>
      </w:r>
    </w:p>
    <w:p w:rsidR="002C0F56" w:rsidRDefault="00E67C6E">
      <w:pPr>
        <w:spacing w:after="0" w:line="259" w:lineRule="auto"/>
        <w:ind w:left="744" w:firstLine="0"/>
        <w:jc w:val="left"/>
      </w:pPr>
      <w:r>
        <w:rPr>
          <w:b/>
        </w:rPr>
        <w:t xml:space="preserve"> </w:t>
      </w:r>
    </w:p>
    <w:p w:rsidR="002C0F56" w:rsidRDefault="00E67C6E">
      <w:pPr>
        <w:spacing w:after="10"/>
        <w:ind w:left="165" w:right="870"/>
      </w:pPr>
      <w:r>
        <w:t>Республика Беларусь относится к категории стран, которые не обладают значительными собственными топливно-энергетическими ресурсами (ТЭР). Собственные ТЭР: нефть, газ, дров</w:t>
      </w:r>
      <w:r>
        <w:t xml:space="preserve">а, торф, гидроресурсы и биомасса. Обеспеченность Республики собственными энергоресурсами находится на уровне 15-17% потребности Республики в ТЭР.  </w:t>
      </w:r>
    </w:p>
    <w:p w:rsidR="002C0F56" w:rsidRDefault="00E67C6E">
      <w:pPr>
        <w:spacing w:after="0"/>
        <w:ind w:left="165" w:right="870"/>
      </w:pPr>
      <w:r>
        <w:t xml:space="preserve">В Беларуси кроме возобновляемых источников энергии практически отсутствуют другие источники. Таким образом, </w:t>
      </w:r>
      <w:r>
        <w:t xml:space="preserve">доля возобновляемых источников энергии составляет до 80% в структуре собственных ТЭР. В Беларуси развиваются такие виды альтернативной энергетики, как солнечная энергетика, ветроэнергетика, биогаз, гидроэнергетика[1]. </w:t>
      </w:r>
    </w:p>
    <w:p w:rsidR="002C0F56" w:rsidRDefault="00E67C6E">
      <w:pPr>
        <w:spacing w:after="0"/>
        <w:ind w:left="165" w:right="867"/>
      </w:pPr>
      <w:r>
        <w:t>Солнечную энергию принято считать наи</w:t>
      </w:r>
      <w:r>
        <w:t>более перспективным источником энергии, запас которой не иссякает. Всевозможные альтернативные источники энергии такого типа используются как для электроснабжения, так и теплообеспечения. В качестве устройств обеспечивающих выработку энергии применяются фо</w:t>
      </w:r>
      <w:r>
        <w:t>тоэлектрические компоненты, которые подходят для обеспечения сравнительно малых потребностей в электричестве. Панели солнечных автономных систем прекрасно справляются с задачей создания электроэнергии, предпочтительно в тех случаях, когда не требуется боль</w:t>
      </w:r>
      <w:r>
        <w:t>шая производительность. Такое энергооборудование имеет свои преимущества в виде надежности, отсутствии необходимости в занятии больших площадей, эстетичном облике, бесшумности, неимении вредных выбросов в атмосферу и долговечности. Но наряду с очевидными д</w:t>
      </w:r>
      <w:r>
        <w:t xml:space="preserve">остоинствами представлены и некоторые недостатки, например, зависимость интенсивности излучения солнца от сезонного и суточного ритма, дорогостоящая установка, подверженность к повреждениям и некоторый риск безопасности. </w:t>
      </w:r>
    </w:p>
    <w:p w:rsidR="002C0F56" w:rsidRDefault="00E67C6E">
      <w:pPr>
        <w:spacing w:after="11" w:line="270" w:lineRule="auto"/>
        <w:ind w:left="10" w:right="862" w:hanging="10"/>
        <w:jc w:val="right"/>
      </w:pPr>
      <w:r>
        <w:t>Если основываться на метеорологиче</w:t>
      </w:r>
      <w:r>
        <w:t xml:space="preserve">ских данных, то в Беларуси порядка </w:t>
      </w:r>
    </w:p>
    <w:p w:rsidR="002C0F56" w:rsidRDefault="00E67C6E">
      <w:pPr>
        <w:ind w:left="165" w:right="302" w:firstLine="0"/>
      </w:pPr>
      <w:r>
        <w:t xml:space="preserve">30-ти  ясных солнечных дней в году, в то время как пасмурных -250. </w:t>
      </w:r>
    </w:p>
    <w:p w:rsidR="002C0F56" w:rsidRDefault="00E67C6E">
      <w:pPr>
        <w:spacing w:after="0"/>
        <w:ind w:left="165" w:right="867" w:firstLine="0"/>
      </w:pPr>
      <w:r>
        <w:t>Интенсивность солнечного излучения составляет что-то порядка 2,8 кВт•ч/м².  Картина примерно такая же  в Германии, Японии и некоторых других странах.  Э</w:t>
      </w:r>
      <w:r>
        <w:t xml:space="preserve">то дает право сторонникам альтернативной энергии утверждать о возможности и необходимости развивать солнечную энергетику в Беларуси. Хотелось бы отметить и тот факт, что согласно закону «О возобновляемых источниках </w:t>
      </w:r>
      <w:r>
        <w:lastRenderedPageBreak/>
        <w:t>энергии РБ» на покупку электрической энер</w:t>
      </w:r>
      <w:r>
        <w:t xml:space="preserve">гии, выработанной фотоэлектростанциями, действует самый высокий коэффициент равный 3. Т.е. энергосистема обязана покупать у владельцев солнечных электростанций всю выработанную электроэнергию с  данным повышающим коэффициентом в течение 10 лет. </w:t>
      </w:r>
    </w:p>
    <w:p w:rsidR="002C0F56" w:rsidRDefault="00E67C6E">
      <w:pPr>
        <w:spacing w:after="0"/>
        <w:ind w:left="165" w:right="867"/>
      </w:pPr>
      <w:r>
        <w:t>Ветер также выступает одним из перспективнейших источников энергии. В качестве основного элемента ветряных систем используются ветрогенераторы, обладающие такими достоинствами, как: экологически чистый вид энергии, эргономика и неисчерпаемость запасов. А т</w:t>
      </w:r>
      <w:r>
        <w:t xml:space="preserve">акже присутствуют недостатки в виде непостоянства погодных условий, сравнительно низкой мощности, высокого уровня шума и повышенной степени опасности.  </w:t>
      </w:r>
    </w:p>
    <w:p w:rsidR="002C0F56" w:rsidRDefault="00E67C6E">
      <w:pPr>
        <w:ind w:left="165" w:right="865"/>
      </w:pPr>
      <w:r>
        <w:t>Ветроэнергетика в Беларуси развивается  более медленно чем, солнечная. Из запланированных когда-то 1840</w:t>
      </w:r>
      <w:r>
        <w:t xml:space="preserve"> площадок на сегодняшний день в Беларуси действуют 18 ветроустановок. Сам потенциал ветроэнергетики  оценивается в 1,9 – 2,0 млн т.у.т замещения. Срок окупаемости подобных установок варьируется от 6 до 8 лет. Среднегодовой фоновый ветер составляет порядка </w:t>
      </w:r>
      <w:r>
        <w:t xml:space="preserve">45 м/с на высоте 10-12 метров.   </w:t>
      </w:r>
    </w:p>
    <w:p w:rsidR="002C0F56" w:rsidRDefault="00E67C6E">
      <w:pPr>
        <w:spacing w:after="0"/>
        <w:ind w:left="165" w:right="866"/>
      </w:pPr>
      <w:r>
        <w:t>Что касаемо биогаза,  то его получение из естественных отходов является привлекательным направлением. Получение электрической энергии только от отходов растениеводства позволит заместить порядка 1,46 млн. т.у.т.  Перспекти</w:t>
      </w:r>
      <w:r>
        <w:t>вными направлениями являются получение биогаза из отходов животноводства, древесины, которые также позволят сэкономить несколько сотен тысяч т.у.т в год. Сегодня в Республике Беларусь действует больше десяти биогазовых установок. Самая крупная – СПК «Рассв</w:t>
      </w:r>
      <w:r>
        <w:t xml:space="preserve">ет» мощностью 4,8 МВт.  </w:t>
      </w:r>
    </w:p>
    <w:p w:rsidR="002C0F56" w:rsidRDefault="00E67C6E">
      <w:pPr>
        <w:spacing w:after="10"/>
        <w:ind w:left="165" w:right="870"/>
      </w:pPr>
      <w:r>
        <w:t>На сегодняшний день в Беларуси действует 41 гидроэлектростанция (ГЭС), суммарная мощность которых составляет 20 МВт. Потенциальная мощность всех водотоков Беларуси – 850 МВт,  в том числе экономически целесообразным является исполь</w:t>
      </w:r>
      <w:r>
        <w:t xml:space="preserve">зование 250 МВт – именно до такого уровня намерены довести общую мощность малых гидроэлектростанций в Беларуси к 2020 году. В Республике к настоящему времени освоено примерно 4 % располагаемого экономического гидроэнергопотенциала [2].  </w:t>
      </w:r>
    </w:p>
    <w:p w:rsidR="002C0F56" w:rsidRDefault="00E67C6E">
      <w:pPr>
        <w:spacing w:after="2"/>
        <w:ind w:left="165" w:right="874"/>
      </w:pPr>
      <w:r>
        <w:t xml:space="preserve">В Беларуси создан </w:t>
      </w:r>
      <w:r>
        <w:t xml:space="preserve">государственный кадастр возобновляемых источников энергии (ВИЭ), где предоставлена информация по оценке «альтернативного» энергетического потенциала территории республики  и повышения эффективности использования ВИЭ.  </w:t>
      </w:r>
    </w:p>
    <w:p w:rsidR="002C0F56" w:rsidRDefault="00E67C6E">
      <w:pPr>
        <w:spacing w:after="9"/>
        <w:ind w:left="165" w:right="873"/>
      </w:pPr>
      <w:r>
        <w:t>Согласно информации, содержащейся в к</w:t>
      </w:r>
      <w:r>
        <w:t xml:space="preserve">адастре, в настоящее время в республике функционирует 232 установки на возобновляемых видах энергии, установленная мощность которых составляет 288,9 МВт. Значительная часть </w:t>
      </w:r>
      <w:r>
        <w:lastRenderedPageBreak/>
        <w:t>объектов – 156 — работает на энергии древесного топлива и иных видов биомассы, а та</w:t>
      </w:r>
      <w:r>
        <w:t xml:space="preserve">кже на энергии естественного движения водных потоков. </w:t>
      </w:r>
    </w:p>
    <w:p w:rsidR="002C0F56" w:rsidRDefault="00E67C6E">
      <w:pPr>
        <w:ind w:left="165" w:right="867"/>
      </w:pPr>
      <w:r>
        <w:t>Среди ВИЭ, используемых в Республике, 14 объектов работают на энергии солнца, 14 – используют энергию биогаза, 7 объектов — энергию ветра  и 3 объекта — энергия тепла земли. Имеющиеся объекты ВИЭ спосо</w:t>
      </w:r>
      <w:r>
        <w:t xml:space="preserve">бны позволяют сэкономить более 313602,552 условного топлива в год. </w:t>
      </w:r>
    </w:p>
    <w:p w:rsidR="002C0F56" w:rsidRDefault="00E67C6E">
      <w:pPr>
        <w:ind w:left="165" w:right="867"/>
      </w:pPr>
      <w:r>
        <w:t xml:space="preserve">Очень важно, что государство всячески способствует повышению энергоэффективности и созданию малой генерации. Среди активных действий со стороны правительства стоит отметить: </w:t>
      </w:r>
    </w:p>
    <w:p w:rsidR="002C0F56" w:rsidRDefault="00E67C6E">
      <w:pPr>
        <w:numPr>
          <w:ilvl w:val="0"/>
          <w:numId w:val="90"/>
        </w:numPr>
        <w:ind w:right="302"/>
      </w:pPr>
      <w:r>
        <w:t>Создание Депа</w:t>
      </w:r>
      <w:r>
        <w:t>ртамента по энергоэффективности. Департамент осуществляет в настоящее время такие важные функции, как: координация всей деятельности в области энергоэффективности, контроль всех ведомств и предприятий в вопросах повышения энергоэффективности, распределение</w:t>
      </w:r>
      <w:r>
        <w:t xml:space="preserve"> инновационного фонда на проекты и, что важно, создание противовеса Министерству энергетики в вопросах распределенной генерации. </w:t>
      </w:r>
    </w:p>
    <w:p w:rsidR="002C0F56" w:rsidRDefault="00E67C6E">
      <w:pPr>
        <w:numPr>
          <w:ilvl w:val="0"/>
          <w:numId w:val="90"/>
        </w:numPr>
        <w:spacing w:after="61"/>
        <w:ind w:right="302"/>
      </w:pPr>
      <w:r>
        <w:t xml:space="preserve">Хорошая законодательная база: </w:t>
      </w:r>
    </w:p>
    <w:p w:rsidR="002C0F56" w:rsidRDefault="00E67C6E">
      <w:pPr>
        <w:numPr>
          <w:ilvl w:val="0"/>
          <w:numId w:val="90"/>
        </w:numPr>
        <w:spacing w:after="11" w:line="270" w:lineRule="auto"/>
        <w:ind w:right="302"/>
      </w:pPr>
      <w:r>
        <w:t xml:space="preserve">Закон Республики Беларусь «Об энергосбережении» от 15 июля 1998 </w:t>
      </w:r>
    </w:p>
    <w:p w:rsidR="002C0F56" w:rsidRDefault="00E67C6E">
      <w:pPr>
        <w:ind w:left="165" w:right="302" w:firstLine="0"/>
      </w:pPr>
      <w:r>
        <w:t xml:space="preserve">года; </w:t>
      </w:r>
    </w:p>
    <w:p w:rsidR="002C0F56" w:rsidRDefault="00E67C6E">
      <w:pPr>
        <w:numPr>
          <w:ilvl w:val="0"/>
          <w:numId w:val="90"/>
        </w:numPr>
        <w:spacing w:after="15" w:line="268" w:lineRule="auto"/>
        <w:ind w:right="302"/>
      </w:pPr>
      <w:r>
        <w:t>Директива Президента Ре</w:t>
      </w:r>
      <w:r>
        <w:t xml:space="preserve">спублики Беларусь №3 от 14 июня 2007 года; </w:t>
      </w:r>
    </w:p>
    <w:p w:rsidR="002C0F56" w:rsidRDefault="00E67C6E">
      <w:pPr>
        <w:numPr>
          <w:ilvl w:val="0"/>
          <w:numId w:val="90"/>
        </w:numPr>
        <w:ind w:right="302"/>
      </w:pPr>
      <w:r>
        <w:t xml:space="preserve">Закон Республики Беларусь «О возобновляемых источниках энергии» 27 декабря 2010 года, № 204—3; </w:t>
      </w:r>
    </w:p>
    <w:p w:rsidR="002C0F56" w:rsidRDefault="00E67C6E">
      <w:pPr>
        <w:numPr>
          <w:ilvl w:val="0"/>
          <w:numId w:val="90"/>
        </w:numPr>
        <w:ind w:right="302"/>
      </w:pPr>
      <w:r>
        <w:t xml:space="preserve">Финансирование энергоэффективных мероприятий за счет инвестфонда Минэнерго; </w:t>
      </w:r>
    </w:p>
    <w:p w:rsidR="002C0F56" w:rsidRDefault="00E67C6E">
      <w:pPr>
        <w:numPr>
          <w:ilvl w:val="0"/>
          <w:numId w:val="90"/>
        </w:numPr>
        <w:ind w:right="302"/>
      </w:pPr>
      <w:r>
        <w:t xml:space="preserve">Получение кредитов Всемирного банка под гарантии правительства на осуществление энергоэффективных мероприятий; </w:t>
      </w:r>
    </w:p>
    <w:p w:rsidR="002C0F56" w:rsidRDefault="00E67C6E">
      <w:pPr>
        <w:numPr>
          <w:ilvl w:val="0"/>
          <w:numId w:val="90"/>
        </w:numPr>
        <w:ind w:right="302"/>
      </w:pPr>
      <w:r>
        <w:t xml:space="preserve">Применение различных стимулирующих механизмов: льготы, тарифы и гарантии [3]. </w:t>
      </w:r>
    </w:p>
    <w:p w:rsidR="002C0F56" w:rsidRDefault="00E67C6E">
      <w:pPr>
        <w:spacing w:after="0"/>
        <w:ind w:left="165" w:right="867"/>
      </w:pPr>
      <w:r>
        <w:t>Развитие возобновляемых источников энергии рассматривается госуда</w:t>
      </w:r>
      <w:r>
        <w:t>рственной властью как одно из направлений энергетической безопасности страны. Выполнение поставленной задачи доведения МВТ до 25% будет обеспечиваться в первую очередь за счет увеличения добычи, производства и потребления древесного топлива. Также в ближай</w:t>
      </w:r>
      <w:r>
        <w:t xml:space="preserve">шее время планируется расширенное вовлечение в топливно-энергетический баланс гидроресурсов, биогаза и  коммунально-бытовых отходов, гелиоресурсов и энергии ветра.  </w:t>
      </w:r>
    </w:p>
    <w:p w:rsidR="002C0F56" w:rsidRDefault="00E67C6E">
      <w:pPr>
        <w:ind w:left="165" w:right="302"/>
      </w:pPr>
      <w:r>
        <w:t>Однако главными сдерживающими факторами развития возобновляемой энергетики в Республике Бе</w:t>
      </w:r>
      <w:r>
        <w:t xml:space="preserve">ларусь являются: </w:t>
      </w:r>
    </w:p>
    <w:p w:rsidR="002C0F56" w:rsidRDefault="00E67C6E">
      <w:pPr>
        <w:numPr>
          <w:ilvl w:val="0"/>
          <w:numId w:val="91"/>
        </w:numPr>
        <w:ind w:right="302"/>
      </w:pPr>
      <w:r>
        <w:t xml:space="preserve">Сравнительно низкая стоимость традиционных энергоресурсов и, следовательно, плохая окупаемость проектов возобновляемой энергетики; </w:t>
      </w:r>
    </w:p>
    <w:p w:rsidR="002C0F56" w:rsidRDefault="00E67C6E">
      <w:pPr>
        <w:numPr>
          <w:ilvl w:val="0"/>
          <w:numId w:val="91"/>
        </w:numPr>
        <w:spacing w:after="12"/>
        <w:ind w:right="302"/>
      </w:pPr>
      <w:r>
        <w:lastRenderedPageBreak/>
        <w:t xml:space="preserve">Недостаточность экономических стимулов; </w:t>
      </w:r>
    </w:p>
    <w:p w:rsidR="002C0F56" w:rsidRDefault="00E67C6E">
      <w:pPr>
        <w:numPr>
          <w:ilvl w:val="0"/>
          <w:numId w:val="91"/>
        </w:numPr>
        <w:ind w:right="302"/>
      </w:pPr>
      <w:r>
        <w:t>Перекрестное субсидирование и предоставляемые льготы для ЖКХ и се</w:t>
      </w:r>
      <w:r>
        <w:t xml:space="preserve">льского хозяйства; </w:t>
      </w:r>
    </w:p>
    <w:p w:rsidR="002C0F56" w:rsidRDefault="00E67C6E">
      <w:pPr>
        <w:numPr>
          <w:ilvl w:val="0"/>
          <w:numId w:val="91"/>
        </w:numPr>
        <w:ind w:right="302"/>
      </w:pPr>
      <w:r>
        <w:t xml:space="preserve">Недостаток внутренних инвестиционных ресурсов для развития отрасли; </w:t>
      </w:r>
    </w:p>
    <w:p w:rsidR="002C0F56" w:rsidRDefault="00E67C6E">
      <w:pPr>
        <w:numPr>
          <w:ilvl w:val="0"/>
          <w:numId w:val="91"/>
        </w:numPr>
        <w:ind w:right="302"/>
      </w:pPr>
      <w:r>
        <w:t xml:space="preserve">Монополия в энергетике; </w:t>
      </w:r>
    </w:p>
    <w:p w:rsidR="002C0F56" w:rsidRDefault="00E67C6E">
      <w:pPr>
        <w:numPr>
          <w:ilvl w:val="0"/>
          <w:numId w:val="91"/>
        </w:numPr>
        <w:ind w:right="302"/>
      </w:pPr>
      <w:r>
        <w:t xml:space="preserve">Недостаточность научной и технологической базы; </w:t>
      </w:r>
    </w:p>
    <w:p w:rsidR="002C0F56" w:rsidRDefault="00E67C6E">
      <w:pPr>
        <w:numPr>
          <w:ilvl w:val="0"/>
          <w:numId w:val="91"/>
        </w:numPr>
        <w:spacing w:after="12"/>
        <w:ind w:right="302"/>
      </w:pPr>
      <w:r>
        <w:t xml:space="preserve">Отсутствие информирования заинтересованных сторон; </w:t>
      </w:r>
    </w:p>
    <w:p w:rsidR="002C0F56" w:rsidRDefault="00E67C6E">
      <w:pPr>
        <w:numPr>
          <w:ilvl w:val="0"/>
          <w:numId w:val="91"/>
        </w:numPr>
        <w:ind w:right="302"/>
      </w:pPr>
      <w:r>
        <w:t>Недостаточность опыта в Республике реализ</w:t>
      </w:r>
      <w:r>
        <w:t xml:space="preserve">ации новых проектов в данной сфере. </w:t>
      </w:r>
    </w:p>
    <w:p w:rsidR="002C0F56" w:rsidRDefault="00E67C6E">
      <w:pPr>
        <w:spacing w:after="0"/>
        <w:ind w:left="165" w:right="867"/>
      </w:pPr>
      <w:r>
        <w:t>Развитие возобновляемой энергетики крайне важно для Республики Беларусь. Только это сможет повысить реальную независимость страны в первую очередь от Российской Федерации. Развитие возобновляемой энергетики положительно</w:t>
      </w:r>
      <w:r>
        <w:t xml:space="preserve"> скажется на экономическом и экологическом состоянии Республики. Потенциал Беларуси в возобновляемой энергетике велик. Проведены некоторые исследования, проводится информирование властей, а также местных и согласующих органов. В целом на самом высоком уров</w:t>
      </w:r>
      <w:r>
        <w:t xml:space="preserve">не сформировано четкое представление о необходимости развития альтернативных источников энергии в Беларуси, однако еще предстоит решить множество проблем. </w:t>
      </w:r>
    </w:p>
    <w:p w:rsidR="002C0F56" w:rsidRDefault="00E67C6E">
      <w:pPr>
        <w:spacing w:after="27" w:line="259" w:lineRule="auto"/>
        <w:ind w:left="744" w:firstLine="0"/>
        <w:jc w:val="left"/>
      </w:pPr>
      <w:r>
        <w:t xml:space="preserve"> </w:t>
      </w:r>
    </w:p>
    <w:p w:rsidR="002C0F56" w:rsidRDefault="00E67C6E">
      <w:pPr>
        <w:spacing w:after="0"/>
        <w:ind w:left="165" w:right="867" w:firstLine="3889"/>
      </w:pPr>
      <w:r>
        <w:t xml:space="preserve">Список литературы: 1. ЭНЭКА [Электронный ресурс] /Возобновляемая энергетика в Беларуси. – </w:t>
      </w:r>
      <w:r>
        <w:t xml:space="preserve">Режим доступа: </w:t>
      </w:r>
      <w:hyperlink r:id="rId615">
        <w:r>
          <w:t>https://www.eneca.by/ru_news2/</w:t>
        </w:r>
      </w:hyperlink>
      <w:hyperlink r:id="rId616">
        <w:r>
          <w:t xml:space="preserve"> </w:t>
        </w:r>
      </w:hyperlink>
      <w:r>
        <w:t xml:space="preserve">. – Дата доступа: 16.04.2017. </w:t>
      </w:r>
    </w:p>
    <w:p w:rsidR="002C0F56" w:rsidRDefault="00E67C6E">
      <w:pPr>
        <w:numPr>
          <w:ilvl w:val="0"/>
          <w:numId w:val="92"/>
        </w:numPr>
        <w:ind w:right="584"/>
      </w:pPr>
      <w:r>
        <w:t>Альтернативные источники энергии [Электронный ресурс] / Как развиваются альтерн</w:t>
      </w:r>
      <w:r>
        <w:t xml:space="preserve">ативные источники энергии в Беларуси. - Режим доступа: </w:t>
      </w:r>
      <w:hyperlink r:id="rId617">
        <w:r>
          <w:t>http://www.energya.by/kak</w:t>
        </w:r>
      </w:hyperlink>
      <w:hyperlink r:id="rId618">
        <w:r>
          <w:t>-</w:t>
        </w:r>
      </w:hyperlink>
      <w:hyperlink r:id="rId619">
        <w:r>
          <w:t>razvivayutsya</w:t>
        </w:r>
      </w:hyperlink>
      <w:hyperlink r:id="rId620">
        <w:r>
          <w:t>-</w:t>
        </w:r>
      </w:hyperlink>
      <w:hyperlink r:id="rId621">
        <w:r>
          <w:t>alternativnayia</w:t>
        </w:r>
      </w:hyperlink>
      <w:hyperlink r:id="rId622">
        <w:r>
          <w:t>-</w:t>
        </w:r>
      </w:hyperlink>
      <w:hyperlink r:id="rId623">
        <w:r>
          <w:t>energetika</w:t>
        </w:r>
      </w:hyperlink>
      <w:hyperlink r:id="rId624">
        <w:r>
          <w:t>-</w:t>
        </w:r>
      </w:hyperlink>
      <w:hyperlink r:id="rId625">
        <w:r>
          <w:t>v</w:t>
        </w:r>
      </w:hyperlink>
      <w:hyperlink r:id="rId626">
        <w:r>
          <w:t>-</w:t>
        </w:r>
      </w:hyperlink>
      <w:hyperlink r:id="rId627">
        <w:r>
          <w:t>belarusi/</w:t>
        </w:r>
      </w:hyperlink>
      <w:hyperlink r:id="rId628">
        <w:r>
          <w:t xml:space="preserve"> </w:t>
        </w:r>
      </w:hyperlink>
      <w:r>
        <w:t xml:space="preserve">. – Дата доступа: 16.04.2017.  </w:t>
      </w:r>
    </w:p>
    <w:p w:rsidR="002C0F56" w:rsidRDefault="00E67C6E">
      <w:pPr>
        <w:numPr>
          <w:ilvl w:val="0"/>
          <w:numId w:val="92"/>
        </w:numPr>
        <w:spacing w:after="12"/>
        <w:ind w:right="584"/>
      </w:pPr>
      <w:r>
        <w:t xml:space="preserve">Ермашкевич В.Н. Возобновляемые источники энергии Беларуси: </w:t>
      </w:r>
    </w:p>
    <w:p w:rsidR="002C0F56" w:rsidRDefault="00E67C6E">
      <w:pPr>
        <w:ind w:left="165" w:right="302" w:firstLine="0"/>
      </w:pPr>
      <w:r>
        <w:t xml:space="preserve">прогноз, механизмы реализации: Учебн. Пособие / В.Н. Ермашкевич, Ю.Н. Румянцева. – Мн.: НО ООО «БИП-С», 2004. – 121 с.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pStyle w:val="1"/>
        <w:spacing w:after="25" w:line="259" w:lineRule="auto"/>
        <w:ind w:right="856"/>
        <w:jc w:val="right"/>
      </w:pPr>
      <w:r>
        <w:t xml:space="preserve">Емельянова Д.А. </w:t>
      </w:r>
      <w:r>
        <w:rPr>
          <w:b w:val="0"/>
        </w:rPr>
        <w:t xml:space="preserve">Научный руководитель: Меньшикова М.А., д.э.н., проф.  </w:t>
      </w:r>
    </w:p>
    <w:p w:rsidR="002C0F56" w:rsidRDefault="00E67C6E">
      <w:pPr>
        <w:spacing w:after="0" w:line="267" w:lineRule="auto"/>
        <w:ind w:left="905" w:right="860" w:hanging="10"/>
        <w:jc w:val="right"/>
      </w:pPr>
      <w:r>
        <w:rPr>
          <w:i/>
        </w:rPr>
        <w:t xml:space="preserve">Курский государственный университет </w:t>
      </w:r>
    </w:p>
    <w:p w:rsidR="002C0F56" w:rsidRDefault="00E67C6E">
      <w:pPr>
        <w:spacing w:after="30" w:line="259" w:lineRule="auto"/>
        <w:ind w:left="744" w:firstLine="0"/>
        <w:jc w:val="left"/>
      </w:pPr>
      <w:r>
        <w:rPr>
          <w:b/>
        </w:rPr>
        <w:t xml:space="preserve"> </w:t>
      </w:r>
    </w:p>
    <w:p w:rsidR="002C0F56" w:rsidRDefault="00E67C6E">
      <w:pPr>
        <w:pStyle w:val="1"/>
        <w:ind w:right="688"/>
      </w:pPr>
      <w:r>
        <w:lastRenderedPageBreak/>
        <w:t xml:space="preserve">ИНФОРМАЦИОННОЕ ОБЕСПЕЧЕНИЕ СЛУЖБЫ МАРКЕТИНГА </w:t>
      </w:r>
    </w:p>
    <w:p w:rsidR="002C0F56" w:rsidRDefault="00E67C6E">
      <w:pPr>
        <w:spacing w:after="0" w:line="259" w:lineRule="auto"/>
        <w:ind w:left="744" w:firstLine="0"/>
        <w:jc w:val="left"/>
      </w:pPr>
      <w:r>
        <w:rPr>
          <w:i/>
        </w:rPr>
        <w:t xml:space="preserve"> </w:t>
      </w:r>
    </w:p>
    <w:p w:rsidR="002C0F56" w:rsidRDefault="00E67C6E">
      <w:pPr>
        <w:spacing w:after="0"/>
        <w:ind w:left="165" w:right="865"/>
      </w:pPr>
      <w:r>
        <w:t>Для обеспечения успешного функционирования и решения задач, возложенных на маркетинговую службу, необходимо своевременное, достоверное информационное обеспечение. Его можно получать с помощью проводимых маркетинговых исследований. Маркетинговые исследовани</w:t>
      </w:r>
      <w:r>
        <w:t>я – это система сбора, обработки и анализа данных, нужных для решения задач маркетинга и обеспечения маркетинговой деятельности на любом ее уровне. [1] Они включают в себя исследования взаимодействия предприятия с внешней и внутренней средой. Чтобы маркети</w:t>
      </w:r>
      <w:r>
        <w:t xml:space="preserve">нговые исследования были достоверными и точными, информация должна отвечать определенным требованиям (табл. 1). </w:t>
      </w:r>
    </w:p>
    <w:p w:rsidR="002C0F56" w:rsidRDefault="00E67C6E">
      <w:pPr>
        <w:spacing w:after="12"/>
        <w:ind w:left="165" w:right="302" w:firstLine="0"/>
      </w:pPr>
      <w:r>
        <w:t xml:space="preserve">[3] </w:t>
      </w:r>
    </w:p>
    <w:p w:rsidR="002C0F56" w:rsidRDefault="00E67C6E">
      <w:pPr>
        <w:pStyle w:val="4"/>
        <w:ind w:left="1181" w:right="1376"/>
      </w:pPr>
      <w:r>
        <w:rPr>
          <w:b w:val="0"/>
          <w:i/>
        </w:rPr>
        <w:t>Таблица 1</w:t>
      </w:r>
      <w:r>
        <w:rPr>
          <w:b w:val="0"/>
        </w:rPr>
        <w:t xml:space="preserve"> - </w:t>
      </w:r>
      <w:r>
        <w:t xml:space="preserve">Требования к информации* </w:t>
      </w:r>
    </w:p>
    <w:tbl>
      <w:tblPr>
        <w:tblStyle w:val="TableGrid"/>
        <w:tblW w:w="9748" w:type="dxa"/>
        <w:tblInd w:w="72" w:type="dxa"/>
        <w:tblCellMar>
          <w:top w:w="58" w:type="dxa"/>
          <w:left w:w="110" w:type="dxa"/>
          <w:bottom w:w="0" w:type="dxa"/>
          <w:right w:w="0" w:type="dxa"/>
        </w:tblCellMar>
        <w:tblLook w:val="04A0" w:firstRow="1" w:lastRow="0" w:firstColumn="1" w:lastColumn="0" w:noHBand="0" w:noVBand="1"/>
      </w:tblPr>
      <w:tblGrid>
        <w:gridCol w:w="2115"/>
        <w:gridCol w:w="7633"/>
      </w:tblGrid>
      <w:tr w:rsidR="002C0F56">
        <w:trPr>
          <w:trHeight w:val="286"/>
        </w:trPr>
        <w:tc>
          <w:tcPr>
            <w:tcW w:w="21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8" w:firstLine="0"/>
              <w:jc w:val="left"/>
            </w:pPr>
            <w:r>
              <w:rPr>
                <w:sz w:val="24"/>
              </w:rPr>
              <w:t xml:space="preserve">Требование </w:t>
            </w:r>
          </w:p>
        </w:tc>
        <w:tc>
          <w:tcPr>
            <w:tcW w:w="76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40" w:firstLine="0"/>
              <w:jc w:val="left"/>
            </w:pPr>
            <w:r>
              <w:rPr>
                <w:sz w:val="24"/>
              </w:rPr>
              <w:t xml:space="preserve">Характеристика </w:t>
            </w:r>
          </w:p>
        </w:tc>
      </w:tr>
      <w:tr w:rsidR="002C0F56">
        <w:trPr>
          <w:trHeight w:val="562"/>
        </w:trPr>
        <w:tc>
          <w:tcPr>
            <w:tcW w:w="21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47" w:firstLine="0"/>
              <w:jc w:val="center"/>
            </w:pPr>
            <w:r>
              <w:rPr>
                <w:sz w:val="24"/>
              </w:rPr>
              <w:t xml:space="preserve">достоверность </w:t>
            </w:r>
          </w:p>
        </w:tc>
        <w:tc>
          <w:tcPr>
            <w:tcW w:w="7634"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2162"/>
                <w:tab w:val="center" w:pos="3051"/>
                <w:tab w:val="center" w:pos="4132"/>
                <w:tab w:val="center" w:pos="5122"/>
                <w:tab w:val="center" w:pos="6134"/>
                <w:tab w:val="right" w:pos="7523"/>
              </w:tabs>
              <w:spacing w:after="29" w:line="259" w:lineRule="auto"/>
              <w:ind w:left="0" w:right="-73" w:firstLine="0"/>
              <w:jc w:val="left"/>
            </w:pPr>
            <w:r>
              <w:rPr>
                <w:sz w:val="24"/>
              </w:rPr>
              <w:t xml:space="preserve">информация </w:t>
            </w:r>
            <w:r>
              <w:rPr>
                <w:sz w:val="24"/>
              </w:rPr>
              <w:tab/>
              <w:t xml:space="preserve">должна </w:t>
            </w:r>
            <w:r>
              <w:rPr>
                <w:sz w:val="24"/>
              </w:rPr>
              <w:tab/>
              <w:t xml:space="preserve">быть </w:t>
            </w:r>
            <w:r>
              <w:rPr>
                <w:sz w:val="24"/>
              </w:rPr>
              <w:tab/>
              <w:t xml:space="preserve">правдивой, </w:t>
            </w:r>
            <w:r>
              <w:rPr>
                <w:sz w:val="24"/>
              </w:rPr>
              <w:tab/>
              <w:t xml:space="preserve">без </w:t>
            </w:r>
            <w:r>
              <w:rPr>
                <w:sz w:val="24"/>
              </w:rPr>
              <w:tab/>
              <w:t xml:space="preserve">искажений, </w:t>
            </w:r>
            <w:r>
              <w:rPr>
                <w:sz w:val="24"/>
              </w:rPr>
              <w:tab/>
              <w:t>отраж</w:t>
            </w:r>
          </w:p>
          <w:p w:rsidR="002C0F56" w:rsidRDefault="00E67C6E">
            <w:pPr>
              <w:spacing w:after="0" w:line="259" w:lineRule="auto"/>
              <w:ind w:left="0" w:firstLine="0"/>
              <w:jc w:val="left"/>
            </w:pPr>
            <w:r>
              <w:rPr>
                <w:sz w:val="24"/>
              </w:rPr>
              <w:t xml:space="preserve">исследуемого объекта или процесса </w:t>
            </w:r>
          </w:p>
        </w:tc>
      </w:tr>
      <w:tr w:rsidR="002C0F56">
        <w:trPr>
          <w:trHeight w:val="286"/>
        </w:trPr>
        <w:tc>
          <w:tcPr>
            <w:tcW w:w="21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8" w:firstLine="0"/>
              <w:jc w:val="left"/>
            </w:pPr>
            <w:r>
              <w:rPr>
                <w:sz w:val="24"/>
              </w:rPr>
              <w:t xml:space="preserve">полнота </w:t>
            </w:r>
          </w:p>
        </w:tc>
        <w:tc>
          <w:tcPr>
            <w:tcW w:w="76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right"/>
            </w:pPr>
            <w:r>
              <w:rPr>
                <w:sz w:val="24"/>
              </w:rPr>
              <w:t>информация должна отражать необходимые условия для решения задач</w:t>
            </w:r>
          </w:p>
        </w:tc>
      </w:tr>
      <w:tr w:rsidR="002C0F56">
        <w:trPr>
          <w:trHeight w:val="286"/>
        </w:trPr>
        <w:tc>
          <w:tcPr>
            <w:tcW w:w="21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4" w:firstLine="0"/>
              <w:jc w:val="center"/>
            </w:pPr>
            <w:r>
              <w:rPr>
                <w:sz w:val="24"/>
              </w:rPr>
              <w:t xml:space="preserve">релевантность </w:t>
            </w:r>
          </w:p>
        </w:tc>
        <w:tc>
          <w:tcPr>
            <w:tcW w:w="76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44" w:firstLine="0"/>
              <w:jc w:val="right"/>
            </w:pPr>
            <w:r>
              <w:rPr>
                <w:sz w:val="24"/>
              </w:rPr>
              <w:t>информация должна относится именно к исследуемому объекту или пр</w:t>
            </w:r>
          </w:p>
        </w:tc>
      </w:tr>
      <w:tr w:rsidR="002C0F56">
        <w:trPr>
          <w:trHeight w:val="564"/>
        </w:trPr>
        <w:tc>
          <w:tcPr>
            <w:tcW w:w="21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1" w:firstLine="0"/>
              <w:jc w:val="right"/>
            </w:pPr>
            <w:r>
              <w:rPr>
                <w:sz w:val="24"/>
              </w:rPr>
              <w:t xml:space="preserve">сопоставимость </w:t>
            </w:r>
          </w:p>
        </w:tc>
        <w:tc>
          <w:tcPr>
            <w:tcW w:w="76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240"/>
            </w:pPr>
            <w:r>
              <w:rPr>
                <w:sz w:val="24"/>
              </w:rPr>
              <w:t xml:space="preserve">означает возможность сравнения данных за счет единства предмет круга включенных показателей, методологии проведения исследования </w:t>
            </w:r>
          </w:p>
        </w:tc>
      </w:tr>
      <w:tr w:rsidR="002C0F56">
        <w:trPr>
          <w:trHeight w:val="562"/>
        </w:trPr>
        <w:tc>
          <w:tcPr>
            <w:tcW w:w="21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 w:firstLine="0"/>
              <w:jc w:val="center"/>
            </w:pPr>
            <w:r>
              <w:rPr>
                <w:sz w:val="24"/>
              </w:rPr>
              <w:t xml:space="preserve">экономичность </w:t>
            </w:r>
          </w:p>
        </w:tc>
        <w:tc>
          <w:tcPr>
            <w:tcW w:w="76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30" w:firstLine="240"/>
            </w:pPr>
            <w:r>
              <w:rPr>
                <w:sz w:val="24"/>
              </w:rPr>
              <w:t xml:space="preserve">означает, что затраты на получение и переработку информации не дол получаемый от ее использования результат </w:t>
            </w:r>
          </w:p>
        </w:tc>
      </w:tr>
    </w:tbl>
    <w:p w:rsidR="002C0F56" w:rsidRDefault="00E67C6E">
      <w:pPr>
        <w:spacing w:after="0" w:line="259" w:lineRule="auto"/>
        <w:ind w:left="744" w:firstLine="0"/>
        <w:jc w:val="left"/>
      </w:pPr>
      <w:r>
        <w:t xml:space="preserve"> </w:t>
      </w:r>
    </w:p>
    <w:p w:rsidR="002C0F56" w:rsidRDefault="00E67C6E">
      <w:pPr>
        <w:ind w:left="165" w:right="871"/>
      </w:pPr>
      <w:r>
        <w:t>Маркетинговые исследования затрагивают различные области от принципиальных изменений в отношении бизнеса или вхождении на новый рынок до узких решений о модернизации упаковки товара. Эти решения вытекают из маркетингового планирования, которое проходит чет</w:t>
      </w:r>
      <w:r>
        <w:t xml:space="preserve">ыре стадии </w:t>
      </w:r>
    </w:p>
    <w:p w:rsidR="002C0F56" w:rsidRDefault="00E67C6E">
      <w:pPr>
        <w:spacing w:after="12"/>
        <w:ind w:left="165" w:right="302" w:firstLine="0"/>
      </w:pPr>
      <w:r>
        <w:t xml:space="preserve">(рис. 1). [4] </w:t>
      </w:r>
    </w:p>
    <w:p w:rsidR="002C0F56" w:rsidRDefault="00E67C6E">
      <w:pPr>
        <w:spacing w:after="0" w:line="259" w:lineRule="auto"/>
        <w:ind w:left="744" w:firstLine="0"/>
        <w:jc w:val="left"/>
      </w:pPr>
      <w:r>
        <w:t xml:space="preserve"> </w:t>
      </w:r>
    </w:p>
    <w:p w:rsidR="002C0F56" w:rsidRDefault="00E67C6E">
      <w:pPr>
        <w:spacing w:after="0" w:line="259" w:lineRule="auto"/>
        <w:ind w:left="0" w:right="2336" w:firstLine="0"/>
        <w:jc w:val="right"/>
      </w:pPr>
      <w:r>
        <w:rPr>
          <w:noProof/>
        </w:rPr>
        <w:lastRenderedPageBreak/>
        <w:drawing>
          <wp:inline distT="0" distB="0" distL="0" distR="0">
            <wp:extent cx="4785360" cy="2182495"/>
            <wp:effectExtent l="0" t="0" r="0" b="0"/>
            <wp:docPr id="30282" name="Picture 30282"/>
            <wp:cNvGraphicFramePr/>
            <a:graphic xmlns:a="http://schemas.openxmlformats.org/drawingml/2006/main">
              <a:graphicData uri="http://schemas.openxmlformats.org/drawingml/2006/picture">
                <pic:pic xmlns:pic="http://schemas.openxmlformats.org/drawingml/2006/picture">
                  <pic:nvPicPr>
                    <pic:cNvPr id="30282" name="Picture 30282"/>
                    <pic:cNvPicPr/>
                  </pic:nvPicPr>
                  <pic:blipFill>
                    <a:blip r:embed="rId629"/>
                    <a:stretch>
                      <a:fillRect/>
                    </a:stretch>
                  </pic:blipFill>
                  <pic:spPr>
                    <a:xfrm>
                      <a:off x="0" y="0"/>
                      <a:ext cx="4785360" cy="2182495"/>
                    </a:xfrm>
                    <a:prstGeom prst="rect">
                      <a:avLst/>
                    </a:prstGeom>
                  </pic:spPr>
                </pic:pic>
              </a:graphicData>
            </a:graphic>
          </wp:inline>
        </w:drawing>
      </w:r>
      <w:r>
        <w:t xml:space="preserve"> </w:t>
      </w:r>
    </w:p>
    <w:p w:rsidR="002C0F56" w:rsidRDefault="00E67C6E">
      <w:pPr>
        <w:pStyle w:val="4"/>
        <w:ind w:left="1181" w:right="1374"/>
      </w:pPr>
      <w:r>
        <w:t xml:space="preserve">Рис. 1. Процесс маркетингового планирования </w:t>
      </w:r>
    </w:p>
    <w:p w:rsidR="002C0F56" w:rsidRDefault="00E67C6E">
      <w:pPr>
        <w:ind w:left="165" w:right="873"/>
      </w:pPr>
      <w:r>
        <w:t>На первом этапе происходит оценка рынка и окружающей среды, определение рисков и возможностей предприятия, анализируется положение конкурентов на рынке. На втором этапе определяет</w:t>
      </w:r>
      <w:r>
        <w:t>ся доля рынка и целевые сегменты, направления достижений целей и повышения конкурентоспособности. Третий этап характеризуется принятием решений, которые касаются каналов распределения ассортимента продукции, ценовой стратегии, коммуникации, организации сбы</w:t>
      </w:r>
      <w:r>
        <w:t xml:space="preserve">та.  На четвертом этапе проводится маркетинговый мониторинг и совершенствуется маркетинговая программа и </w:t>
      </w:r>
    </w:p>
    <w:p w:rsidR="002C0F56" w:rsidRDefault="00E67C6E">
      <w:pPr>
        <w:spacing w:after="12"/>
        <w:ind w:left="165" w:right="302" w:firstLine="0"/>
      </w:pPr>
      <w:r>
        <w:t xml:space="preserve">стратегия. [5] </w:t>
      </w:r>
    </w:p>
    <w:p w:rsidR="002C0F56" w:rsidRDefault="00E67C6E">
      <w:pPr>
        <w:ind w:left="165" w:right="302"/>
      </w:pPr>
      <w:r>
        <w:t xml:space="preserve">На каждом из этапов маркетинговое исследование помогает выбрать оптимальное решение и выполняет три функции (табл. 2). </w:t>
      </w:r>
    </w:p>
    <w:p w:rsidR="002C0F56" w:rsidRDefault="00E67C6E">
      <w:pPr>
        <w:spacing w:after="0" w:line="259" w:lineRule="auto"/>
        <w:ind w:left="744" w:firstLine="0"/>
        <w:jc w:val="left"/>
      </w:pPr>
      <w:r>
        <w:rPr>
          <w:i/>
        </w:rPr>
        <w:t xml:space="preserve"> </w:t>
      </w:r>
    </w:p>
    <w:p w:rsidR="002C0F56" w:rsidRDefault="00E67C6E">
      <w:pPr>
        <w:spacing w:after="5" w:line="271" w:lineRule="auto"/>
        <w:ind w:left="2355" w:right="396" w:hanging="10"/>
        <w:jc w:val="left"/>
      </w:pPr>
      <w:r>
        <w:rPr>
          <w:i/>
          <w:sz w:val="24"/>
        </w:rPr>
        <w:t xml:space="preserve">Таблица 2 - </w:t>
      </w:r>
      <w:r>
        <w:rPr>
          <w:sz w:val="24"/>
        </w:rPr>
        <w:t xml:space="preserve"> </w:t>
      </w:r>
      <w:r>
        <w:rPr>
          <w:b/>
          <w:sz w:val="24"/>
        </w:rPr>
        <w:t xml:space="preserve">Функции маркетингового исследования* </w:t>
      </w:r>
    </w:p>
    <w:tbl>
      <w:tblPr>
        <w:tblStyle w:val="TableGrid"/>
        <w:tblW w:w="9465" w:type="dxa"/>
        <w:tblInd w:w="72" w:type="dxa"/>
        <w:tblCellMar>
          <w:top w:w="9" w:type="dxa"/>
          <w:left w:w="0" w:type="dxa"/>
          <w:bottom w:w="0" w:type="dxa"/>
          <w:right w:w="0" w:type="dxa"/>
        </w:tblCellMar>
        <w:tblLook w:val="04A0" w:firstRow="1" w:lastRow="0" w:firstColumn="1" w:lastColumn="0" w:noHBand="0" w:noVBand="1"/>
      </w:tblPr>
      <w:tblGrid>
        <w:gridCol w:w="2093"/>
        <w:gridCol w:w="110"/>
        <w:gridCol w:w="2816"/>
        <w:gridCol w:w="1476"/>
        <w:gridCol w:w="2864"/>
        <w:gridCol w:w="106"/>
      </w:tblGrid>
      <w:tr w:rsidR="002C0F56">
        <w:trPr>
          <w:trHeight w:val="288"/>
        </w:trPr>
        <w:tc>
          <w:tcPr>
            <w:tcW w:w="20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center"/>
            </w:pPr>
            <w:r>
              <w:rPr>
                <w:sz w:val="24"/>
              </w:rPr>
              <w:t xml:space="preserve">Функция </w:t>
            </w:r>
          </w:p>
        </w:tc>
        <w:tc>
          <w:tcPr>
            <w:tcW w:w="7372" w:type="dxa"/>
            <w:gridSpan w:val="5"/>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Описание </w:t>
            </w:r>
          </w:p>
        </w:tc>
      </w:tr>
      <w:tr w:rsidR="002C0F56">
        <w:trPr>
          <w:trHeight w:val="281"/>
        </w:trPr>
        <w:tc>
          <w:tcPr>
            <w:tcW w:w="2093"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Описательная </w:t>
            </w:r>
          </w:p>
        </w:tc>
        <w:tc>
          <w:tcPr>
            <w:tcW w:w="110" w:type="dxa"/>
            <w:vMerge w:val="restart"/>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2816" w:type="dxa"/>
            <w:tcBorders>
              <w:top w:val="single" w:sz="4" w:space="0" w:color="000000"/>
              <w:left w:val="nil"/>
              <w:bottom w:val="nil"/>
              <w:right w:val="nil"/>
            </w:tcBorders>
            <w:shd w:val="clear" w:color="auto" w:fill="FFFFFA"/>
          </w:tcPr>
          <w:p w:rsidR="002C0F56" w:rsidRDefault="00E67C6E">
            <w:pPr>
              <w:spacing w:after="0" w:line="259" w:lineRule="auto"/>
              <w:ind w:left="0" w:firstLine="0"/>
            </w:pPr>
            <w:r>
              <w:rPr>
                <w:sz w:val="24"/>
              </w:rPr>
              <w:t>сбор и констатация фактов.</w:t>
            </w:r>
          </w:p>
        </w:tc>
        <w:tc>
          <w:tcPr>
            <w:tcW w:w="4446" w:type="dxa"/>
            <w:gridSpan w:val="3"/>
            <w:vMerge w:val="restart"/>
            <w:tcBorders>
              <w:top w:val="single" w:sz="4" w:space="0" w:color="000000"/>
              <w:left w:val="nil"/>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r>
      <w:tr w:rsidR="002C0F56">
        <w:trPr>
          <w:trHeight w:val="154"/>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nil"/>
            </w:tcBorders>
          </w:tcPr>
          <w:p w:rsidR="002C0F56" w:rsidRDefault="002C0F56">
            <w:pPr>
              <w:spacing w:after="160" w:line="259" w:lineRule="auto"/>
              <w:ind w:left="0" w:firstLine="0"/>
              <w:jc w:val="left"/>
            </w:pPr>
          </w:p>
        </w:tc>
        <w:tc>
          <w:tcPr>
            <w:tcW w:w="2816" w:type="dxa"/>
            <w:tcBorders>
              <w:top w:val="nil"/>
              <w:left w:val="nil"/>
              <w:bottom w:val="single" w:sz="4" w:space="0" w:color="000000"/>
              <w:right w:val="nil"/>
            </w:tcBorders>
          </w:tcPr>
          <w:p w:rsidR="002C0F56" w:rsidRDefault="002C0F56">
            <w:pPr>
              <w:spacing w:after="160" w:line="259" w:lineRule="auto"/>
              <w:ind w:left="0" w:firstLine="0"/>
              <w:jc w:val="left"/>
            </w:pPr>
          </w:p>
        </w:tc>
        <w:tc>
          <w:tcPr>
            <w:tcW w:w="0" w:type="auto"/>
            <w:gridSpan w:val="3"/>
            <w:vMerge/>
            <w:tcBorders>
              <w:top w:val="nil"/>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695"/>
        </w:trPr>
        <w:tc>
          <w:tcPr>
            <w:tcW w:w="20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Аналитическая </w:t>
            </w:r>
          </w:p>
        </w:tc>
        <w:tc>
          <w:tcPr>
            <w:tcW w:w="7372" w:type="dxa"/>
            <w:gridSpan w:val="5"/>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выявление причин в сложившейся ситуации. </w:t>
            </w:r>
          </w:p>
        </w:tc>
      </w:tr>
      <w:tr w:rsidR="002C0F56">
        <w:trPr>
          <w:trHeight w:val="280"/>
        </w:trPr>
        <w:tc>
          <w:tcPr>
            <w:tcW w:w="2093"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Прогнозная </w:t>
            </w:r>
          </w:p>
        </w:tc>
        <w:tc>
          <w:tcPr>
            <w:tcW w:w="110" w:type="dxa"/>
            <w:vMerge w:val="restart"/>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7156" w:type="dxa"/>
            <w:gridSpan w:val="3"/>
            <w:tcBorders>
              <w:top w:val="single" w:sz="4" w:space="0" w:color="000000"/>
              <w:left w:val="nil"/>
              <w:bottom w:val="nil"/>
              <w:right w:val="nil"/>
            </w:tcBorders>
            <w:shd w:val="clear" w:color="auto" w:fill="FFFFFA"/>
          </w:tcPr>
          <w:p w:rsidR="002C0F56" w:rsidRDefault="00E67C6E">
            <w:pPr>
              <w:spacing w:after="0" w:line="259" w:lineRule="auto"/>
              <w:ind w:left="0" w:firstLine="0"/>
            </w:pPr>
            <w:r>
              <w:rPr>
                <w:sz w:val="24"/>
              </w:rPr>
              <w:t xml:space="preserve"> использование первых двух функций для разработки научных </w:t>
            </w:r>
          </w:p>
        </w:tc>
        <w:tc>
          <w:tcPr>
            <w:tcW w:w="106" w:type="dxa"/>
            <w:vMerge w:val="restart"/>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1"/>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nil"/>
            </w:tcBorders>
          </w:tcPr>
          <w:p w:rsidR="002C0F56" w:rsidRDefault="002C0F56">
            <w:pPr>
              <w:spacing w:after="160" w:line="259" w:lineRule="auto"/>
              <w:ind w:left="0" w:firstLine="0"/>
              <w:jc w:val="left"/>
            </w:pPr>
          </w:p>
        </w:tc>
        <w:tc>
          <w:tcPr>
            <w:tcW w:w="4292" w:type="dxa"/>
            <w:gridSpan w:val="2"/>
            <w:tcBorders>
              <w:top w:val="nil"/>
              <w:left w:val="nil"/>
              <w:bottom w:val="single" w:sz="4" w:space="0" w:color="000000"/>
              <w:right w:val="nil"/>
            </w:tcBorders>
            <w:shd w:val="clear" w:color="auto" w:fill="FFFFFA"/>
          </w:tcPr>
          <w:p w:rsidR="002C0F56" w:rsidRDefault="00E67C6E">
            <w:pPr>
              <w:spacing w:after="0" w:line="259" w:lineRule="auto"/>
              <w:ind w:left="0" w:firstLine="0"/>
            </w:pPr>
            <w:r>
              <w:rPr>
                <w:sz w:val="24"/>
              </w:rPr>
              <w:t>перспектив развития изучаемого явления.</w:t>
            </w:r>
          </w:p>
        </w:tc>
        <w:tc>
          <w:tcPr>
            <w:tcW w:w="2864" w:type="dxa"/>
            <w:tcBorders>
              <w:top w:val="nil"/>
              <w:left w:val="nil"/>
              <w:bottom w:val="single" w:sz="4" w:space="0" w:color="000000"/>
              <w:right w:val="nil"/>
            </w:tcBorders>
          </w:tcPr>
          <w:p w:rsidR="002C0F56" w:rsidRDefault="00E67C6E">
            <w:pPr>
              <w:spacing w:after="0" w:line="259" w:lineRule="auto"/>
              <w:ind w:left="0" w:firstLine="0"/>
              <w:jc w:val="left"/>
            </w:pPr>
            <w:r>
              <w:rPr>
                <w:sz w:val="24"/>
              </w:rPr>
              <w:t xml:space="preserve"> </w:t>
            </w:r>
          </w:p>
        </w:tc>
        <w:tc>
          <w:tcPr>
            <w:tcW w:w="0" w:type="auto"/>
            <w:vMerge/>
            <w:tcBorders>
              <w:top w:val="nil"/>
              <w:left w:val="nil"/>
              <w:bottom w:val="single" w:sz="4" w:space="0" w:color="000000"/>
              <w:right w:val="single" w:sz="4" w:space="0" w:color="000000"/>
            </w:tcBorders>
          </w:tcPr>
          <w:p w:rsidR="002C0F56" w:rsidRDefault="002C0F56">
            <w:pPr>
              <w:spacing w:after="160" w:line="259" w:lineRule="auto"/>
              <w:ind w:left="0" w:firstLine="0"/>
              <w:jc w:val="left"/>
            </w:pPr>
          </w:p>
        </w:tc>
      </w:tr>
    </w:tbl>
    <w:p w:rsidR="002C0F56" w:rsidRDefault="00E67C6E">
      <w:pPr>
        <w:spacing w:after="0" w:line="259" w:lineRule="auto"/>
        <w:ind w:left="744" w:firstLine="0"/>
        <w:jc w:val="left"/>
      </w:pPr>
      <w:r>
        <w:t xml:space="preserve"> </w:t>
      </w:r>
    </w:p>
    <w:p w:rsidR="002C0F56" w:rsidRDefault="00E67C6E">
      <w:pPr>
        <w:ind w:left="165" w:right="868"/>
      </w:pPr>
      <w:r>
        <w:t xml:space="preserve">На макроуровне с помощью маркетингового исследования формируется информация о рыночной ситуации рынка, о закономерностях и тенденций его развития, о прогнозировании спроса. На микроуровне  </w:t>
      </w:r>
      <w:r>
        <w:t xml:space="preserve">предприятия маркетинговое исследование дает информацию о собственных возможностях предприятия, ее потенциала, о перспективе развития того сегмента рынка на котором оно действует.  </w:t>
      </w:r>
    </w:p>
    <w:p w:rsidR="002C0F56" w:rsidRDefault="00E67C6E">
      <w:pPr>
        <w:ind w:left="165" w:right="302"/>
      </w:pPr>
      <w:r>
        <w:lastRenderedPageBreak/>
        <w:t>Маркетинговая информационная система – система мероприятий по сбору, обрабо</w:t>
      </w:r>
      <w:r>
        <w:t xml:space="preserve">тки и предоставлению информации, необходимой для принятия </w:t>
      </w:r>
    </w:p>
    <w:p w:rsidR="002C0F56" w:rsidRDefault="00E67C6E">
      <w:pPr>
        <w:spacing w:after="12"/>
        <w:ind w:left="165" w:right="302" w:firstLine="0"/>
      </w:pPr>
      <w:r>
        <w:t xml:space="preserve">маркетингового решения. Она состоит из четырех частей. [2] </w:t>
      </w:r>
    </w:p>
    <w:p w:rsidR="002C0F56" w:rsidRDefault="00E67C6E">
      <w:pPr>
        <w:spacing w:after="2"/>
        <w:ind w:left="165" w:right="873"/>
      </w:pPr>
      <w:r>
        <w:t>Внутренняя система отчетности включает в себя получение информации о прибыли, убытке и других финансовых данных. Она формирует сведения о</w:t>
      </w:r>
      <w:r>
        <w:t xml:space="preserve">б объеме сбыта продукции предприятия, об уровне цен на товары и приносимой прибыли.  </w:t>
      </w:r>
    </w:p>
    <w:p w:rsidR="002C0F56" w:rsidRDefault="00E67C6E">
      <w:pPr>
        <w:ind w:left="165" w:right="302"/>
      </w:pPr>
      <w:r>
        <w:t xml:space="preserve">Разведывательная система маркетинга представляет собой информацию о конкурентах и потребителей предприятия, а также о доли рынка предприятия.  </w:t>
      </w:r>
    </w:p>
    <w:p w:rsidR="002C0F56" w:rsidRDefault="00E67C6E">
      <w:pPr>
        <w:spacing w:after="10"/>
        <w:ind w:left="165" w:right="865"/>
      </w:pPr>
      <w:r>
        <w:t>Система поддержки маркетин</w:t>
      </w:r>
      <w:r>
        <w:t xml:space="preserve">говых решений включает в себя математический и статистический аппарат, необходимый для принятия маркетинговых решений. [6] </w:t>
      </w:r>
    </w:p>
    <w:p w:rsidR="002C0F56" w:rsidRDefault="00E67C6E">
      <w:pPr>
        <w:ind w:left="165" w:right="874"/>
      </w:pPr>
      <w:r>
        <w:t>Маркетинговая информационная система имеет недостатки, так как велики первоначальные затраты времени и человеческих ресурсов, но так</w:t>
      </w:r>
      <w:r>
        <w:t xml:space="preserve">же МИС дает множество преимуществ (рис.2).  </w:t>
      </w:r>
    </w:p>
    <w:p w:rsidR="002C0F56" w:rsidRDefault="00E67C6E">
      <w:pPr>
        <w:tabs>
          <w:tab w:val="center" w:pos="5298"/>
          <w:tab w:val="center" w:pos="8990"/>
        </w:tabs>
        <w:spacing w:after="0" w:line="259" w:lineRule="auto"/>
        <w:ind w:left="0" w:firstLine="0"/>
        <w:jc w:val="left"/>
      </w:pPr>
      <w:r>
        <w:rPr>
          <w:rFonts w:ascii="Calibri" w:eastAsia="Calibri" w:hAnsi="Calibri" w:cs="Calibri"/>
          <w:sz w:val="22"/>
        </w:rPr>
        <w:tab/>
      </w:r>
      <w:r>
        <w:rPr>
          <w:noProof/>
        </w:rPr>
        <w:drawing>
          <wp:inline distT="0" distB="0" distL="0" distR="0">
            <wp:extent cx="4267708" cy="2060575"/>
            <wp:effectExtent l="0" t="0" r="0" b="0"/>
            <wp:docPr id="30448" name="Picture 30448"/>
            <wp:cNvGraphicFramePr/>
            <a:graphic xmlns:a="http://schemas.openxmlformats.org/drawingml/2006/main">
              <a:graphicData uri="http://schemas.openxmlformats.org/drawingml/2006/picture">
                <pic:pic xmlns:pic="http://schemas.openxmlformats.org/drawingml/2006/picture">
                  <pic:nvPicPr>
                    <pic:cNvPr id="30448" name="Picture 30448"/>
                    <pic:cNvPicPr/>
                  </pic:nvPicPr>
                  <pic:blipFill>
                    <a:blip r:embed="rId630"/>
                    <a:stretch>
                      <a:fillRect/>
                    </a:stretch>
                  </pic:blipFill>
                  <pic:spPr>
                    <a:xfrm>
                      <a:off x="0" y="0"/>
                      <a:ext cx="4267708" cy="2060575"/>
                    </a:xfrm>
                    <a:prstGeom prst="rect">
                      <a:avLst/>
                    </a:prstGeom>
                  </pic:spPr>
                </pic:pic>
              </a:graphicData>
            </a:graphic>
          </wp:inline>
        </w:drawing>
      </w:r>
      <w:r>
        <w:tab/>
        <w:t xml:space="preserve"> </w:t>
      </w:r>
    </w:p>
    <w:p w:rsidR="002C0F56" w:rsidRDefault="00E67C6E">
      <w:pPr>
        <w:spacing w:after="0" w:line="259" w:lineRule="auto"/>
        <w:ind w:left="744" w:firstLine="0"/>
        <w:jc w:val="left"/>
      </w:pPr>
      <w:r>
        <w:t xml:space="preserve"> </w:t>
      </w:r>
    </w:p>
    <w:p w:rsidR="002C0F56" w:rsidRDefault="00E67C6E">
      <w:pPr>
        <w:pStyle w:val="4"/>
        <w:ind w:left="1181" w:right="1859"/>
      </w:pPr>
      <w:r>
        <w:t xml:space="preserve">Рис.2.  Преимущества МИС </w:t>
      </w:r>
    </w:p>
    <w:p w:rsidR="002C0F56" w:rsidRDefault="00E67C6E">
      <w:pPr>
        <w:spacing w:after="0" w:line="259" w:lineRule="auto"/>
        <w:ind w:left="744" w:firstLine="0"/>
        <w:jc w:val="left"/>
      </w:pPr>
      <w:r>
        <w:t xml:space="preserve"> </w:t>
      </w:r>
    </w:p>
    <w:p w:rsidR="002C0F56" w:rsidRDefault="00E67C6E">
      <w:pPr>
        <w:spacing w:after="10"/>
        <w:ind w:left="165" w:right="869"/>
      </w:pPr>
      <w:r>
        <w:t>Таким образом, маркетинговая служба является связующим звеном между предприятием и внешней средой. С помощью маркетинговых исследований объектов программ маркетинга  маркетинго</w:t>
      </w:r>
      <w:r>
        <w:t xml:space="preserve">вая служба получает своевременное и достоверное информационное обеспечение  для дальней разработки или корректировки маркетингового плана.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93"/>
        </w:numPr>
        <w:ind w:right="302"/>
      </w:pPr>
      <w:r>
        <w:t xml:space="preserve">Абчук В.А. Азбука маркетинга [Текст] / В.А. Абчук. - СПб: Изд – во «Союз», 2011 г.-270с.   2 </w:t>
      </w:r>
    </w:p>
    <w:p w:rsidR="002C0F56" w:rsidRDefault="00E67C6E">
      <w:pPr>
        <w:numPr>
          <w:ilvl w:val="0"/>
          <w:numId w:val="93"/>
        </w:numPr>
        <w:ind w:right="302"/>
      </w:pPr>
      <w:r>
        <w:t xml:space="preserve">Березин, </w:t>
      </w:r>
      <w:r>
        <w:tab/>
        <w:t xml:space="preserve">И.С. </w:t>
      </w:r>
      <w:r>
        <w:tab/>
        <w:t xml:space="preserve">Маркетинговые </w:t>
      </w:r>
      <w:r>
        <w:tab/>
        <w:t xml:space="preserve">исследования: </w:t>
      </w:r>
      <w:r>
        <w:tab/>
        <w:t xml:space="preserve">Инструкция </w:t>
      </w:r>
      <w:r>
        <w:tab/>
        <w:t xml:space="preserve">по </w:t>
      </w:r>
    </w:p>
    <w:p w:rsidR="002C0F56" w:rsidRDefault="00E67C6E">
      <w:pPr>
        <w:ind w:left="165" w:right="302" w:firstLine="0"/>
      </w:pPr>
      <w:r>
        <w:t xml:space="preserve">применению [Текст]  / И.С. Березин. - Люберцы: Юрайт, 2012. - 383 c.  8 </w:t>
      </w:r>
    </w:p>
    <w:p w:rsidR="002C0F56" w:rsidRDefault="00E67C6E">
      <w:pPr>
        <w:numPr>
          <w:ilvl w:val="0"/>
          <w:numId w:val="93"/>
        </w:numPr>
        <w:ind w:right="302"/>
      </w:pPr>
      <w:r>
        <w:lastRenderedPageBreak/>
        <w:t xml:space="preserve">Галицкий, Е.Б. Маркетинговые исследования [Текст]   / Е.Б. Галицкий, Е.Г. Галицкая. - Люберцы: Юрайт, 2016. - 570 c. 11 </w:t>
      </w:r>
    </w:p>
    <w:p w:rsidR="002C0F56" w:rsidRDefault="00E67C6E">
      <w:pPr>
        <w:numPr>
          <w:ilvl w:val="0"/>
          <w:numId w:val="93"/>
        </w:numPr>
        <w:ind w:right="302"/>
      </w:pPr>
      <w:r>
        <w:t xml:space="preserve">Каменева, Н.Г. Маркетинговые исследования [Текст] / Н.Г.Каменева, В.А.Поляков. - М.: Вузовский учебник: ИНФРА-М, 2011. - 437 с  21 </w:t>
      </w:r>
    </w:p>
    <w:p w:rsidR="002C0F56" w:rsidRDefault="00E67C6E">
      <w:pPr>
        <w:numPr>
          <w:ilvl w:val="0"/>
          <w:numId w:val="93"/>
        </w:numPr>
        <w:ind w:right="302"/>
      </w:pPr>
      <w:r>
        <w:t xml:space="preserve">Карасев, А.П. Маркетинговые исследования и ситуационный анализ [Текст]   / А.П. Карасев. - Люберцы: Юрайт, 2016. - 323 c.   </w:t>
      </w:r>
      <w:r>
        <w:t xml:space="preserve">23 </w:t>
      </w:r>
    </w:p>
    <w:p w:rsidR="002C0F56" w:rsidRDefault="00E67C6E">
      <w:pPr>
        <w:numPr>
          <w:ilvl w:val="0"/>
          <w:numId w:val="93"/>
        </w:numPr>
        <w:spacing w:after="11"/>
        <w:ind w:right="302"/>
      </w:pPr>
      <w:r>
        <w:t xml:space="preserve">Куликов Ю.А., Финикова о.с. информационная среда маркетинговых исследований и основные принципы организации маркетинговых служб [Текст] / Ю.А. Куликов, О.С. Финикова // Успехи в химии и химических технологиях. – </w:t>
      </w:r>
    </w:p>
    <w:p w:rsidR="002C0F56" w:rsidRDefault="00E67C6E">
      <w:pPr>
        <w:spacing w:after="12"/>
        <w:ind w:left="165" w:right="302" w:firstLine="0"/>
      </w:pPr>
      <w:r>
        <w:t xml:space="preserve">2014.- № 3. – С. 130-135  57 </w:t>
      </w:r>
    </w:p>
    <w:p w:rsidR="002C0F56" w:rsidRDefault="00E67C6E">
      <w:pPr>
        <w:spacing w:after="26" w:line="259" w:lineRule="auto"/>
        <w:ind w:left="744" w:firstLine="0"/>
        <w:jc w:val="left"/>
      </w:pPr>
      <w:r>
        <w:t xml:space="preserve"> </w:t>
      </w:r>
    </w:p>
    <w:p w:rsidR="002C0F56" w:rsidRDefault="00E67C6E">
      <w:pPr>
        <w:pStyle w:val="1"/>
        <w:spacing w:after="11"/>
        <w:ind w:left="3954" w:right="862"/>
        <w:jc w:val="right"/>
      </w:pPr>
      <w:r>
        <w:t>Званько</w:t>
      </w:r>
      <w:r>
        <w:t xml:space="preserve"> Е.А.  </w:t>
      </w:r>
      <w:r>
        <w:rPr>
          <w:b w:val="0"/>
        </w:rPr>
        <w:t xml:space="preserve">Научный руководитель: Дунько Э.М., к.э.н., доц.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t xml:space="preserve"> </w:t>
      </w:r>
    </w:p>
    <w:p w:rsidR="002C0F56" w:rsidRDefault="00E67C6E">
      <w:pPr>
        <w:pStyle w:val="1"/>
        <w:spacing w:after="36" w:line="249" w:lineRule="auto"/>
        <w:ind w:left="464" w:right="302" w:firstLine="0"/>
        <w:jc w:val="both"/>
      </w:pPr>
      <w:r>
        <w:rPr>
          <w:b w:val="0"/>
        </w:rPr>
        <w:t xml:space="preserve">АВТОМАТИЗАЦИЯ ПРОЦЕССА МОНИТОРИНГА ВЗАИМОДЕЙСТВИЯ ОРГАНИЗАЦИИ С ВНЕШНИМИ КЛИЕНТАМИ  </w:t>
      </w:r>
    </w:p>
    <w:p w:rsidR="002C0F56" w:rsidRDefault="00E67C6E">
      <w:pPr>
        <w:spacing w:after="0"/>
        <w:ind w:left="165" w:right="302"/>
      </w:pPr>
      <w:r>
        <w:t xml:space="preserve">Эффективность деятельности организации напрямую зависит от отношения организации, в первую очередь, к внешнему клиенту. Кто же этот, внешний клиент? Внешний клиент – это лицо, которое обеспечивает финансовое благополучие организации с помощью приобретения </w:t>
      </w:r>
      <w:r>
        <w:t xml:space="preserve">товаров или услуг и не является сотрудником этой организации.  </w:t>
      </w:r>
    </w:p>
    <w:p w:rsidR="002C0F56" w:rsidRDefault="00E67C6E">
      <w:pPr>
        <w:spacing w:after="0"/>
        <w:ind w:left="165" w:right="873"/>
      </w:pPr>
      <w:r>
        <w:t>Каждая организация проводит свою политику взаимодействия с клиентами. Однако, общей целью деятельности этого направления является повышение эффективности работы с внешними клиентами, так как и</w:t>
      </w:r>
      <w:r>
        <w:t xml:space="preserve">менно клиентура организации формирует уровень спроса и предложения товаров и услуг, а соответственно, её уровень прибыли и успеха. </w:t>
      </w:r>
    </w:p>
    <w:p w:rsidR="002C0F56" w:rsidRDefault="00E67C6E">
      <w:pPr>
        <w:spacing w:after="2"/>
        <w:ind w:left="165" w:right="872"/>
      </w:pPr>
      <w:r>
        <w:t>Для обеспечения роста объема продаж и снижения издержек есть необходимость исследовать различные критерии для наиболее точно</w:t>
      </w:r>
      <w:r>
        <w:t xml:space="preserve">го расчета показателя эффективности работы с клиентами на каждом этапе взаимодействия, чтобы иметь возможность улучшить будущие результаты.  </w:t>
      </w:r>
    </w:p>
    <w:p w:rsidR="002C0F56" w:rsidRDefault="00E67C6E">
      <w:pPr>
        <w:spacing w:after="0"/>
        <w:ind w:left="165" w:right="868"/>
      </w:pPr>
      <w:r>
        <w:t>Показатель «Эффективность работы с клиентом» предназначен для контроля качества работы с клиентом. Данный показате</w:t>
      </w:r>
      <w:r>
        <w:t xml:space="preserve">ль может и должен применяться для основных и крупных клиентов компании, имеет смысл рекомендовать его к применению на промышленном рынке, где количество клиентов ограничено. </w:t>
      </w:r>
    </w:p>
    <w:p w:rsidR="002C0F56" w:rsidRDefault="00E67C6E">
      <w:pPr>
        <w:spacing w:after="0"/>
        <w:ind w:left="165" w:right="864"/>
      </w:pPr>
      <w:r>
        <w:t>Одним из основных видов сбора информации по качеству поставляемых организацией кл</w:t>
      </w:r>
      <w:r>
        <w:t xml:space="preserve">иенту продуктов или услуг является анкетирование клиентов. Целью проведения процедуры анкетирования является определение степени </w:t>
      </w:r>
      <w:r>
        <w:lastRenderedPageBreak/>
        <w:t xml:space="preserve">восприятия потребителем того, насколько выполнены его требования, путем получения и анализа информации и принятия на ее основе </w:t>
      </w:r>
      <w:r>
        <w:t xml:space="preserve">решений, направленных на наиболее полное удовлетворение требований и запросов потребителя. Оценка удовлетворенности клиента является показателем эффективности взаимодействия с ним. </w:t>
      </w:r>
    </w:p>
    <w:p w:rsidR="002C0F56" w:rsidRDefault="00E67C6E">
      <w:pPr>
        <w:spacing w:after="0"/>
        <w:ind w:left="165" w:right="873"/>
      </w:pPr>
      <w:r>
        <w:t>Для оценки удовлетворенности потребителя целесообразно проведение структур</w:t>
      </w:r>
      <w:r>
        <w:t xml:space="preserve">ированного опроса, когда все опрашиваемые потребители определенной группы отвечают на одни и те же вопросы, учитывающие специфику этой группы, что позволяет достичь сопоставимости информации, относящейся к разным объектам оценки. </w:t>
      </w:r>
    </w:p>
    <w:p w:rsidR="002C0F56" w:rsidRDefault="00E67C6E">
      <w:pPr>
        <w:ind w:left="165" w:right="871"/>
      </w:pPr>
      <w:r>
        <w:t>Некоторые организации обр</w:t>
      </w:r>
      <w:r>
        <w:t>абатывают и анализируют результаты анкетирования в ручном или в полуавтоматическом режиме. Обработка каждой анкеты аналитиком весьма трудоемкий и длительный процесс, так как количество анкет достаточно большое. Также здесь имеют место быть риски ошибок обр</w:t>
      </w:r>
      <w:r>
        <w:t>аботки данных, связанные с человеческими факторами, а именно, как физиологические риски, связанные с усталостью, различными заболеваниями аналитика, так и поведенческие немотивированные риски, причинами реализации которых являются решения и поступки работн</w:t>
      </w:r>
      <w:r>
        <w:t xml:space="preserve">ика, которые имеют нежелательные последствия, так называемые, «случайности».  </w:t>
      </w:r>
    </w:p>
    <w:p w:rsidR="002C0F56" w:rsidRDefault="00E67C6E">
      <w:pPr>
        <w:ind w:left="165" w:right="302"/>
      </w:pPr>
      <w:r>
        <w:t xml:space="preserve">Общая схема модели бизнес-процесса «Оценка удовлетворенности клиента» «как есть» представлена на Рисунок 1. </w:t>
      </w:r>
    </w:p>
    <w:p w:rsidR="002C0F56" w:rsidRDefault="00E67C6E">
      <w:pPr>
        <w:spacing w:after="0"/>
        <w:ind w:left="165" w:right="302"/>
      </w:pPr>
      <w:r>
        <w:t>Для снижения риска возникновения ошибки обработки и аналитики показателя эффективности, а также для уменьшения длительности процесса, существует необходимость создания автоматизированной системы мониторинга оценки эффективности с внешними клиентами. Систем</w:t>
      </w:r>
      <w:r>
        <w:t>а мониторинга оценки эффективности работы с внешними клиентами организации есть ни что иное, как одна из составляющих системы управления взаимоотношениями с клиентами или CRM-системы. Система управления взаимоотношениями с клиентами (CRM, CRM-система, сокр</w:t>
      </w:r>
      <w:r>
        <w:t>ащение от англ. «Customer Relationship Management») — прикладное программное обеспечение для организации, предназначенное для автоматизации стратегий взаимодействия с клиентами, в частности для повышения уровня продаж, оптимизации маркетинга и улучшения об</w:t>
      </w:r>
      <w:r>
        <w:t>служивания клиентов путём сохранения информации о клиентах и истории взаимоотношений с ними, установления и улучшения бизнес-процессов и последующего анализа результатов. CRM — модель взаимодействия, основанная на постулате, что центром всей философии бизн</w:t>
      </w:r>
      <w:r>
        <w:t>еса является клиент, а главными направлениями деятельности компании являются меры по обеспечению эффективного маркетинга, продаж и обслуживания клиентов. Поддержка этих бизнес-целей включает сбор, хранение и анализ информации о потребителях, поставщиках, п</w:t>
      </w:r>
      <w:r>
        <w:t xml:space="preserve">артнёрах, а также о внутренних процессах компании.  </w:t>
      </w:r>
    </w:p>
    <w:p w:rsidR="002C0F56" w:rsidRDefault="00E67C6E">
      <w:pPr>
        <w:spacing w:after="60" w:line="259" w:lineRule="auto"/>
        <w:ind w:left="790" w:firstLine="0"/>
        <w:jc w:val="left"/>
      </w:pPr>
      <w:r>
        <w:rPr>
          <w:noProof/>
        </w:rPr>
        <w:lastRenderedPageBreak/>
        <w:drawing>
          <wp:inline distT="0" distB="0" distL="0" distR="0">
            <wp:extent cx="4797552" cy="3133344"/>
            <wp:effectExtent l="0" t="0" r="0" b="0"/>
            <wp:docPr id="689294" name="Picture 689294"/>
            <wp:cNvGraphicFramePr/>
            <a:graphic xmlns:a="http://schemas.openxmlformats.org/drawingml/2006/main">
              <a:graphicData uri="http://schemas.openxmlformats.org/drawingml/2006/picture">
                <pic:pic xmlns:pic="http://schemas.openxmlformats.org/drawingml/2006/picture">
                  <pic:nvPicPr>
                    <pic:cNvPr id="689294" name="Picture 689294"/>
                    <pic:cNvPicPr/>
                  </pic:nvPicPr>
                  <pic:blipFill>
                    <a:blip r:embed="rId631"/>
                    <a:stretch>
                      <a:fillRect/>
                    </a:stretch>
                  </pic:blipFill>
                  <pic:spPr>
                    <a:xfrm>
                      <a:off x="0" y="0"/>
                      <a:ext cx="4797552" cy="3133344"/>
                    </a:xfrm>
                    <a:prstGeom prst="rect">
                      <a:avLst/>
                    </a:prstGeom>
                  </pic:spPr>
                </pic:pic>
              </a:graphicData>
            </a:graphic>
          </wp:inline>
        </w:drawing>
      </w:r>
    </w:p>
    <w:p w:rsidR="002C0F56" w:rsidRDefault="00E67C6E">
      <w:pPr>
        <w:spacing w:after="0" w:line="259" w:lineRule="auto"/>
        <w:ind w:left="744" w:firstLine="0"/>
        <w:jc w:val="left"/>
      </w:pPr>
      <w:r>
        <w:rPr>
          <w:b/>
        </w:rPr>
        <w:t xml:space="preserve"> </w:t>
      </w:r>
    </w:p>
    <w:p w:rsidR="002C0F56" w:rsidRDefault="00E67C6E">
      <w:pPr>
        <w:spacing w:after="5" w:line="271" w:lineRule="auto"/>
        <w:ind w:left="296" w:right="396" w:hanging="10"/>
        <w:jc w:val="left"/>
      </w:pPr>
      <w:r>
        <w:rPr>
          <w:b/>
          <w:sz w:val="24"/>
        </w:rPr>
        <w:t xml:space="preserve">Рисунок 1.- Модель бизнес-процесса «Оценка удовлетворенности клиента» "как есть" </w:t>
      </w:r>
    </w:p>
    <w:p w:rsidR="002C0F56" w:rsidRDefault="00E67C6E">
      <w:pPr>
        <w:spacing w:after="0" w:line="259" w:lineRule="auto"/>
        <w:ind w:left="744" w:firstLine="0"/>
        <w:jc w:val="left"/>
      </w:pPr>
      <w:r>
        <w:t xml:space="preserve"> </w:t>
      </w:r>
    </w:p>
    <w:p w:rsidR="002C0F56" w:rsidRDefault="00E67C6E">
      <w:pPr>
        <w:ind w:left="165" w:right="867"/>
      </w:pPr>
      <w:r>
        <w:t>Основной целью внедрения системы, как правило, ставится увеличение степени удовлетворённости клиентов за счёт анализа накопленной информации о клиентском поведении, регулирования тарифной политики, настройки инструментов маркетинга. Благодаря применению ав</w:t>
      </w:r>
      <w:r>
        <w:t>томатизированной централизованной обработки данных появляется возможность эффективно и с минимальным участием сотрудников учитывать индивидуальные потребности заказчиков, а за счёт оперативности обработки — осуществлять раннее выявление рисков потери клиен</w:t>
      </w:r>
      <w:r>
        <w:t>тов и потенциальных возможностей по их удержанию. [1] Этот подход подразумевает, что при взаимодействии с клиентом сотруднику компании доступна вся необходимая информация о взаимоотношениях с этим клиентом и решение принимается на основе этой информации (и</w:t>
      </w:r>
      <w:r>
        <w:t>нформация о решении, в свою очередь, тоже сохраняется). [2] Таким образом, объектом автоматизации является расчет оценки эффективности работы с внешними клиентами организации. На основании специфики предметной области и объекта автоматизации к системе мони</w:t>
      </w:r>
      <w:r>
        <w:t xml:space="preserve">торинга оценки эффективности работы с внешними клиентами организации выдвигаются следующие бизнес-требования - для организации очень важно: </w:t>
      </w:r>
    </w:p>
    <w:p w:rsidR="002C0F56" w:rsidRDefault="00E67C6E">
      <w:pPr>
        <w:numPr>
          <w:ilvl w:val="0"/>
          <w:numId w:val="94"/>
        </w:numPr>
        <w:spacing w:after="64"/>
        <w:ind w:right="446"/>
      </w:pPr>
      <w:r>
        <w:t>максимально точно и своевременно получать результаты расчетов показателей эффективности работы с клиентами чтобы от</w:t>
      </w:r>
      <w:r>
        <w:t xml:space="preserve">корректировать политику и направления своей деятельности и сохранять их для дальнейшего использования; </w:t>
      </w:r>
    </w:p>
    <w:p w:rsidR="002C0F56" w:rsidRDefault="00E67C6E">
      <w:pPr>
        <w:numPr>
          <w:ilvl w:val="0"/>
          <w:numId w:val="94"/>
        </w:numPr>
        <w:spacing w:after="60"/>
        <w:ind w:right="446"/>
      </w:pPr>
      <w:r>
        <w:lastRenderedPageBreak/>
        <w:t xml:space="preserve">возможность формирования отчетности и документации по определенным нормативным документам и выбранным параметрам, используя эти показатели; </w:t>
      </w:r>
    </w:p>
    <w:p w:rsidR="002C0F56" w:rsidRDefault="00E67C6E">
      <w:pPr>
        <w:numPr>
          <w:ilvl w:val="0"/>
          <w:numId w:val="94"/>
        </w:numPr>
        <w:spacing w:after="15" w:line="268" w:lineRule="auto"/>
        <w:ind w:right="446"/>
      </w:pPr>
      <w:r>
        <w:t>возможность</w:t>
      </w:r>
      <w:r>
        <w:t xml:space="preserve"> вывода на бумажный носитель полученных результатов; </w:t>
      </w:r>
    </w:p>
    <w:p w:rsidR="002C0F56" w:rsidRDefault="00E67C6E">
      <w:pPr>
        <w:numPr>
          <w:ilvl w:val="0"/>
          <w:numId w:val="94"/>
        </w:numPr>
        <w:spacing w:after="12"/>
        <w:ind w:right="446"/>
      </w:pPr>
      <w:r>
        <w:t xml:space="preserve">легкость в управлении и в обучаемости использованию системы; </w:t>
      </w:r>
    </w:p>
    <w:p w:rsidR="002C0F56" w:rsidRDefault="00E67C6E">
      <w:pPr>
        <w:numPr>
          <w:ilvl w:val="0"/>
          <w:numId w:val="94"/>
        </w:numPr>
        <w:ind w:right="446"/>
      </w:pPr>
      <w:r>
        <w:t xml:space="preserve">максимальная защищенность системы, так как в ней будут содержатся конфиденциальные данные. </w:t>
      </w:r>
    </w:p>
    <w:p w:rsidR="002C0F56" w:rsidRDefault="00E67C6E">
      <w:pPr>
        <w:ind w:left="165" w:right="302"/>
      </w:pPr>
      <w:r>
        <w:t>Таким образом, модель бизнес-процесса «Оценка уд</w:t>
      </w:r>
      <w:r>
        <w:t xml:space="preserve">овлетворенности клиента» «как будет» представлена на Рисунок 2. </w:t>
      </w:r>
    </w:p>
    <w:p w:rsidR="002C0F56" w:rsidRDefault="00E67C6E">
      <w:pPr>
        <w:spacing w:after="63" w:line="259" w:lineRule="auto"/>
        <w:ind w:left="790" w:firstLine="0"/>
        <w:jc w:val="left"/>
      </w:pPr>
      <w:r>
        <w:rPr>
          <w:noProof/>
        </w:rPr>
        <w:drawing>
          <wp:inline distT="0" distB="0" distL="0" distR="0">
            <wp:extent cx="4791457" cy="3151633"/>
            <wp:effectExtent l="0" t="0" r="0" b="0"/>
            <wp:docPr id="689296" name="Picture 689296"/>
            <wp:cNvGraphicFramePr/>
            <a:graphic xmlns:a="http://schemas.openxmlformats.org/drawingml/2006/main">
              <a:graphicData uri="http://schemas.openxmlformats.org/drawingml/2006/picture">
                <pic:pic xmlns:pic="http://schemas.openxmlformats.org/drawingml/2006/picture">
                  <pic:nvPicPr>
                    <pic:cNvPr id="689296" name="Picture 689296"/>
                    <pic:cNvPicPr/>
                  </pic:nvPicPr>
                  <pic:blipFill>
                    <a:blip r:embed="rId632"/>
                    <a:stretch>
                      <a:fillRect/>
                    </a:stretch>
                  </pic:blipFill>
                  <pic:spPr>
                    <a:xfrm>
                      <a:off x="0" y="0"/>
                      <a:ext cx="4791457" cy="3151633"/>
                    </a:xfrm>
                    <a:prstGeom prst="rect">
                      <a:avLst/>
                    </a:prstGeom>
                  </pic:spPr>
                </pic:pic>
              </a:graphicData>
            </a:graphic>
          </wp:inline>
        </w:drawing>
      </w:r>
    </w:p>
    <w:p w:rsidR="002C0F56" w:rsidRDefault="00E67C6E">
      <w:pPr>
        <w:spacing w:after="0" w:line="259" w:lineRule="auto"/>
        <w:ind w:left="744" w:firstLine="0"/>
        <w:jc w:val="left"/>
      </w:pPr>
      <w:r>
        <w:t xml:space="preserve"> </w:t>
      </w:r>
    </w:p>
    <w:p w:rsidR="002C0F56" w:rsidRDefault="00E67C6E">
      <w:pPr>
        <w:spacing w:after="5" w:line="271" w:lineRule="auto"/>
        <w:ind w:left="274" w:right="396" w:hanging="10"/>
        <w:jc w:val="left"/>
      </w:pPr>
      <w:r>
        <w:rPr>
          <w:b/>
          <w:sz w:val="24"/>
        </w:rPr>
        <w:t xml:space="preserve">Рисунок 2. Модель бизнес-процесса «Оценка удовлетворенности клиента» "как будет" </w:t>
      </w:r>
    </w:p>
    <w:p w:rsidR="002C0F56" w:rsidRDefault="00E67C6E">
      <w:pPr>
        <w:spacing w:after="0" w:line="259" w:lineRule="auto"/>
        <w:ind w:left="744" w:firstLine="0"/>
        <w:jc w:val="left"/>
      </w:pPr>
      <w:r>
        <w:t xml:space="preserve"> </w:t>
      </w:r>
    </w:p>
    <w:p w:rsidR="002C0F56" w:rsidRDefault="00E67C6E">
      <w:pPr>
        <w:spacing w:after="3"/>
        <w:ind w:left="165" w:right="873"/>
      </w:pPr>
      <w:r>
        <w:t>Создание автоматизированной системы мониторинга оценки эффективности взаимодействия с внешними клиентами позволит не только сократить длительность процесса и снизить риск человеческого фактора, но и поддержит принятие решения аналитика об исследуемом показ</w:t>
      </w:r>
      <w:r>
        <w:t xml:space="preserve">ателе. </w:t>
      </w:r>
    </w:p>
    <w:p w:rsidR="002C0F56" w:rsidRDefault="00E67C6E">
      <w:pPr>
        <w:spacing w:after="22"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95"/>
        </w:numPr>
        <w:ind w:right="865"/>
      </w:pPr>
      <w:r>
        <w:t xml:space="preserve">Система управления взаимоотношениями с клиентами, CRM // Википедия. Свободная энциклопедия [Электронный ресурс].  – 2017 – Режим доступа: </w:t>
      </w:r>
      <w:hyperlink r:id="rId633">
        <w:r>
          <w:t>https</w:t>
        </w:r>
      </w:hyperlink>
      <w:hyperlink r:id="rId634">
        <w:r>
          <w:t>://</w:t>
        </w:r>
      </w:hyperlink>
      <w:hyperlink r:id="rId635">
        <w:r>
          <w:t>ru</w:t>
        </w:r>
      </w:hyperlink>
      <w:hyperlink r:id="rId636">
        <w:r>
          <w:t>.</w:t>
        </w:r>
      </w:hyperlink>
      <w:hyperlink r:id="rId637">
        <w:r>
          <w:t>wikipedia</w:t>
        </w:r>
      </w:hyperlink>
      <w:hyperlink r:id="rId638">
        <w:r>
          <w:t>.</w:t>
        </w:r>
      </w:hyperlink>
      <w:hyperlink r:id="rId639">
        <w:r>
          <w:t>org</w:t>
        </w:r>
      </w:hyperlink>
      <w:hyperlink r:id="rId640">
        <w:r>
          <w:t>/</w:t>
        </w:r>
      </w:hyperlink>
      <w:hyperlink r:id="rId641">
        <w:r>
          <w:t xml:space="preserve">wiki/Система_управления_взаимоотношениями_с_клиета </w:t>
        </w:r>
      </w:hyperlink>
      <w:hyperlink r:id="rId642">
        <w:r>
          <w:t>ми</w:t>
        </w:r>
      </w:hyperlink>
      <w:hyperlink r:id="rId643">
        <w:r>
          <w:t xml:space="preserve"> </w:t>
        </w:r>
      </w:hyperlink>
      <w:r>
        <w:t xml:space="preserve">Дата доступа: 09.05.2017 </w:t>
      </w:r>
    </w:p>
    <w:p w:rsidR="002C0F56" w:rsidRDefault="00E67C6E">
      <w:pPr>
        <w:numPr>
          <w:ilvl w:val="0"/>
          <w:numId w:val="95"/>
        </w:numPr>
        <w:ind w:right="865"/>
      </w:pPr>
      <w:r>
        <w:lastRenderedPageBreak/>
        <w:t xml:space="preserve">Программное обеспечение класса CRM // СофтБаланс [Электронный ресурс].  – 2017 – Режим доступа: </w:t>
      </w:r>
      <w:hyperlink r:id="rId644">
        <w:r>
          <w:t>https</w:t>
        </w:r>
      </w:hyperlink>
      <w:hyperlink r:id="rId645">
        <w:r>
          <w:t>://</w:t>
        </w:r>
      </w:hyperlink>
      <w:hyperlink r:id="rId646">
        <w:r>
          <w:t>sb</w:t>
        </w:r>
      </w:hyperlink>
      <w:hyperlink r:id="rId647">
        <w:r>
          <w:t>-</w:t>
        </w:r>
      </w:hyperlink>
      <w:hyperlink r:id="rId648">
        <w:r>
          <w:t>vnedr</w:t>
        </w:r>
      </w:hyperlink>
      <w:hyperlink r:id="rId649">
        <w:r>
          <w:t>.</w:t>
        </w:r>
      </w:hyperlink>
      <w:hyperlink r:id="rId650">
        <w:r>
          <w:t>ru</w:t>
        </w:r>
      </w:hyperlink>
      <w:hyperlink r:id="rId651">
        <w:r>
          <w:t>/</w:t>
        </w:r>
      </w:hyperlink>
      <w:hyperlink r:id="rId652">
        <w:r>
          <w:t>about</w:t>
        </w:r>
      </w:hyperlink>
      <w:hyperlink r:id="rId653">
        <w:r>
          <w:t>/</w:t>
        </w:r>
      </w:hyperlink>
      <w:hyperlink r:id="rId654">
        <w:r>
          <w:t>publication</w:t>
        </w:r>
      </w:hyperlink>
      <w:hyperlink r:id="rId655">
        <w:r>
          <w:t>/12468/</w:t>
        </w:r>
      </w:hyperlink>
      <w:hyperlink r:id="rId656">
        <w:r>
          <w:t xml:space="preserve"> </w:t>
        </w:r>
      </w:hyperlink>
      <w:r>
        <w:t xml:space="preserve">Дата доступа: 09.05.2017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Зенкевич В.В. </w:t>
      </w:r>
      <w:r>
        <w:rPr>
          <w:b w:val="0"/>
        </w:rPr>
        <w:t xml:space="preserve">Научный руководитель: Шаврук Е.Ю. </w:t>
      </w:r>
    </w:p>
    <w:p w:rsidR="002C0F56" w:rsidRDefault="00E67C6E">
      <w:pPr>
        <w:spacing w:after="0" w:line="267" w:lineRule="auto"/>
        <w:ind w:left="905" w:right="860" w:hanging="10"/>
        <w:jc w:val="right"/>
      </w:pPr>
      <w:r>
        <w:rPr>
          <w:i/>
        </w:rPr>
        <w:t xml:space="preserve">Белорусский государственный экономический университет </w:t>
      </w:r>
    </w:p>
    <w:p w:rsidR="002C0F56" w:rsidRDefault="00E67C6E">
      <w:pPr>
        <w:spacing w:after="30" w:line="259" w:lineRule="auto"/>
        <w:ind w:left="744" w:firstLine="0"/>
        <w:jc w:val="left"/>
      </w:pPr>
      <w:r>
        <w:t xml:space="preserve"> </w:t>
      </w:r>
    </w:p>
    <w:p w:rsidR="002C0F56" w:rsidRDefault="00E67C6E">
      <w:pPr>
        <w:pStyle w:val="1"/>
        <w:spacing w:after="15" w:line="271" w:lineRule="auto"/>
        <w:ind w:left="786" w:right="0"/>
        <w:jc w:val="left"/>
      </w:pPr>
      <w:r>
        <w:t xml:space="preserve">ЭКОНОМИЧЕСКИЕ АСПЕКТЫ МАЙНИНГА КРИПТОВАЛЮТ </w:t>
      </w:r>
    </w:p>
    <w:p w:rsidR="002C0F56" w:rsidRDefault="00E67C6E">
      <w:pPr>
        <w:spacing w:after="0" w:line="259" w:lineRule="auto"/>
        <w:ind w:left="744" w:firstLine="0"/>
        <w:jc w:val="left"/>
      </w:pPr>
      <w:r>
        <w:rPr>
          <w:b/>
        </w:rPr>
        <w:t xml:space="preserve"> </w:t>
      </w:r>
    </w:p>
    <w:p w:rsidR="002C0F56" w:rsidRDefault="00E67C6E">
      <w:pPr>
        <w:spacing w:after="0"/>
        <w:ind w:left="165" w:right="868"/>
      </w:pPr>
      <w:r>
        <w:t>Развитие человечества невозможно представить без денег. На всех этапах истории в качестве денег использовались различные предметы: камни, кости, соль, рис и, несомненно, монеты и купюры. Развитие информационных технологий обусловило появление и электронных</w:t>
      </w:r>
      <w:r>
        <w:t xml:space="preserve"> денег. В настоящее время практически невозможно представить свой кошелек без пластиковой карточки. Однако и электронные деньги могут уступить лидирующую позицию новым деньгам – криптовалютам.   </w:t>
      </w:r>
    </w:p>
    <w:p w:rsidR="002C0F56" w:rsidRDefault="00E67C6E">
      <w:pPr>
        <w:ind w:left="165" w:right="867"/>
      </w:pPr>
      <w:r>
        <w:t>Данный вид денег существует достаточно долгое время. Некотор</w:t>
      </w:r>
      <w:r>
        <w:t>ые проявляют огромный интерес к нему, другие не понимают, о чем идет речь. Что же такое криптовалюта? Криптовалюта – это защищенные</w:t>
      </w:r>
      <w:hyperlink r:id="rId657">
        <w:r>
          <w:t xml:space="preserve"> </w:t>
        </w:r>
      </w:hyperlink>
      <w:hyperlink r:id="rId658">
        <w:r>
          <w:t>криптографическими</w:t>
        </w:r>
      </w:hyperlink>
      <w:hyperlink r:id="rId659">
        <w:r>
          <w:t xml:space="preserve"> </w:t>
        </w:r>
      </w:hyperlink>
      <w:r>
        <w:t xml:space="preserve">способами электронные средства платежа </w:t>
      </w:r>
    </w:p>
    <w:p w:rsidR="002C0F56" w:rsidRDefault="00E67C6E">
      <w:pPr>
        <w:spacing w:after="12"/>
        <w:ind w:left="165" w:right="302" w:firstLine="0"/>
      </w:pPr>
      <w:r>
        <w:t xml:space="preserve">[1].  </w:t>
      </w:r>
    </w:p>
    <w:p w:rsidR="002C0F56" w:rsidRDefault="00E67C6E">
      <w:pPr>
        <w:ind w:left="165" w:right="870"/>
      </w:pPr>
      <w:r>
        <w:t xml:space="preserve">Процесс создания криптовалюты является сложным и трудоемким. Создаются такие монеты путем достаточно сложных математических вычислений на компьютерном оборудовании, обладающем высокой мощностью. В основе криптовалюты лежит код, однозначно идентифицирующий </w:t>
      </w:r>
      <w:r>
        <w:t>каждую единицу. Это значит, что единицы не могут быть продублированы, не могут иметь копии. По большому счету, «цифровые деньги» не имеют особенных отличий от обычных денег в электронном виде. Главное отличие заключается в следующем: для того, чтобы обычны</w:t>
      </w:r>
      <w:r>
        <w:t>е деньги появились на счету в электронном виде, необходимо, чтобы они были внесены на счет в материальном выражении; криптовалюта же эмитируется непосредственно в сети. Существенным ее преимуществом является то, что криптовалюта не подлежит инфляции и эмит</w:t>
      </w:r>
      <w:r>
        <w:t xml:space="preserve">ируется в ограниченном количестве. Несмотря на различия с реальной валютой, криптовалюте также принадлежат ее свойства: криптовалюту можно зарабатывать, обменивать, осуществлять транзакции. </w:t>
      </w:r>
    </w:p>
    <w:p w:rsidR="002C0F56" w:rsidRDefault="00E67C6E">
      <w:pPr>
        <w:spacing w:after="57"/>
        <w:ind w:left="744" w:right="302" w:firstLine="0"/>
      </w:pPr>
      <w:r>
        <w:t xml:space="preserve">В итоге можно выделить следующие способы добычи криптовалют: </w:t>
      </w:r>
    </w:p>
    <w:p w:rsidR="002C0F56" w:rsidRDefault="00E67C6E">
      <w:pPr>
        <w:numPr>
          <w:ilvl w:val="0"/>
          <w:numId w:val="96"/>
        </w:numPr>
        <w:spacing w:after="12"/>
        <w:ind w:right="302" w:firstLine="0"/>
      </w:pPr>
      <w:r>
        <w:t>май</w:t>
      </w:r>
      <w:r>
        <w:t xml:space="preserve">нинг; </w:t>
      </w:r>
    </w:p>
    <w:p w:rsidR="002C0F56" w:rsidRDefault="00E67C6E">
      <w:pPr>
        <w:numPr>
          <w:ilvl w:val="0"/>
          <w:numId w:val="96"/>
        </w:numPr>
        <w:spacing w:after="12"/>
        <w:ind w:right="302" w:firstLine="0"/>
      </w:pPr>
      <w:r>
        <w:lastRenderedPageBreak/>
        <w:t xml:space="preserve">покупка; </w:t>
      </w:r>
    </w:p>
    <w:p w:rsidR="002C0F56" w:rsidRDefault="00E67C6E">
      <w:pPr>
        <w:numPr>
          <w:ilvl w:val="0"/>
          <w:numId w:val="96"/>
        </w:numPr>
        <w:spacing w:after="8"/>
        <w:ind w:right="302" w:firstLine="0"/>
      </w:pPr>
      <w:r>
        <w:t xml:space="preserve">обмен; </w:t>
      </w:r>
      <w:r>
        <w:rPr>
          <w:rFonts w:ascii="Segoe UI Symbol" w:eastAsia="Segoe UI Symbol" w:hAnsi="Segoe UI Symbol" w:cs="Segoe UI Symbol"/>
        </w:rPr>
        <w:t>•</w:t>
      </w:r>
      <w:r>
        <w:rPr>
          <w:rFonts w:ascii="Arial" w:eastAsia="Arial" w:hAnsi="Arial" w:cs="Arial"/>
        </w:rPr>
        <w:t xml:space="preserve"> </w:t>
      </w:r>
      <w:r>
        <w:t xml:space="preserve">выйгрыш. </w:t>
      </w:r>
    </w:p>
    <w:p w:rsidR="002C0F56" w:rsidRDefault="00E67C6E">
      <w:pPr>
        <w:spacing w:after="4"/>
        <w:ind w:left="165" w:right="867"/>
      </w:pPr>
      <w:r>
        <w:t xml:space="preserve">В общем смысле майнинг цифровых монет – </w:t>
      </w:r>
      <w:r>
        <w:t>это добыча криптовалют в результате расшифровки определенного числа блоков. Специфика криптовалюты такова, что предугадать ее курс сложно: все зависит лишь от спроса и предложения. Изначально ее стоимость складывается из затрат на ее добычу (например, затр</w:t>
      </w:r>
      <w:r>
        <w:t>ат на электроэнергию). Именно поэтому зачастую майнинг может приносить убыток. К примеру, небезызвестная криптовалюта bitcoin за всю историю своего существования претерпела немало взлетов и падений. 2 октября 2013 года – день, который олицетворяет существе</w:t>
      </w:r>
      <w:r>
        <w:t>нное падение биткоина (с $266 до $109), произошедшее в связи с арестом торговой площадки Silk Road. Несмотря на это уже к ноябрю 2013 г. стоимость одного биткоина возростает до $700, в следующую же неделю курс поднялся до небывалой отметки в $1242.  Кажетс</w:t>
      </w:r>
      <w:r>
        <w:t>я, в тот день раскрылся действительный потенциал и значимость этой валюты. Однако к 5 декабря стоимость упала до $1000, а к 17-му числу снизилась почти вдвое, и составляла ниже $600. Данное падение курса было вызвано запретом китайского Центробанка финансо</w:t>
      </w:r>
      <w:r>
        <w:t>вым учреждениям работать с биткоином. Именно такие меры отражают потенциальную возможность биткоина повлиять на финансовую стабильность Китая, однако на сегодняшний день Китай сохраняет за собой статус крупнейшего bitcoin-трейдера, и 80% транзакций соверша</w:t>
      </w:r>
      <w:r>
        <w:t xml:space="preserve">ется именно в этой стране.[2] </w:t>
      </w:r>
    </w:p>
    <w:p w:rsidR="002C0F56" w:rsidRDefault="00E67C6E">
      <w:pPr>
        <w:ind w:left="165" w:right="302"/>
      </w:pPr>
      <w:r>
        <w:t xml:space="preserve">Непосредственно процесс майнинга заключается в выполнении следующих действий: </w:t>
      </w:r>
    </w:p>
    <w:p w:rsidR="002C0F56" w:rsidRDefault="00E67C6E">
      <w:pPr>
        <w:numPr>
          <w:ilvl w:val="0"/>
          <w:numId w:val="97"/>
        </w:numPr>
        <w:ind w:right="302"/>
      </w:pPr>
      <w:r>
        <w:t xml:space="preserve">Майнер запускает в генерацию случайно подобранный набор цифр. </w:t>
      </w:r>
    </w:p>
    <w:p w:rsidR="002C0F56" w:rsidRDefault="00E67C6E">
      <w:pPr>
        <w:numPr>
          <w:ilvl w:val="0"/>
          <w:numId w:val="97"/>
        </w:numPr>
        <w:ind w:right="302"/>
      </w:pPr>
      <w:r>
        <w:t xml:space="preserve">Данные попадают в сеть и подвергаются обработке. </w:t>
      </w:r>
    </w:p>
    <w:p w:rsidR="002C0F56" w:rsidRDefault="00E67C6E">
      <w:pPr>
        <w:numPr>
          <w:ilvl w:val="0"/>
          <w:numId w:val="97"/>
        </w:numPr>
        <w:ind w:right="302"/>
      </w:pPr>
      <w:r>
        <w:t>Проводится сортировка криптомонет</w:t>
      </w:r>
      <w:r>
        <w:t xml:space="preserve"> по блокам. </w:t>
      </w:r>
    </w:p>
    <w:p w:rsidR="002C0F56" w:rsidRDefault="00E67C6E">
      <w:pPr>
        <w:numPr>
          <w:ilvl w:val="0"/>
          <w:numId w:val="97"/>
        </w:numPr>
        <w:ind w:right="302"/>
      </w:pPr>
      <w:r>
        <w:t xml:space="preserve">Далее осуществляется подбор уникального ключа (хэша), представляющего собой буквенно-цифровой код из символов разных регистров. </w:t>
      </w:r>
    </w:p>
    <w:p w:rsidR="002C0F56" w:rsidRDefault="00E67C6E">
      <w:pPr>
        <w:numPr>
          <w:ilvl w:val="0"/>
          <w:numId w:val="97"/>
        </w:numPr>
        <w:ind w:right="302"/>
      </w:pPr>
      <w:r>
        <w:t>Биткоин-сеть принимает образовавшийся код, это означает, что задача решена. В результате майнер получает вознаграж</w:t>
      </w:r>
      <w:r>
        <w:t xml:space="preserve">дение. </w:t>
      </w:r>
    </w:p>
    <w:p w:rsidR="002C0F56" w:rsidRDefault="00E67C6E">
      <w:pPr>
        <w:numPr>
          <w:ilvl w:val="0"/>
          <w:numId w:val="97"/>
        </w:numPr>
        <w:ind w:right="302"/>
      </w:pPr>
      <w:r>
        <w:t xml:space="preserve">Каждый очередной хэш соединяется неразрывной цепочкой с предыдущим. Этот принцип называется блокчейном.[3] </w:t>
      </w:r>
    </w:p>
    <w:p w:rsidR="002C0F56" w:rsidRDefault="00E67C6E">
      <w:pPr>
        <w:spacing w:after="0"/>
        <w:ind w:left="165" w:right="870"/>
      </w:pPr>
      <w:r>
        <w:t>Расшифровка блоков осуществляется при помощи пользовательского или специализированного оборудования, так называемого «железа». С каждой ново</w:t>
      </w:r>
      <w:r>
        <w:t xml:space="preserve">й выпущенной единицей криптоденег сложность расшифровки увеличивается, а это, соответственно, уменьшает потенциальную прибыль майнера.  </w:t>
      </w:r>
    </w:p>
    <w:p w:rsidR="002C0F56" w:rsidRDefault="00E67C6E">
      <w:pPr>
        <w:ind w:left="165" w:right="864"/>
      </w:pPr>
      <w:r>
        <w:t>Доходность майнинга напрямую зависит от текущего уровня сложности, возможностей железа и курса определенной криптовалют</w:t>
      </w:r>
      <w:r>
        <w:t xml:space="preserve">ы. Чтобы разобраться, </w:t>
      </w:r>
      <w:r>
        <w:lastRenderedPageBreak/>
        <w:t xml:space="preserve">как майнить криптовалюту, не требуется никаких математических знаний – всё делает компьютер. Сложность состоит лишь в том, чтобы использовать энергозатратные компьютеры.  </w:t>
      </w:r>
    </w:p>
    <w:p w:rsidR="002C0F56" w:rsidRDefault="00E67C6E">
      <w:pPr>
        <w:spacing w:after="0"/>
        <w:ind w:left="165" w:right="874"/>
      </w:pPr>
      <w:r>
        <w:t>Несмотря на то, что она только начала зарождаться как система,</w:t>
      </w:r>
      <w:r>
        <w:t xml:space="preserve"> криптовалюта уже довольно хорошо зарекомендовала себя. Пользователи по достоинству оценили степень защищённости сделок и хранения виртуальных денег, а также удобство их использования, поэтому цены на популярную криптовалюту со временем будут только расти.</w:t>
      </w:r>
      <w:r>
        <w:t xml:space="preserve">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spacing w:after="0"/>
        <w:ind w:left="165" w:right="865"/>
      </w:pPr>
      <w:r>
        <w:t xml:space="preserve">1. Биткоин. История и график стоимости криптовалюты. [Электронный ресурс]. Режим доступа: http://smartmoney.today/blogs/267-bitkoin-istorija-igrafik-kursa-stoimosti-kriptovalyuty.html </w:t>
      </w:r>
      <w:r>
        <w:t xml:space="preserve">2. Майнинг криптовалюты. [Электронный ресурс]. Режим доступа: </w:t>
      </w:r>
    </w:p>
    <w:p w:rsidR="002C0F56" w:rsidRDefault="00E67C6E">
      <w:pPr>
        <w:ind w:left="165" w:right="302" w:firstLine="0"/>
      </w:pPr>
      <w:r>
        <w:t xml:space="preserve">http://mbfinance.ru/investitsii/kriptovalyuty/majning-kriptovalyuty/ </w:t>
      </w:r>
    </w:p>
    <w:p w:rsidR="002C0F56" w:rsidRDefault="00E67C6E">
      <w:pPr>
        <w:ind w:left="744" w:right="302" w:firstLine="0"/>
      </w:pPr>
      <w:r>
        <w:t xml:space="preserve">3. Обсуждение: криптовалюта. [Электронный ресурс]. Режим доступа: </w:t>
      </w:r>
    </w:p>
    <w:p w:rsidR="002C0F56" w:rsidRDefault="00E67C6E">
      <w:pPr>
        <w:spacing w:after="12"/>
        <w:ind w:left="165" w:right="302" w:firstLine="0"/>
      </w:pPr>
      <w:r>
        <w:t xml:space="preserve">https://ru.wikipedia.org/wiki/Обсуждение:криптовалюта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11"/>
        <w:ind w:left="4005" w:right="862"/>
        <w:jc w:val="right"/>
      </w:pPr>
      <w:r>
        <w:t xml:space="preserve">Иларионова В. С.  </w:t>
      </w:r>
      <w:r>
        <w:rPr>
          <w:b w:val="0"/>
        </w:rPr>
        <w:t xml:space="preserve">Научный руководитель: Булкин В.И., к.т.н., доц.  </w:t>
      </w:r>
    </w:p>
    <w:p w:rsidR="002C0F56" w:rsidRDefault="00E67C6E">
      <w:pPr>
        <w:spacing w:after="0" w:line="267" w:lineRule="auto"/>
        <w:ind w:left="905" w:right="860" w:hanging="10"/>
        <w:jc w:val="right"/>
      </w:pPr>
      <w:r>
        <w:rPr>
          <w:i/>
        </w:rPr>
        <w:t xml:space="preserve">Макеевский экономико-гуманитарный институт </w:t>
      </w:r>
    </w:p>
    <w:p w:rsidR="002C0F56" w:rsidRDefault="00E67C6E">
      <w:pPr>
        <w:spacing w:after="30" w:line="259" w:lineRule="auto"/>
        <w:ind w:left="744" w:firstLine="0"/>
        <w:jc w:val="left"/>
      </w:pPr>
      <w:r>
        <w:t xml:space="preserve"> </w:t>
      </w:r>
    </w:p>
    <w:p w:rsidR="002C0F56" w:rsidRDefault="00E67C6E">
      <w:pPr>
        <w:pStyle w:val="1"/>
        <w:spacing w:after="15" w:line="271" w:lineRule="auto"/>
        <w:ind w:left="542" w:right="0" w:hanging="351"/>
        <w:jc w:val="left"/>
      </w:pPr>
      <w:r>
        <w:t xml:space="preserve">ИСПОЛЬЗОВАНИЕ МЕТОДА КОМПАРАТОРНОЙ ИДЕНТИФИКАЦИИ ЗНАНИЙ ДЛЯ СОВЕРШЕНСТВОВАНИЯ УЧЕБНОГО ПРОЦЕССА </w:t>
      </w:r>
    </w:p>
    <w:p w:rsidR="002C0F56" w:rsidRDefault="00E67C6E">
      <w:pPr>
        <w:spacing w:after="0" w:line="259" w:lineRule="auto"/>
        <w:ind w:left="744" w:firstLine="0"/>
        <w:jc w:val="left"/>
      </w:pPr>
      <w:r>
        <w:t xml:space="preserve"> </w:t>
      </w:r>
    </w:p>
    <w:p w:rsidR="002C0F56" w:rsidRDefault="00E67C6E">
      <w:pPr>
        <w:spacing w:after="0"/>
        <w:ind w:left="165" w:right="866"/>
      </w:pPr>
      <w:r>
        <w:t>Целью данного доклада является обсуждение практических рекомендаций по совершенствованию технологии приобретения знаний на основе алгоритмов приобретения и обновления знаний. Согласно [1] смысл обучения поясняется так: «в процессе повторения однотипных экс</w:t>
      </w:r>
      <w:r>
        <w:t xml:space="preserve">периментов методом проб и ошибок или экспериментов с одной и той же исходной совокупностью данных происходит модификация системы, которая при этом демонстрирует на каждом этапе экспериментов лучшие результаты, чем на предыдущем этапе». </w:t>
      </w:r>
    </w:p>
    <w:p w:rsidR="002C0F56" w:rsidRDefault="00E67C6E">
      <w:pPr>
        <w:spacing w:after="10"/>
        <w:ind w:left="165" w:right="864"/>
      </w:pPr>
      <w:r>
        <w:t>Для математического</w:t>
      </w:r>
      <w:r>
        <w:t xml:space="preserve"> описания процесса приобретения знаний (запоминания), вводится формальное понятие эталона знаний. Мы условились, что </w:t>
      </w:r>
      <w:r>
        <w:rPr>
          <w:i/>
        </w:rPr>
        <w:t>Х</w:t>
      </w:r>
      <w:r>
        <w:t xml:space="preserve"> – это эталон знаний. Мы также договорились, что в качестве эталона знаний могут выступать знания, представленные в текстовой форме (учебн</w:t>
      </w:r>
      <w:r>
        <w:t xml:space="preserve">ый материал </w:t>
      </w:r>
      <w:r>
        <w:lastRenderedPageBreak/>
        <w:t xml:space="preserve">по различным дисциплинам), в аудио форме (лекции в аудитории), в графической форме (схемы, чертежи, графики, диаграммы) и т.д. Ранее также </w:t>
      </w:r>
    </w:p>
    <w:p w:rsidR="002C0F56" w:rsidRDefault="00E67C6E">
      <w:pPr>
        <w:spacing w:after="76" w:line="259" w:lineRule="auto"/>
        <w:ind w:left="6776" w:firstLine="0"/>
        <w:jc w:val="left"/>
      </w:pPr>
      <w:r>
        <w:rPr>
          <w:rFonts w:ascii="Calibri" w:eastAsia="Calibri" w:hAnsi="Calibri" w:cs="Calibri"/>
          <w:noProof/>
          <w:sz w:val="22"/>
        </w:rPr>
        <mc:AlternateContent>
          <mc:Choice Requires="wpg">
            <w:drawing>
              <wp:inline distT="0" distB="0" distL="0" distR="0">
                <wp:extent cx="191083" cy="8479"/>
                <wp:effectExtent l="0" t="0" r="0" b="0"/>
                <wp:docPr id="594372" name="Group 594372"/>
                <wp:cNvGraphicFramePr/>
                <a:graphic xmlns:a="http://schemas.openxmlformats.org/drawingml/2006/main">
                  <a:graphicData uri="http://schemas.microsoft.com/office/word/2010/wordprocessingGroup">
                    <wpg:wgp>
                      <wpg:cNvGrpSpPr/>
                      <wpg:grpSpPr>
                        <a:xfrm>
                          <a:off x="0" y="0"/>
                          <a:ext cx="191083" cy="8479"/>
                          <a:chOff x="0" y="0"/>
                          <a:chExt cx="191083" cy="8479"/>
                        </a:xfrm>
                      </wpg:grpSpPr>
                      <wps:wsp>
                        <wps:cNvPr id="31973" name="Shape 31973"/>
                        <wps:cNvSpPr/>
                        <wps:spPr>
                          <a:xfrm>
                            <a:off x="0" y="0"/>
                            <a:ext cx="191083" cy="0"/>
                          </a:xfrm>
                          <a:custGeom>
                            <a:avLst/>
                            <a:gdLst/>
                            <a:ahLst/>
                            <a:cxnLst/>
                            <a:rect l="0" t="0" r="0" b="0"/>
                            <a:pathLst>
                              <a:path w="191083">
                                <a:moveTo>
                                  <a:pt x="0" y="0"/>
                                </a:moveTo>
                                <a:lnTo>
                                  <a:pt x="191083" y="0"/>
                                </a:lnTo>
                              </a:path>
                            </a:pathLst>
                          </a:custGeom>
                          <a:ln w="8479"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4372" style="width:15.0459pt;height:3.05176e-05pt;mso-position-horizontal-relative:char;mso-position-vertical-relative:line" coordsize="1910,0">
                <v:shape id="Shape 31973" style="position:absolute;width:1910;height:0;left:0;top:0;" coordsize="191083,0" path="m0,0l191083,0">
                  <v:stroke weight="0.667607pt" endcap="flat" joinstyle="round" on="true" color="#000000"/>
                  <v:fill on="false" color="#000000" opacity="0"/>
                </v:shape>
              </v:group>
            </w:pict>
          </mc:Fallback>
        </mc:AlternateContent>
      </w:r>
    </w:p>
    <w:p w:rsidR="002C0F56" w:rsidRDefault="00E67C6E">
      <w:pPr>
        <w:spacing w:after="112"/>
        <w:ind w:left="165" w:right="866" w:firstLine="0"/>
      </w:pPr>
      <w:r>
        <w:t xml:space="preserve">были введены следующие обозначения: </w:t>
      </w:r>
      <w:r>
        <w:rPr>
          <w:i/>
        </w:rPr>
        <w:t>x</w:t>
      </w:r>
      <w:r>
        <w:rPr>
          <w:i/>
          <w:vertAlign w:val="subscript"/>
        </w:rPr>
        <w:t>i</w:t>
      </w:r>
      <w:r>
        <w:rPr>
          <w:vertAlign w:val="subscript"/>
        </w:rPr>
        <w:t xml:space="preserve"> </w:t>
      </w:r>
      <w:r>
        <w:t xml:space="preserve">= </w:t>
      </w:r>
      <w:r>
        <w:rPr>
          <w:i/>
        </w:rPr>
        <w:t>f</w:t>
      </w:r>
      <w:r>
        <w:t>(</w:t>
      </w:r>
      <w:r>
        <w:rPr>
          <w:i/>
        </w:rPr>
        <w:t>X</w:t>
      </w:r>
      <w:r>
        <w:t>)(</w:t>
      </w:r>
      <w:r>
        <w:rPr>
          <w:i/>
          <w:sz w:val="27"/>
        </w:rPr>
        <w:t xml:space="preserve">i </w:t>
      </w:r>
      <w:r>
        <w:rPr>
          <w:rFonts w:ascii="Segoe UI Symbol" w:eastAsia="Segoe UI Symbol" w:hAnsi="Segoe UI Symbol" w:cs="Segoe UI Symbol"/>
          <w:sz w:val="27"/>
        </w:rPr>
        <w:t xml:space="preserve"> </w:t>
      </w:r>
      <w:r>
        <w:rPr>
          <w:sz w:val="27"/>
        </w:rPr>
        <w:t>1,</w:t>
      </w:r>
      <w:r>
        <w:rPr>
          <w:i/>
          <w:sz w:val="27"/>
        </w:rPr>
        <w:t xml:space="preserve">n </w:t>
      </w:r>
      <w:r>
        <w:t xml:space="preserve">) – </w:t>
      </w:r>
      <w:r>
        <w:t xml:space="preserve">это образ эталона знаний, который формируется в памяти обучаемого при восприятии эталона знаний </w:t>
      </w:r>
      <w:r>
        <w:rPr>
          <w:i/>
        </w:rPr>
        <w:t xml:space="preserve">Х </w:t>
      </w:r>
      <w:r>
        <w:t xml:space="preserve">на каждом шаге обучения </w:t>
      </w:r>
      <w:r>
        <w:rPr>
          <w:i/>
        </w:rPr>
        <w:t>i</w:t>
      </w:r>
      <w:r>
        <w:t xml:space="preserve">. </w:t>
      </w:r>
      <w:r>
        <w:rPr>
          <w:i/>
        </w:rPr>
        <w:t>Х</w:t>
      </w:r>
      <w:r>
        <w:rPr>
          <w:i/>
          <w:vertAlign w:val="subscript"/>
        </w:rPr>
        <w:t>i</w:t>
      </w:r>
      <w:r>
        <w:t xml:space="preserve"> = </w:t>
      </w:r>
      <w:r>
        <w:rPr>
          <w:rFonts w:ascii="Segoe UI Symbol" w:eastAsia="Segoe UI Symbol" w:hAnsi="Segoe UI Symbol" w:cs="Segoe UI Symbol"/>
          <w:sz w:val="30"/>
        </w:rPr>
        <w:t></w:t>
      </w:r>
      <w:r>
        <w:t>(</w:t>
      </w:r>
      <w:r>
        <w:rPr>
          <w:i/>
        </w:rPr>
        <w:t>x</w:t>
      </w:r>
      <w:r>
        <w:rPr>
          <w:i/>
          <w:vertAlign w:val="subscript"/>
        </w:rPr>
        <w:t>i</w:t>
      </w:r>
      <w:r>
        <w:t>)</w:t>
      </w:r>
      <w:r>
        <w:rPr>
          <w:i/>
        </w:rPr>
        <w:t xml:space="preserve"> – </w:t>
      </w:r>
      <w:r>
        <w:t xml:space="preserve">это воспроизведенный образ эталона </w:t>
      </w:r>
      <w:r>
        <w:rPr>
          <w:i/>
        </w:rPr>
        <w:t>x</w:t>
      </w:r>
      <w:r>
        <w:rPr>
          <w:i/>
          <w:vertAlign w:val="subscript"/>
        </w:rPr>
        <w:t>i</w:t>
      </w:r>
      <w:r>
        <w:t xml:space="preserve"> , или </w:t>
      </w:r>
      <w:r>
        <w:rPr>
          <w:i/>
        </w:rPr>
        <w:t>i</w:t>
      </w:r>
      <w:r>
        <w:t xml:space="preserve">-ое приближение к эталону. Воспроизведенный образ эталона </w:t>
      </w:r>
      <w:r>
        <w:rPr>
          <w:i/>
        </w:rPr>
        <w:t>Х</w:t>
      </w:r>
      <w:r>
        <w:rPr>
          <w:i/>
          <w:vertAlign w:val="subscript"/>
        </w:rPr>
        <w:t>i</w:t>
      </w:r>
      <w:r>
        <w:t xml:space="preserve"> мы назвали о</w:t>
      </w:r>
      <w:r>
        <w:t xml:space="preserve">шибкой на шаге </w:t>
      </w:r>
      <w:r>
        <w:rPr>
          <w:i/>
        </w:rPr>
        <w:t>i</w:t>
      </w:r>
      <w:r>
        <w:t xml:space="preserve">. С использованием этих обозначения, процесс приобретения знаний (запоминания) был представлен в виде блок-схемы алгоритма. При сравнении воспроизведенного образа эталона с эталоном знаний реализуется предикат </w:t>
      </w:r>
      <w:r>
        <w:rPr>
          <w:i/>
        </w:rPr>
        <w:t>Е</w:t>
      </w:r>
      <w:r>
        <w:t>(</w:t>
      </w:r>
      <w:r>
        <w:rPr>
          <w:i/>
        </w:rPr>
        <w:t>X</w:t>
      </w:r>
      <w:r>
        <w:rPr>
          <w:i/>
          <w:vertAlign w:val="subscript"/>
        </w:rPr>
        <w:t xml:space="preserve">i </w:t>
      </w:r>
      <w:r>
        <w:t>,</w:t>
      </w:r>
      <w:r>
        <w:rPr>
          <w:i/>
        </w:rPr>
        <w:t xml:space="preserve"> X</w:t>
      </w:r>
      <w:r>
        <w:t>), который принимает с</w:t>
      </w:r>
      <w:r>
        <w:t xml:space="preserve">ледующие значения: </w:t>
      </w:r>
    </w:p>
    <w:p w:rsidR="002C0F56" w:rsidRDefault="00E67C6E">
      <w:pPr>
        <w:spacing w:after="139" w:line="259" w:lineRule="auto"/>
        <w:ind w:left="1223" w:hanging="10"/>
        <w:jc w:val="center"/>
      </w:pPr>
      <w:r>
        <w:rPr>
          <w:rFonts w:ascii="Segoe UI Symbol" w:eastAsia="Segoe UI Symbol" w:hAnsi="Segoe UI Symbol" w:cs="Segoe UI Symbol"/>
          <w:sz w:val="29"/>
        </w:rPr>
        <w:t></w:t>
      </w:r>
      <w:r>
        <w:rPr>
          <w:sz w:val="29"/>
        </w:rPr>
        <w:t xml:space="preserve">1, </w:t>
      </w:r>
      <w:r>
        <w:rPr>
          <w:i/>
          <w:sz w:val="29"/>
        </w:rPr>
        <w:t>если X</w:t>
      </w:r>
      <w:r>
        <w:rPr>
          <w:i/>
          <w:sz w:val="23"/>
        </w:rPr>
        <w:t xml:space="preserve">i </w:t>
      </w:r>
      <w:r>
        <w:rPr>
          <w:rFonts w:ascii="Segoe UI Symbol" w:eastAsia="Segoe UI Symbol" w:hAnsi="Segoe UI Symbol" w:cs="Segoe UI Symbol"/>
          <w:sz w:val="29"/>
        </w:rPr>
        <w:t xml:space="preserve"> </w:t>
      </w:r>
      <w:r>
        <w:rPr>
          <w:i/>
          <w:sz w:val="29"/>
        </w:rPr>
        <w:t>X</w:t>
      </w:r>
    </w:p>
    <w:p w:rsidR="002C0F56" w:rsidRDefault="00E67C6E">
      <w:pPr>
        <w:tabs>
          <w:tab w:val="center" w:pos="3932"/>
          <w:tab w:val="center" w:pos="4075"/>
          <w:tab w:val="center" w:pos="5753"/>
        </w:tabs>
        <w:spacing w:after="300" w:line="259" w:lineRule="auto"/>
        <w:ind w:left="0" w:firstLine="0"/>
        <w:jc w:val="left"/>
      </w:pPr>
      <w:r>
        <w:rPr>
          <w:rFonts w:ascii="Calibri" w:eastAsia="Calibri" w:hAnsi="Calibri" w:cs="Calibri"/>
          <w:sz w:val="22"/>
        </w:rPr>
        <w:tab/>
      </w:r>
      <w:r>
        <w:rPr>
          <w:i/>
          <w:sz w:val="29"/>
        </w:rPr>
        <w:t>E X X</w:t>
      </w:r>
      <w:r>
        <w:rPr>
          <w:sz w:val="29"/>
        </w:rPr>
        <w:t>(</w:t>
      </w:r>
      <w:r>
        <w:rPr>
          <w:sz w:val="29"/>
        </w:rPr>
        <w:tab/>
      </w:r>
      <w:r>
        <w:rPr>
          <w:i/>
          <w:sz w:val="23"/>
        </w:rPr>
        <w:t>i</w:t>
      </w:r>
      <w:r>
        <w:rPr>
          <w:sz w:val="29"/>
        </w:rPr>
        <w:t>,</w:t>
      </w:r>
      <w:r>
        <w:rPr>
          <w:sz w:val="29"/>
        </w:rPr>
        <w:tab/>
        <w:t xml:space="preserve">) </w:t>
      </w:r>
      <w:r>
        <w:rPr>
          <w:rFonts w:ascii="Segoe UI Symbol" w:eastAsia="Segoe UI Symbol" w:hAnsi="Segoe UI Symbol" w:cs="Segoe UI Symbol"/>
          <w:sz w:val="29"/>
        </w:rPr>
        <w:t></w:t>
      </w:r>
      <w:r>
        <w:rPr>
          <w:rFonts w:ascii="Segoe UI Symbol" w:eastAsia="Segoe UI Symbol" w:hAnsi="Segoe UI Symbol" w:cs="Segoe UI Symbol"/>
          <w:sz w:val="29"/>
        </w:rPr>
        <w:t></w:t>
      </w:r>
      <w:r>
        <w:rPr>
          <w:rFonts w:ascii="Segoe UI Symbol" w:eastAsia="Segoe UI Symbol" w:hAnsi="Segoe UI Symbol" w:cs="Segoe UI Symbol"/>
          <w:sz w:val="29"/>
        </w:rPr>
        <w:t></w:t>
      </w:r>
      <w:r>
        <w:rPr>
          <w:sz w:val="29"/>
        </w:rPr>
        <w:t xml:space="preserve">0, </w:t>
      </w:r>
      <w:r>
        <w:rPr>
          <w:i/>
          <w:sz w:val="29"/>
        </w:rPr>
        <w:t>если X</w:t>
      </w:r>
      <w:r>
        <w:rPr>
          <w:i/>
          <w:sz w:val="23"/>
        </w:rPr>
        <w:t xml:space="preserve">i </w:t>
      </w:r>
      <w:r>
        <w:rPr>
          <w:rFonts w:ascii="Segoe UI Symbol" w:eastAsia="Segoe UI Symbol" w:hAnsi="Segoe UI Symbol" w:cs="Segoe UI Symbol"/>
          <w:sz w:val="29"/>
        </w:rPr>
        <w:t xml:space="preserve"> </w:t>
      </w:r>
      <w:r>
        <w:rPr>
          <w:i/>
          <w:sz w:val="29"/>
        </w:rPr>
        <w:t>X</w:t>
      </w:r>
      <w:r>
        <w:t xml:space="preserve"> </w:t>
      </w:r>
    </w:p>
    <w:p w:rsidR="002C0F56" w:rsidRDefault="00E67C6E">
      <w:pPr>
        <w:ind w:left="165" w:right="863"/>
      </w:pPr>
      <w:r>
        <w:t xml:space="preserve">Процесс приобретения знаний (запоминания) является циклическим процессом, которому соответствует алгоритм циклического типа. Как показывает педагогическая практика, строгое следование </w:t>
      </w:r>
      <w:r>
        <w:t>этому алгоритму способствует повышению эффективности обучения. Мы также говорили, что на практике обучаемые зачастую нарушают порядок действий, приведенный в блок-схеме алгоритма приобретения знаний. Типичной ошибкой является то, что обучаемые считают глав</w:t>
      </w:r>
      <w:r>
        <w:t>ным процесс восприятия эталона знаний и, как правило, не чередуют его с процессом воспроизведения образа эталона знаний [2]. И, как следствие, не сравнивают его с эталоном знаний. Поэтому при подготовке к семинарам, практическим занятиям, экзаменам и зачет</w:t>
      </w:r>
      <w:r>
        <w:t>ам можно рекомендовать студентам использовать методику запоминания учебного материала, основанную на использовании метода компараторной идентификации знаний и алгоритма приобретения знаний. В свою очередь, преподаватели во время проведения практических зан</w:t>
      </w:r>
      <w:r>
        <w:t>ятий, семинаров, лабораторных работ должны инициировать воспроизведение знаний учащимися в том виде, в котором они сохранились у них в памяти (остаточные знания). Следует воспринимать ошибки учащихся как один из основных шагов алгоритма запоминания. Воспро</w:t>
      </w:r>
      <w:r>
        <w:t xml:space="preserve">изведение образа эталона </w:t>
      </w:r>
      <w:r>
        <w:rPr>
          <w:i/>
        </w:rPr>
        <w:t>x</w:t>
      </w:r>
      <w:r>
        <w:rPr>
          <w:i/>
          <w:vertAlign w:val="subscript"/>
        </w:rPr>
        <w:t>i</w:t>
      </w:r>
      <w:r>
        <w:rPr>
          <w:i/>
        </w:rPr>
        <w:t xml:space="preserve"> </w:t>
      </w:r>
      <w:r>
        <w:t xml:space="preserve">на каждом шаге обучения </w:t>
      </w:r>
      <w:r>
        <w:rPr>
          <w:i/>
        </w:rPr>
        <w:t xml:space="preserve">i </w:t>
      </w:r>
      <w:r>
        <w:t xml:space="preserve">дает возможность сравнить его с эталоном знаний </w:t>
      </w:r>
      <w:r>
        <w:rPr>
          <w:i/>
        </w:rPr>
        <w:t>Х</w:t>
      </w:r>
      <w:r>
        <w:t xml:space="preserve">, и затем повторно осуществить восприятие эталона знаний </w:t>
      </w:r>
      <w:r>
        <w:rPr>
          <w:i/>
        </w:rPr>
        <w:t>Х</w:t>
      </w:r>
      <w:r>
        <w:t xml:space="preserve">, если предикат </w:t>
      </w:r>
      <w:r>
        <w:rPr>
          <w:i/>
        </w:rPr>
        <w:t>Е</w:t>
      </w:r>
      <w:r>
        <w:t>(</w:t>
      </w:r>
      <w:r>
        <w:rPr>
          <w:i/>
        </w:rPr>
        <w:t>X</w:t>
      </w:r>
      <w:r>
        <w:rPr>
          <w:i/>
          <w:vertAlign w:val="subscript"/>
        </w:rPr>
        <w:t>i</w:t>
      </w:r>
      <w:r>
        <w:t>,</w:t>
      </w:r>
      <w:r>
        <w:rPr>
          <w:i/>
        </w:rPr>
        <w:t xml:space="preserve"> X</w:t>
      </w:r>
      <w:r>
        <w:t>) ≠ 1. При этом очень важно создать все условия для того, чтобы обучаемы</w:t>
      </w:r>
      <w:r>
        <w:t xml:space="preserve">е не испытывали страх перед возможной ошибкой. Необходимо пояснять студентам, что в процессе обучения ошибаться </w:t>
      </w:r>
      <w:r>
        <w:rPr>
          <w:i/>
        </w:rPr>
        <w:t>полезно</w:t>
      </w:r>
      <w:r>
        <w:t>, так как воспроизведение образа эталона знаний – это один из шагов алгоритма обучения. К сожалению, традиционная система обучения зачаст</w:t>
      </w:r>
      <w:r>
        <w:t xml:space="preserve">ую </w:t>
      </w:r>
      <w:r>
        <w:lastRenderedPageBreak/>
        <w:t xml:space="preserve">грешит чрезмерно жестким контролем знаний и, как правило, за допущенные ошибки учащихся принято так или иначе наказывать. Последнее крайне негативно сказывается на эффективности и качестве процесса обучения.  </w:t>
      </w:r>
    </w:p>
    <w:p w:rsidR="002C0F56" w:rsidRDefault="00E67C6E">
      <w:pPr>
        <w:spacing w:after="0"/>
        <w:ind w:left="165" w:right="864"/>
      </w:pPr>
      <w:r>
        <w:t>Несколько слов о проблеме изучения иностран</w:t>
      </w:r>
      <w:r>
        <w:t>ных языков. Неудовлетворительное положение с изучением иностранных языков в нашей стране, да и на всем постсоветском пространстве можно объяснить тем, что в школах и вузах вместо наработки разговорной практики школьников и студентов заставляют изучать грам</w:t>
      </w:r>
      <w:r>
        <w:t xml:space="preserve">матику языка, которым они не владеют. Однако общеизвестно, что для того, чтобы научиться </w:t>
      </w:r>
      <w:r>
        <w:rPr>
          <w:i/>
        </w:rPr>
        <w:t>говорить</w:t>
      </w:r>
      <w:r>
        <w:t xml:space="preserve"> на каком-либо языке, нужно на нем </w:t>
      </w:r>
      <w:r>
        <w:rPr>
          <w:i/>
        </w:rPr>
        <w:t>говорить</w:t>
      </w:r>
      <w:r>
        <w:t xml:space="preserve">, т.е. регулярно извлекать знания в виде некоторого приближения к эталону </w:t>
      </w:r>
      <w:r>
        <w:rPr>
          <w:i/>
        </w:rPr>
        <w:t>Х</w:t>
      </w:r>
      <w:r>
        <w:rPr>
          <w:i/>
          <w:vertAlign w:val="subscript"/>
        </w:rPr>
        <w:t>i</w:t>
      </w:r>
      <w:r>
        <w:t xml:space="preserve"> = </w:t>
      </w:r>
      <w:r>
        <w:rPr>
          <w:rFonts w:ascii="Segoe UI Symbol" w:eastAsia="Segoe UI Symbol" w:hAnsi="Segoe UI Symbol" w:cs="Segoe UI Symbol"/>
          <w:sz w:val="30"/>
        </w:rPr>
        <w:t></w:t>
      </w:r>
      <w:r>
        <w:t>(</w:t>
      </w:r>
      <w:r>
        <w:rPr>
          <w:i/>
        </w:rPr>
        <w:t>x</w:t>
      </w:r>
      <w:r>
        <w:rPr>
          <w:i/>
          <w:vertAlign w:val="subscript"/>
        </w:rPr>
        <w:t>i</w:t>
      </w:r>
      <w:r>
        <w:t>)</w:t>
      </w:r>
      <w:r>
        <w:rPr>
          <w:i/>
        </w:rPr>
        <w:t xml:space="preserve"> </w:t>
      </w:r>
      <w:r>
        <w:t xml:space="preserve">и сравнивать их с эталоном </w:t>
      </w:r>
      <w:r>
        <w:rPr>
          <w:i/>
        </w:rPr>
        <w:t>Х</w:t>
      </w:r>
      <w:r>
        <w:t>. О</w:t>
      </w:r>
      <w:r>
        <w:t>чевидно, что чем больше разговорная практика, тем выше уровень знания иностранного языка. И только после того, как обучаемые научатся свободно владеть разговорной речью, следует приступать к изучению грамматики, а не наоборот. Наилучшим способом изучения и</w:t>
      </w:r>
      <w:r>
        <w:t xml:space="preserve">ностранных языков является погружение обучаемых в языковую среду. Этого можно достичь с помощью стажировки в стране, где говорят на изучаемом языке. Можно и в стране пребывания создать условия для общения с носителями этого языка </w:t>
      </w:r>
    </w:p>
    <w:p w:rsidR="002C0F56" w:rsidRDefault="00E67C6E">
      <w:pPr>
        <w:ind w:left="165" w:right="302" w:firstLine="0"/>
      </w:pPr>
      <w:r>
        <w:t xml:space="preserve">(иностранными студентами, иностранными преподавателями, миссионерами и т.д.). </w:t>
      </w:r>
    </w:p>
    <w:p w:rsidR="002C0F56" w:rsidRDefault="00E67C6E">
      <w:pPr>
        <w:spacing w:after="0"/>
        <w:ind w:left="165" w:right="864"/>
      </w:pPr>
      <w:r>
        <w:t>Известно, что приобретенные знания со временем утрачиваются (забываются). Как уже говорилось в предыдущем подразделе, объем знаний уменьшается со временем по экспоненциальному з</w:t>
      </w:r>
      <w:r>
        <w:t xml:space="preserve">акону, и количество остаточных знаний составляет около 10% от первоначально усвоенных. На основе экспериментальных данных было получено уравнение </w:t>
      </w:r>
      <w:r>
        <w:rPr>
          <w:i/>
        </w:rPr>
        <w:t>хранения информации</w:t>
      </w:r>
      <w:r>
        <w:t xml:space="preserve"> [3] </w:t>
      </w:r>
    </w:p>
    <w:p w:rsidR="002C0F56" w:rsidRDefault="00E67C6E">
      <w:pPr>
        <w:spacing w:after="3" w:line="259" w:lineRule="auto"/>
        <w:ind w:left="1243" w:hanging="10"/>
        <w:jc w:val="center"/>
      </w:pPr>
      <w:r>
        <w:rPr>
          <w:i/>
          <w:sz w:val="20"/>
        </w:rPr>
        <w:t>t</w:t>
      </w:r>
    </w:p>
    <w:p w:rsidR="002C0F56" w:rsidRDefault="00E67C6E">
      <w:pPr>
        <w:spacing w:after="0" w:line="259" w:lineRule="auto"/>
        <w:ind w:left="1104" w:firstLine="0"/>
        <w:jc w:val="center"/>
      </w:pPr>
      <w:r>
        <w:rPr>
          <w:rFonts w:ascii="Segoe UI Symbol" w:eastAsia="Segoe UI Symbol" w:hAnsi="Segoe UI Symbol" w:cs="Segoe UI Symbol"/>
          <w:sz w:val="20"/>
        </w:rPr>
        <w:t></w:t>
      </w:r>
      <w:r>
        <w:rPr>
          <w:rFonts w:ascii="Calibri" w:eastAsia="Calibri" w:hAnsi="Calibri" w:cs="Calibri"/>
          <w:noProof/>
          <w:sz w:val="22"/>
        </w:rPr>
        <mc:AlternateContent>
          <mc:Choice Requires="wpg">
            <w:drawing>
              <wp:inline distT="0" distB="0" distL="0" distR="0">
                <wp:extent cx="106313" cy="3742"/>
                <wp:effectExtent l="0" t="0" r="0" b="0"/>
                <wp:docPr id="594489" name="Group 594489"/>
                <wp:cNvGraphicFramePr/>
                <a:graphic xmlns:a="http://schemas.openxmlformats.org/drawingml/2006/main">
                  <a:graphicData uri="http://schemas.microsoft.com/office/word/2010/wordprocessingGroup">
                    <wpg:wgp>
                      <wpg:cNvGrpSpPr/>
                      <wpg:grpSpPr>
                        <a:xfrm>
                          <a:off x="0" y="0"/>
                          <a:ext cx="106313" cy="3742"/>
                          <a:chOff x="0" y="0"/>
                          <a:chExt cx="106313" cy="3742"/>
                        </a:xfrm>
                      </wpg:grpSpPr>
                      <wps:wsp>
                        <wps:cNvPr id="32291" name="Shape 32291"/>
                        <wps:cNvSpPr/>
                        <wps:spPr>
                          <a:xfrm>
                            <a:off x="0" y="0"/>
                            <a:ext cx="106313" cy="0"/>
                          </a:xfrm>
                          <a:custGeom>
                            <a:avLst/>
                            <a:gdLst/>
                            <a:ahLst/>
                            <a:cxnLst/>
                            <a:rect l="0" t="0" r="0" b="0"/>
                            <a:pathLst>
                              <a:path w="106313">
                                <a:moveTo>
                                  <a:pt x="0" y="0"/>
                                </a:moveTo>
                                <a:lnTo>
                                  <a:pt x="106313" y="0"/>
                                </a:lnTo>
                              </a:path>
                            </a:pathLst>
                          </a:custGeom>
                          <a:ln w="374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4489" style="width:8.37112pt;height:0.29462pt;mso-position-horizontal-relative:char;mso-position-vertical-relative:line" coordsize="1063,37">
                <v:shape id="Shape 32291" style="position:absolute;width:1063;height:0;left:0;top:0;" coordsize="106313,0" path="m0,0l106313,0">
                  <v:stroke weight="0.29462pt" endcap="flat" joinstyle="round" on="true" color="#000000"/>
                  <v:fill on="false" color="#000000" opacity="0"/>
                </v:shape>
              </v:group>
            </w:pict>
          </mc:Fallback>
        </mc:AlternateContent>
      </w:r>
    </w:p>
    <w:p w:rsidR="002C0F56" w:rsidRDefault="00E67C6E">
      <w:pPr>
        <w:tabs>
          <w:tab w:val="center" w:pos="4559"/>
          <w:tab w:val="center" w:pos="9394"/>
        </w:tabs>
        <w:spacing w:after="196" w:line="259" w:lineRule="auto"/>
        <w:ind w:left="0" w:firstLine="0"/>
        <w:jc w:val="left"/>
      </w:pPr>
      <w:r>
        <w:rPr>
          <w:rFonts w:ascii="Calibri" w:eastAsia="Calibri" w:hAnsi="Calibri" w:cs="Calibri"/>
          <w:sz w:val="22"/>
        </w:rPr>
        <w:tab/>
      </w:r>
      <w:r>
        <w:rPr>
          <w:i/>
          <w:sz w:val="25"/>
        </w:rPr>
        <w:t>U t</w:t>
      </w:r>
      <w:r>
        <w:rPr>
          <w:sz w:val="25"/>
        </w:rPr>
        <w:t xml:space="preserve">( ) </w:t>
      </w:r>
      <w:r>
        <w:rPr>
          <w:rFonts w:ascii="Segoe UI Symbol" w:eastAsia="Segoe UI Symbol" w:hAnsi="Segoe UI Symbol" w:cs="Segoe UI Symbol"/>
          <w:sz w:val="25"/>
        </w:rPr>
        <w:t xml:space="preserve"> </w:t>
      </w:r>
      <w:r>
        <w:rPr>
          <w:rFonts w:ascii="Segoe UI Symbol" w:eastAsia="Segoe UI Symbol" w:hAnsi="Segoe UI Symbol" w:cs="Segoe UI Symbol"/>
          <w:sz w:val="25"/>
        </w:rPr>
        <w:t></w:t>
      </w:r>
      <w:r>
        <w:rPr>
          <w:rFonts w:ascii="Segoe UI Symbol" w:eastAsia="Segoe UI Symbol" w:hAnsi="Segoe UI Symbol" w:cs="Segoe UI Symbol"/>
          <w:sz w:val="27"/>
        </w:rPr>
        <w:t xml:space="preserve"> </w:t>
      </w:r>
      <w:r>
        <w:rPr>
          <w:sz w:val="25"/>
        </w:rPr>
        <w:t>(</w:t>
      </w:r>
      <w:r>
        <w:rPr>
          <w:i/>
          <w:sz w:val="39"/>
          <w:vertAlign w:val="superscript"/>
        </w:rPr>
        <w:t>U</w:t>
      </w:r>
      <w:r>
        <w:rPr>
          <w:sz w:val="25"/>
          <w:vertAlign w:val="subscript"/>
        </w:rPr>
        <w:t xml:space="preserve">0 </w:t>
      </w:r>
      <w:r>
        <w:rPr>
          <w:rFonts w:ascii="Segoe UI Symbol" w:eastAsia="Segoe UI Symbol" w:hAnsi="Segoe UI Symbol" w:cs="Segoe UI Symbol"/>
          <w:sz w:val="25"/>
        </w:rPr>
        <w:t></w:t>
      </w:r>
      <w:r>
        <w:rPr>
          <w:rFonts w:ascii="Segoe UI Symbol" w:eastAsia="Segoe UI Symbol" w:hAnsi="Segoe UI Symbol" w:cs="Segoe UI Symbol"/>
          <w:sz w:val="27"/>
        </w:rPr>
        <w:t></w:t>
      </w:r>
      <w:r>
        <w:rPr>
          <w:sz w:val="25"/>
        </w:rPr>
        <w:t xml:space="preserve">) </w:t>
      </w:r>
      <w:r>
        <w:rPr>
          <w:i/>
          <w:sz w:val="25"/>
        </w:rPr>
        <w:t xml:space="preserve">e </w:t>
      </w:r>
      <w:r>
        <w:rPr>
          <w:i/>
          <w:sz w:val="25"/>
          <w:vertAlign w:val="superscript"/>
        </w:rPr>
        <w:t>T</w:t>
      </w:r>
      <w:r>
        <w:t xml:space="preserve"> </w:t>
      </w:r>
      <w:r>
        <w:tab/>
        <w:t xml:space="preserve">(1) </w:t>
      </w:r>
    </w:p>
    <w:p w:rsidR="002C0F56" w:rsidRDefault="00E67C6E">
      <w:pPr>
        <w:ind w:left="165" w:right="866"/>
      </w:pPr>
      <w:r>
        <w:t xml:space="preserve">где </w:t>
      </w:r>
      <w:r>
        <w:rPr>
          <w:i/>
        </w:rPr>
        <w:t>U</w:t>
      </w:r>
      <w:r>
        <w:t>(</w:t>
      </w:r>
      <w:r>
        <w:rPr>
          <w:i/>
        </w:rPr>
        <w:t>t</w:t>
      </w:r>
      <w:r>
        <w:t xml:space="preserve">) – объем информации в памяти; </w:t>
      </w:r>
      <w:r>
        <w:rPr>
          <w:i/>
        </w:rPr>
        <w:t>U</w:t>
      </w:r>
      <w:r>
        <w:rPr>
          <w:vertAlign w:val="subscript"/>
        </w:rPr>
        <w:t>0</w:t>
      </w:r>
      <w:r>
        <w:t xml:space="preserve"> – </w:t>
      </w:r>
      <w:r>
        <w:t xml:space="preserve">начальное значение объема информации в памяти; </w:t>
      </w:r>
      <w:r>
        <w:rPr>
          <w:i/>
        </w:rPr>
        <w:t>φ</w:t>
      </w:r>
      <w:r>
        <w:t xml:space="preserve"> – некоторое предельное значение информации, которая может храниться в памяти достаточно долго; </w:t>
      </w:r>
      <w:r>
        <w:rPr>
          <w:i/>
        </w:rPr>
        <w:t>T</w:t>
      </w:r>
      <w:r>
        <w:t xml:space="preserve"> – постоянная времени переработки информации; </w:t>
      </w:r>
      <w:r>
        <w:rPr>
          <w:i/>
        </w:rPr>
        <w:t>t</w:t>
      </w:r>
      <w:r>
        <w:t xml:space="preserve"> –  время. Был введен критерий, который назван степенью толерант</w:t>
      </w:r>
      <w:r>
        <w:t xml:space="preserve">ности </w:t>
      </w:r>
      <w:r>
        <w:rPr>
          <w:i/>
        </w:rPr>
        <w:t>S</w:t>
      </w:r>
      <w:r>
        <w:t>(</w:t>
      </w:r>
      <w:r>
        <w:rPr>
          <w:i/>
        </w:rPr>
        <w:t>Х</w:t>
      </w:r>
      <w:r>
        <w:rPr>
          <w:i/>
          <w:vertAlign w:val="subscript"/>
        </w:rPr>
        <w:t>i</w:t>
      </w:r>
      <w:r>
        <w:t xml:space="preserve">, </w:t>
      </w:r>
      <w:r>
        <w:rPr>
          <w:i/>
        </w:rPr>
        <w:t>Х</w:t>
      </w:r>
      <w:r>
        <w:t>). Этот же критерий можно назвать по-другому – коэффициент остаточных знаний. В некоторых литературных источниках подобные коэффициенты называют степенью истинности знаний, однако математической интерпретации этого понятия не приводится [4]. Е</w:t>
      </w:r>
      <w:r>
        <w:t xml:space="preserve">сли обе части уравнения (1) разделить на </w:t>
      </w:r>
      <w:r>
        <w:rPr>
          <w:i/>
        </w:rPr>
        <w:t>U</w:t>
      </w:r>
      <w:r>
        <w:rPr>
          <w:vertAlign w:val="subscript"/>
        </w:rPr>
        <w:t>0</w:t>
      </w:r>
      <w:r>
        <w:t xml:space="preserve">, то получим: </w:t>
      </w:r>
    </w:p>
    <w:p w:rsidR="002C0F56" w:rsidRDefault="00E67C6E">
      <w:pPr>
        <w:spacing w:after="0" w:line="259" w:lineRule="auto"/>
        <w:ind w:left="4144" w:firstLine="0"/>
        <w:jc w:val="left"/>
      </w:pPr>
      <w:r>
        <w:rPr>
          <w:i/>
          <w:sz w:val="21"/>
        </w:rPr>
        <w:t>t</w:t>
      </w:r>
    </w:p>
    <w:p w:rsidR="002C0F56" w:rsidRDefault="00E67C6E">
      <w:pPr>
        <w:spacing w:after="68" w:line="259" w:lineRule="auto"/>
        <w:ind w:left="4098" w:firstLine="0"/>
        <w:jc w:val="left"/>
      </w:pPr>
      <w:r>
        <w:rPr>
          <w:rFonts w:ascii="Calibri" w:eastAsia="Calibri" w:hAnsi="Calibri" w:cs="Calibri"/>
          <w:noProof/>
          <w:sz w:val="22"/>
        </w:rPr>
        <mc:AlternateContent>
          <mc:Choice Requires="wpg">
            <w:drawing>
              <wp:inline distT="0" distB="0" distL="0" distR="0">
                <wp:extent cx="113733" cy="3846"/>
                <wp:effectExtent l="0" t="0" r="0" b="0"/>
                <wp:docPr id="594492" name="Group 594492"/>
                <wp:cNvGraphicFramePr/>
                <a:graphic xmlns:a="http://schemas.openxmlformats.org/drawingml/2006/main">
                  <a:graphicData uri="http://schemas.microsoft.com/office/word/2010/wordprocessingGroup">
                    <wpg:wgp>
                      <wpg:cNvGrpSpPr/>
                      <wpg:grpSpPr>
                        <a:xfrm>
                          <a:off x="0" y="0"/>
                          <a:ext cx="113733" cy="3846"/>
                          <a:chOff x="0" y="0"/>
                          <a:chExt cx="113733" cy="3846"/>
                        </a:xfrm>
                      </wpg:grpSpPr>
                      <wps:wsp>
                        <wps:cNvPr id="32373" name="Shape 32373"/>
                        <wps:cNvSpPr/>
                        <wps:spPr>
                          <a:xfrm>
                            <a:off x="0" y="0"/>
                            <a:ext cx="113733" cy="0"/>
                          </a:xfrm>
                          <a:custGeom>
                            <a:avLst/>
                            <a:gdLst/>
                            <a:ahLst/>
                            <a:cxnLst/>
                            <a:rect l="0" t="0" r="0" b="0"/>
                            <a:pathLst>
                              <a:path w="113733">
                                <a:moveTo>
                                  <a:pt x="0" y="0"/>
                                </a:moveTo>
                                <a:lnTo>
                                  <a:pt x="113733" y="0"/>
                                </a:lnTo>
                              </a:path>
                            </a:pathLst>
                          </a:custGeom>
                          <a:ln w="384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4492" style="width:8.95535pt;height:0.302803pt;mso-position-horizontal-relative:char;mso-position-vertical-relative:line" coordsize="1137,38">
                <v:shape id="Shape 32373" style="position:absolute;width:1137;height:0;left:0;top:0;" coordsize="113733,0" path="m0,0l113733,0">
                  <v:stroke weight="0.302803pt" endcap="flat" joinstyle="round" on="true" color="#000000"/>
                  <v:fill on="false" color="#000000" opacity="0"/>
                </v:shape>
              </v:group>
            </w:pict>
          </mc:Fallback>
        </mc:AlternateContent>
      </w:r>
    </w:p>
    <w:p w:rsidR="002C0F56" w:rsidRDefault="00E67C6E">
      <w:pPr>
        <w:tabs>
          <w:tab w:val="center" w:pos="1959"/>
          <w:tab w:val="center" w:pos="3308"/>
          <w:tab w:val="center" w:pos="4020"/>
          <w:tab w:val="center" w:pos="9507"/>
        </w:tabs>
        <w:spacing w:after="470" w:line="259" w:lineRule="auto"/>
        <w:ind w:left="0" w:firstLine="0"/>
        <w:jc w:val="left"/>
      </w:pPr>
      <w:r>
        <w:rPr>
          <w:rFonts w:ascii="Calibri" w:eastAsia="Calibri" w:hAnsi="Calibri" w:cs="Calibri"/>
          <w:noProof/>
          <w:sz w:val="22"/>
        </w:rPr>
        <w:lastRenderedPageBreak/>
        <mc:AlternateContent>
          <mc:Choice Requires="wpg">
            <w:drawing>
              <wp:anchor distT="0" distB="0" distL="114300" distR="114300" simplePos="0" relativeHeight="251665408" behindDoc="0" locked="0" layoutInCell="1" allowOverlap="1">
                <wp:simplePos x="0" y="0"/>
                <wp:positionH relativeFrom="column">
                  <wp:posOffset>592364</wp:posOffset>
                </wp:positionH>
                <wp:positionV relativeFrom="paragraph">
                  <wp:posOffset>91570</wp:posOffset>
                </wp:positionV>
                <wp:extent cx="847179" cy="8076"/>
                <wp:effectExtent l="0" t="0" r="0" b="0"/>
                <wp:wrapNone/>
                <wp:docPr id="594490" name="Group 594490"/>
                <wp:cNvGraphicFramePr/>
                <a:graphic xmlns:a="http://schemas.openxmlformats.org/drawingml/2006/main">
                  <a:graphicData uri="http://schemas.microsoft.com/office/word/2010/wordprocessingGroup">
                    <wpg:wgp>
                      <wpg:cNvGrpSpPr/>
                      <wpg:grpSpPr>
                        <a:xfrm>
                          <a:off x="0" y="0"/>
                          <a:ext cx="847179" cy="8076"/>
                          <a:chOff x="0" y="0"/>
                          <a:chExt cx="847179" cy="8076"/>
                        </a:xfrm>
                      </wpg:grpSpPr>
                      <wps:wsp>
                        <wps:cNvPr id="32370" name="Shape 32370"/>
                        <wps:cNvSpPr/>
                        <wps:spPr>
                          <a:xfrm>
                            <a:off x="0" y="0"/>
                            <a:ext cx="371279" cy="0"/>
                          </a:xfrm>
                          <a:custGeom>
                            <a:avLst/>
                            <a:gdLst/>
                            <a:ahLst/>
                            <a:cxnLst/>
                            <a:rect l="0" t="0" r="0" b="0"/>
                            <a:pathLst>
                              <a:path w="371279">
                                <a:moveTo>
                                  <a:pt x="0" y="0"/>
                                </a:moveTo>
                                <a:lnTo>
                                  <a:pt x="371279" y="0"/>
                                </a:lnTo>
                              </a:path>
                            </a:pathLst>
                          </a:custGeom>
                          <a:ln w="8076" cap="flat">
                            <a:round/>
                          </a:ln>
                        </wps:spPr>
                        <wps:style>
                          <a:lnRef idx="1">
                            <a:srgbClr val="000000"/>
                          </a:lnRef>
                          <a:fillRef idx="0">
                            <a:srgbClr val="000000">
                              <a:alpha val="0"/>
                            </a:srgbClr>
                          </a:fillRef>
                          <a:effectRef idx="0">
                            <a:scrgbClr r="0" g="0" b="0"/>
                          </a:effectRef>
                          <a:fontRef idx="none"/>
                        </wps:style>
                        <wps:bodyPr/>
                      </wps:wsp>
                      <wps:wsp>
                        <wps:cNvPr id="32371" name="Shape 32371"/>
                        <wps:cNvSpPr/>
                        <wps:spPr>
                          <a:xfrm>
                            <a:off x="589168" y="0"/>
                            <a:ext cx="258012" cy="0"/>
                          </a:xfrm>
                          <a:custGeom>
                            <a:avLst/>
                            <a:gdLst/>
                            <a:ahLst/>
                            <a:cxnLst/>
                            <a:rect l="0" t="0" r="0" b="0"/>
                            <a:pathLst>
                              <a:path w="258012">
                                <a:moveTo>
                                  <a:pt x="0" y="0"/>
                                </a:moveTo>
                                <a:lnTo>
                                  <a:pt x="258012" y="0"/>
                                </a:lnTo>
                              </a:path>
                            </a:pathLst>
                          </a:custGeom>
                          <a:ln w="8076"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94490" style="width:66.707pt;height:0.635873pt;position:absolute;z-index:173;mso-position-horizontal-relative:text;mso-position-horizontal:absolute;margin-left:46.6429pt;mso-position-vertical-relative:text;margin-top:7.21027pt;" coordsize="8471,80">
                <v:shape id="Shape 32370" style="position:absolute;width:3712;height:0;left:0;top:0;" coordsize="371279,0" path="m0,0l371279,0">
                  <v:stroke weight="0.635873pt" endcap="flat" joinstyle="round" on="true" color="#000000"/>
                  <v:fill on="false" color="#000000" opacity="0"/>
                </v:shape>
                <v:shape id="Shape 32371" style="position:absolute;width:2580;height:0;left:5891;top:0;" coordsize="258012,0" path="m0,0l258012,0">
                  <v:stroke weight="0.635873pt" endcap="flat" joinstyle="round" on="true" color="#000000"/>
                  <v:fill on="false" color="#000000" opacity="0"/>
                </v:shape>
              </v:group>
            </w:pict>
          </mc:Fallback>
        </mc:AlternateContent>
      </w:r>
      <w:r>
        <w:rPr>
          <w:rFonts w:ascii="Calibri" w:eastAsia="Calibri" w:hAnsi="Calibri" w:cs="Calibri"/>
          <w:sz w:val="22"/>
        </w:rPr>
        <w:tab/>
      </w:r>
      <w:r>
        <w:rPr>
          <w:i/>
          <w:sz w:val="26"/>
        </w:rPr>
        <w:t>U tU</w:t>
      </w:r>
      <w:r>
        <w:rPr>
          <w:sz w:val="26"/>
        </w:rPr>
        <w:t>( )</w:t>
      </w:r>
      <w:r>
        <w:rPr>
          <w:sz w:val="21"/>
        </w:rPr>
        <w:t xml:space="preserve">0 </w:t>
      </w:r>
      <w:r>
        <w:rPr>
          <w:rFonts w:ascii="Segoe UI Symbol" w:eastAsia="Segoe UI Symbol" w:hAnsi="Segoe UI Symbol" w:cs="Segoe UI Symbol"/>
          <w:sz w:val="26"/>
        </w:rPr>
        <w:t xml:space="preserve"> </w:t>
      </w:r>
      <w:r>
        <w:rPr>
          <w:i/>
          <w:sz w:val="26"/>
        </w:rPr>
        <w:t>U</w:t>
      </w:r>
      <w:r>
        <w:rPr>
          <w:rFonts w:ascii="Segoe UI Symbol" w:eastAsia="Segoe UI Symbol" w:hAnsi="Segoe UI Symbol" w:cs="Segoe UI Symbol"/>
        </w:rPr>
        <w:t></w:t>
      </w:r>
      <w:r>
        <w:rPr>
          <w:sz w:val="21"/>
        </w:rPr>
        <w:t xml:space="preserve">0 </w:t>
      </w:r>
      <w:r>
        <w:rPr>
          <w:rFonts w:ascii="Segoe UI Symbol" w:eastAsia="Segoe UI Symbol" w:hAnsi="Segoe UI Symbol" w:cs="Segoe UI Symbol"/>
          <w:sz w:val="26"/>
        </w:rPr>
        <w:t xml:space="preserve"> </w:t>
      </w:r>
      <w:r>
        <w:rPr>
          <w:rFonts w:ascii="Segoe UI Symbol" w:eastAsia="Segoe UI Symbol" w:hAnsi="Segoe UI Symbol" w:cs="Segoe UI Symbol"/>
          <w:sz w:val="26"/>
        </w:rPr>
        <w:t></w:t>
      </w:r>
      <w:r>
        <w:rPr>
          <w:sz w:val="26"/>
        </w:rPr>
        <w:t>(1</w:t>
      </w:r>
      <w:r>
        <w:rPr>
          <w:sz w:val="26"/>
        </w:rPr>
        <w:tab/>
      </w:r>
      <w:r>
        <w:rPr>
          <w:i/>
          <w:sz w:val="26"/>
        </w:rPr>
        <w:t>U</w:t>
      </w:r>
      <w:r>
        <w:rPr>
          <w:rFonts w:ascii="Calibri" w:eastAsia="Calibri" w:hAnsi="Calibri" w:cs="Calibri"/>
          <w:noProof/>
          <w:sz w:val="22"/>
        </w:rPr>
        <mc:AlternateContent>
          <mc:Choice Requires="wpg">
            <w:drawing>
              <wp:inline distT="0" distB="0" distL="0" distR="0">
                <wp:extent cx="258012" cy="8076"/>
                <wp:effectExtent l="0" t="0" r="0" b="0"/>
                <wp:docPr id="594491" name="Group 594491"/>
                <wp:cNvGraphicFramePr/>
                <a:graphic xmlns:a="http://schemas.openxmlformats.org/drawingml/2006/main">
                  <a:graphicData uri="http://schemas.microsoft.com/office/word/2010/wordprocessingGroup">
                    <wpg:wgp>
                      <wpg:cNvGrpSpPr/>
                      <wpg:grpSpPr>
                        <a:xfrm>
                          <a:off x="0" y="0"/>
                          <a:ext cx="258012" cy="8076"/>
                          <a:chOff x="0" y="0"/>
                          <a:chExt cx="258012" cy="8076"/>
                        </a:xfrm>
                      </wpg:grpSpPr>
                      <wps:wsp>
                        <wps:cNvPr id="32372" name="Shape 32372"/>
                        <wps:cNvSpPr/>
                        <wps:spPr>
                          <a:xfrm>
                            <a:off x="0" y="0"/>
                            <a:ext cx="258012" cy="0"/>
                          </a:xfrm>
                          <a:custGeom>
                            <a:avLst/>
                            <a:gdLst/>
                            <a:ahLst/>
                            <a:cxnLst/>
                            <a:rect l="0" t="0" r="0" b="0"/>
                            <a:pathLst>
                              <a:path w="258012">
                                <a:moveTo>
                                  <a:pt x="0" y="0"/>
                                </a:moveTo>
                                <a:lnTo>
                                  <a:pt x="258012" y="0"/>
                                </a:lnTo>
                              </a:path>
                            </a:pathLst>
                          </a:custGeom>
                          <a:ln w="807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4491" style="width:20.3159pt;height:0.635873pt;mso-position-horizontal-relative:char;mso-position-vertical-relative:line" coordsize="2580,80">
                <v:shape id="Shape 32372" style="position:absolute;width:2580;height:0;left:0;top:0;" coordsize="258012,0" path="m0,0l258012,0">
                  <v:stroke weight="0.635873pt" endcap="flat" joinstyle="round" on="true" color="#000000"/>
                  <v:fill on="false" color="#000000" opacity="0"/>
                </v:shape>
              </v:group>
            </w:pict>
          </mc:Fallback>
        </mc:AlternateContent>
      </w:r>
      <w:r>
        <w:rPr>
          <w:rFonts w:ascii="Segoe UI Symbol" w:eastAsia="Segoe UI Symbol" w:hAnsi="Segoe UI Symbol" w:cs="Segoe UI Symbol"/>
        </w:rPr>
        <w:t></w:t>
      </w:r>
      <w:r>
        <w:rPr>
          <w:sz w:val="21"/>
        </w:rPr>
        <w:t xml:space="preserve">0 </w:t>
      </w:r>
      <w:r>
        <w:rPr>
          <w:sz w:val="26"/>
        </w:rPr>
        <w:t>)</w:t>
      </w:r>
      <w:r>
        <w:rPr>
          <w:sz w:val="26"/>
        </w:rPr>
        <w:tab/>
      </w:r>
      <w:r>
        <w:rPr>
          <w:i/>
          <w:sz w:val="26"/>
        </w:rPr>
        <w:t>e</w:t>
      </w:r>
      <w:r>
        <w:rPr>
          <w:rFonts w:ascii="Segoe UI Symbol" w:eastAsia="Segoe UI Symbol" w:hAnsi="Segoe UI Symbol" w:cs="Segoe UI Symbol"/>
          <w:vertAlign w:val="superscript"/>
        </w:rPr>
        <w:t></w:t>
      </w:r>
      <w:r>
        <w:rPr>
          <w:i/>
          <w:sz w:val="21"/>
        </w:rPr>
        <w:t>T</w:t>
      </w:r>
      <w:r>
        <w:t xml:space="preserve"> </w:t>
      </w:r>
      <w:r>
        <w:tab/>
        <w:t xml:space="preserve">(2) </w:t>
      </w:r>
    </w:p>
    <w:p w:rsidR="002C0F56" w:rsidRDefault="00E67C6E">
      <w:pPr>
        <w:spacing w:after="0" w:line="259" w:lineRule="auto"/>
        <w:ind w:left="2281" w:firstLine="0"/>
        <w:jc w:val="left"/>
      </w:pPr>
      <w:r>
        <w:rPr>
          <w:i/>
          <w:sz w:val="22"/>
        </w:rPr>
        <w:t>U t</w:t>
      </w:r>
      <w:r>
        <w:rPr>
          <w:sz w:val="22"/>
        </w:rPr>
        <w:t>( )</w:t>
      </w:r>
    </w:p>
    <w:p w:rsidR="002C0F56" w:rsidRDefault="00E67C6E">
      <w:pPr>
        <w:spacing w:after="164"/>
        <w:ind w:left="2345" w:right="538" w:hanging="1601"/>
      </w:pPr>
      <w:r>
        <w:t xml:space="preserve">Отношение </w:t>
      </w:r>
      <w:r>
        <w:tab/>
      </w:r>
      <w:r>
        <w:rPr>
          <w:rFonts w:ascii="Calibri" w:eastAsia="Calibri" w:hAnsi="Calibri" w:cs="Calibri"/>
          <w:noProof/>
          <w:sz w:val="22"/>
        </w:rPr>
        <mc:AlternateContent>
          <mc:Choice Requires="wpg">
            <w:drawing>
              <wp:inline distT="0" distB="0" distL="0" distR="0">
                <wp:extent cx="270194" cy="7267"/>
                <wp:effectExtent l="0" t="0" r="0" b="0"/>
                <wp:docPr id="594493" name="Group 594493"/>
                <wp:cNvGraphicFramePr/>
                <a:graphic xmlns:a="http://schemas.openxmlformats.org/drawingml/2006/main">
                  <a:graphicData uri="http://schemas.microsoft.com/office/word/2010/wordprocessingGroup">
                    <wpg:wgp>
                      <wpg:cNvGrpSpPr/>
                      <wpg:grpSpPr>
                        <a:xfrm>
                          <a:off x="0" y="0"/>
                          <a:ext cx="270194" cy="7267"/>
                          <a:chOff x="0" y="0"/>
                          <a:chExt cx="270194" cy="7267"/>
                        </a:xfrm>
                      </wpg:grpSpPr>
                      <wps:wsp>
                        <wps:cNvPr id="32390" name="Shape 32390"/>
                        <wps:cNvSpPr/>
                        <wps:spPr>
                          <a:xfrm>
                            <a:off x="0" y="0"/>
                            <a:ext cx="270194" cy="0"/>
                          </a:xfrm>
                          <a:custGeom>
                            <a:avLst/>
                            <a:gdLst/>
                            <a:ahLst/>
                            <a:cxnLst/>
                            <a:rect l="0" t="0" r="0" b="0"/>
                            <a:pathLst>
                              <a:path w="270194">
                                <a:moveTo>
                                  <a:pt x="0" y="0"/>
                                </a:moveTo>
                                <a:lnTo>
                                  <a:pt x="270194" y="0"/>
                                </a:lnTo>
                              </a:path>
                            </a:pathLst>
                          </a:custGeom>
                          <a:ln w="7267"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4493" style="width:21.2751pt;height:0.57218pt;mso-position-horizontal-relative:char;mso-position-vertical-relative:line" coordsize="2701,72">
                <v:shape id="Shape 32390" style="position:absolute;width:2701;height:0;left:0;top:0;" coordsize="270194,0" path="m0,0l270194,0">
                  <v:stroke weight="0.57218pt" endcap="flat" joinstyle="round" on="true" color="#000000"/>
                  <v:fill on="false" color="#000000" opacity="0"/>
                </v:shape>
              </v:group>
            </w:pict>
          </mc:Fallback>
        </mc:AlternateContent>
      </w:r>
      <w:r>
        <w:t xml:space="preserve"> рассматривается как коэффициент остаточных знаний в </w:t>
      </w:r>
      <w:r>
        <w:rPr>
          <w:i/>
          <w:sz w:val="22"/>
        </w:rPr>
        <w:t>U</w:t>
      </w:r>
      <w:r>
        <w:rPr>
          <w:sz w:val="22"/>
          <w:vertAlign w:val="subscript"/>
        </w:rPr>
        <w:t>0</w:t>
      </w:r>
    </w:p>
    <w:p w:rsidR="002C0F56" w:rsidRDefault="00E67C6E">
      <w:pPr>
        <w:spacing w:after="12"/>
        <w:ind w:left="165" w:right="302" w:firstLine="0"/>
      </w:pPr>
      <w:r>
        <w:t xml:space="preserve">момент времени </w:t>
      </w:r>
      <w:r>
        <w:rPr>
          <w:i/>
        </w:rPr>
        <w:t>t</w:t>
      </w:r>
      <w:r>
        <w:t xml:space="preserve"> (</w:t>
      </w:r>
      <w:r>
        <w:rPr>
          <w:i/>
        </w:rPr>
        <w:t>K</w:t>
      </w:r>
      <w:r>
        <w:rPr>
          <w:i/>
          <w:vertAlign w:val="subscript"/>
        </w:rPr>
        <w:t>оз</w:t>
      </w:r>
      <w:r>
        <w:t>(</w:t>
      </w:r>
      <w:r>
        <w:rPr>
          <w:i/>
        </w:rPr>
        <w:t>t</w:t>
      </w:r>
      <w:r>
        <w:t xml:space="preserve">)) и, если умножить его на 100%, то получим значение </w:t>
      </w:r>
      <w:r>
        <w:t xml:space="preserve">коэффициента остаточных знаний в процентах. Зависимость </w:t>
      </w:r>
      <w:r>
        <w:rPr>
          <w:i/>
        </w:rPr>
        <w:t>K</w:t>
      </w:r>
      <w:r>
        <w:rPr>
          <w:i/>
          <w:vertAlign w:val="subscript"/>
        </w:rPr>
        <w:t>оз</w:t>
      </w:r>
      <w:r>
        <w:t>(</w:t>
      </w:r>
      <w:r>
        <w:rPr>
          <w:i/>
        </w:rPr>
        <w:t>t</w:t>
      </w:r>
      <w:r>
        <w:t xml:space="preserve">) = </w:t>
      </w:r>
      <w:r>
        <w:rPr>
          <w:i/>
          <w:vertAlign w:val="superscript"/>
        </w:rPr>
        <w:t>U t</w:t>
      </w:r>
      <w:r>
        <w:rPr>
          <w:rFonts w:ascii="Calibri" w:eastAsia="Calibri" w:hAnsi="Calibri" w:cs="Calibri"/>
          <w:noProof/>
          <w:sz w:val="22"/>
        </w:rPr>
        <mc:AlternateContent>
          <mc:Choice Requires="wpg">
            <w:drawing>
              <wp:inline distT="0" distB="0" distL="0" distR="0">
                <wp:extent cx="247704" cy="6502"/>
                <wp:effectExtent l="0" t="0" r="0" b="0"/>
                <wp:docPr id="595137" name="Group 595137"/>
                <wp:cNvGraphicFramePr/>
                <a:graphic xmlns:a="http://schemas.openxmlformats.org/drawingml/2006/main">
                  <a:graphicData uri="http://schemas.microsoft.com/office/word/2010/wordprocessingGroup">
                    <wpg:wgp>
                      <wpg:cNvGrpSpPr/>
                      <wpg:grpSpPr>
                        <a:xfrm>
                          <a:off x="0" y="0"/>
                          <a:ext cx="247704" cy="6502"/>
                          <a:chOff x="0" y="0"/>
                          <a:chExt cx="247704" cy="6502"/>
                        </a:xfrm>
                      </wpg:grpSpPr>
                      <wps:wsp>
                        <wps:cNvPr id="32440" name="Shape 32440"/>
                        <wps:cNvSpPr/>
                        <wps:spPr>
                          <a:xfrm>
                            <a:off x="0" y="0"/>
                            <a:ext cx="247704" cy="0"/>
                          </a:xfrm>
                          <a:custGeom>
                            <a:avLst/>
                            <a:gdLst/>
                            <a:ahLst/>
                            <a:cxnLst/>
                            <a:rect l="0" t="0" r="0" b="0"/>
                            <a:pathLst>
                              <a:path w="247704">
                                <a:moveTo>
                                  <a:pt x="0" y="0"/>
                                </a:moveTo>
                                <a:lnTo>
                                  <a:pt x="247704" y="0"/>
                                </a:lnTo>
                              </a:path>
                            </a:pathLst>
                          </a:custGeom>
                          <a:ln w="650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5137" style="width:19.5043pt;height:1.52588e-05pt;mso-position-horizontal-relative:char;mso-position-vertical-relative:line" coordsize="2477,0">
                <v:shape id="Shape 32440" style="position:absolute;width:2477;height:0;left:0;top:0;" coordsize="247704,0" path="m0,0l247704,0">
                  <v:stroke weight="0.512004pt" endcap="flat" joinstyle="round" on="true" color="#000000"/>
                  <v:fill on="false" color="#000000" opacity="0"/>
                </v:shape>
              </v:group>
            </w:pict>
          </mc:Fallback>
        </mc:AlternateContent>
      </w:r>
      <w:r>
        <w:rPr>
          <w:vertAlign w:val="superscript"/>
        </w:rPr>
        <w:t xml:space="preserve">( ) </w:t>
      </w:r>
      <w:r>
        <w:rPr>
          <w:rFonts w:ascii="Segoe UI Symbol" w:eastAsia="Segoe UI Symbol" w:hAnsi="Segoe UI Symbol" w:cs="Segoe UI Symbol"/>
          <w:sz w:val="21"/>
        </w:rPr>
        <w:t></w:t>
      </w:r>
      <w:r>
        <w:rPr>
          <w:sz w:val="21"/>
        </w:rPr>
        <w:t>100%</w:t>
      </w:r>
      <w:r>
        <w:t xml:space="preserve"> </w:t>
      </w:r>
    </w:p>
    <w:p w:rsidR="002C0F56" w:rsidRDefault="00E67C6E">
      <w:pPr>
        <w:spacing w:after="0" w:line="314" w:lineRule="auto"/>
        <w:ind w:left="165" w:right="1422" w:firstLine="8575"/>
      </w:pPr>
      <w:r>
        <w:rPr>
          <w:i/>
          <w:sz w:val="21"/>
        </w:rPr>
        <w:t>U</w:t>
      </w:r>
      <w:r>
        <w:rPr>
          <w:sz w:val="21"/>
          <w:vertAlign w:val="subscript"/>
        </w:rPr>
        <w:t xml:space="preserve">0 </w:t>
      </w:r>
      <w:r>
        <w:t xml:space="preserve">от времени можно представить на следующем графике (рис. 1).  </w:t>
      </w:r>
    </w:p>
    <w:p w:rsidR="002C0F56" w:rsidRDefault="00E67C6E">
      <w:pPr>
        <w:spacing w:after="0" w:line="259" w:lineRule="auto"/>
        <w:ind w:left="744" w:right="2455" w:firstLine="0"/>
        <w:jc w:val="left"/>
      </w:pPr>
      <w:r>
        <w:t xml:space="preserve"> </w:t>
      </w:r>
    </w:p>
    <w:p w:rsidR="002C0F56" w:rsidRDefault="00E67C6E">
      <w:pPr>
        <w:spacing w:after="261" w:line="259" w:lineRule="auto"/>
        <w:ind w:left="1464" w:firstLine="0"/>
        <w:jc w:val="left"/>
      </w:pPr>
      <w:r>
        <w:rPr>
          <w:noProof/>
        </w:rPr>
        <w:drawing>
          <wp:inline distT="0" distB="0" distL="0" distR="0">
            <wp:extent cx="4297680" cy="2608580"/>
            <wp:effectExtent l="0" t="0" r="0" b="0"/>
            <wp:docPr id="32618" name="Picture 32618"/>
            <wp:cNvGraphicFramePr/>
            <a:graphic xmlns:a="http://schemas.openxmlformats.org/drawingml/2006/main">
              <a:graphicData uri="http://schemas.openxmlformats.org/drawingml/2006/picture">
                <pic:pic xmlns:pic="http://schemas.openxmlformats.org/drawingml/2006/picture">
                  <pic:nvPicPr>
                    <pic:cNvPr id="32618" name="Picture 32618"/>
                    <pic:cNvPicPr/>
                  </pic:nvPicPr>
                  <pic:blipFill>
                    <a:blip r:embed="rId660"/>
                    <a:stretch>
                      <a:fillRect/>
                    </a:stretch>
                  </pic:blipFill>
                  <pic:spPr>
                    <a:xfrm>
                      <a:off x="0" y="0"/>
                      <a:ext cx="4297680" cy="2608580"/>
                    </a:xfrm>
                    <a:prstGeom prst="rect">
                      <a:avLst/>
                    </a:prstGeom>
                  </pic:spPr>
                </pic:pic>
              </a:graphicData>
            </a:graphic>
          </wp:inline>
        </w:drawing>
      </w:r>
    </w:p>
    <w:p w:rsidR="002C0F56" w:rsidRDefault="00E67C6E">
      <w:pPr>
        <w:pStyle w:val="4"/>
        <w:spacing w:after="180"/>
        <w:ind w:right="670"/>
      </w:pPr>
      <w:r>
        <w:t xml:space="preserve">Рис. 1. График зависимости коэффициента остаточных знаний от времени </w:t>
      </w:r>
    </w:p>
    <w:p w:rsidR="002C0F56" w:rsidRDefault="00E67C6E">
      <w:pPr>
        <w:spacing w:after="25" w:line="259" w:lineRule="auto"/>
        <w:ind w:left="888" w:firstLine="0"/>
        <w:jc w:val="left"/>
      </w:pPr>
      <w:r>
        <w:rPr>
          <w:sz w:val="24"/>
        </w:rPr>
        <w:t xml:space="preserve"> </w:t>
      </w:r>
      <w:r>
        <w:rPr>
          <w:sz w:val="24"/>
        </w:rPr>
        <w:tab/>
      </w:r>
      <w:r>
        <w:t xml:space="preserve"> </w:t>
      </w:r>
    </w:p>
    <w:p w:rsidR="002C0F56" w:rsidRDefault="00E67C6E">
      <w:pPr>
        <w:spacing w:after="0"/>
        <w:ind w:left="165" w:right="868"/>
      </w:pPr>
      <w:r>
        <w:t>Знания, которыми не пользуются, и которые регулярно не воспроизводятся, со временем утрачиваются. Известна гипотеза, согласно которой отпечаток знаний в долговременной памяти (энграмма) не утрачивается, а вот программа воспроизведения (путь к знаниям) со в</w:t>
      </w:r>
      <w:r>
        <w:t xml:space="preserve">ременем разрушается (забывается) [5]. Поэтому для приобретения прочных знаний необходимо последовательно воспроизводить приобретенные знания в виде образа эталона знаний </w:t>
      </w:r>
      <w:r>
        <w:rPr>
          <w:i/>
        </w:rPr>
        <w:t>Х</w:t>
      </w:r>
      <w:r>
        <w:rPr>
          <w:i/>
          <w:vertAlign w:val="subscript"/>
        </w:rPr>
        <w:t>i</w:t>
      </w:r>
      <w:r>
        <w:t xml:space="preserve"> = </w:t>
      </w:r>
      <w:r>
        <w:rPr>
          <w:rFonts w:ascii="Segoe UI Symbol" w:eastAsia="Segoe UI Symbol" w:hAnsi="Segoe UI Symbol" w:cs="Segoe UI Symbol"/>
          <w:sz w:val="30"/>
        </w:rPr>
        <w:t></w:t>
      </w:r>
      <w:r>
        <w:t>(</w:t>
      </w:r>
      <w:r>
        <w:rPr>
          <w:i/>
        </w:rPr>
        <w:t>x</w:t>
      </w:r>
      <w:r>
        <w:rPr>
          <w:i/>
          <w:vertAlign w:val="subscript"/>
        </w:rPr>
        <w:t>i</w:t>
      </w:r>
      <w:r>
        <w:t xml:space="preserve">) и сравнивать его с эталоном </w:t>
      </w:r>
      <w:r>
        <w:rPr>
          <w:i/>
        </w:rPr>
        <w:t>Х</w:t>
      </w:r>
      <w:r>
        <w:t>. При обновлении знаний («повторении») предлаг</w:t>
      </w:r>
      <w:r>
        <w:t xml:space="preserve">ается придерживаться алгоритма обновления знаний. </w:t>
      </w:r>
    </w:p>
    <w:p w:rsidR="002C0F56" w:rsidRDefault="00E67C6E">
      <w:pPr>
        <w:spacing w:after="3" w:line="259" w:lineRule="auto"/>
        <w:ind w:left="7699" w:hanging="10"/>
        <w:jc w:val="left"/>
      </w:pPr>
      <w:r>
        <w:rPr>
          <w:i/>
          <w:sz w:val="24"/>
        </w:rPr>
        <w:t>U t</w:t>
      </w:r>
      <w:r>
        <w:rPr>
          <w:sz w:val="24"/>
        </w:rPr>
        <w:t>( )</w:t>
      </w:r>
    </w:p>
    <w:p w:rsidR="002C0F56" w:rsidRDefault="00E67C6E">
      <w:pPr>
        <w:spacing w:after="0" w:line="381" w:lineRule="auto"/>
        <w:ind w:left="165" w:right="865"/>
      </w:pPr>
      <w:r>
        <w:lastRenderedPageBreak/>
        <w:t xml:space="preserve">Зависимость коэффициента остаточных знаний </w:t>
      </w:r>
      <w:r>
        <w:rPr>
          <w:i/>
        </w:rPr>
        <w:t>K</w:t>
      </w:r>
      <w:r>
        <w:rPr>
          <w:i/>
          <w:vertAlign w:val="subscript"/>
        </w:rPr>
        <w:t>оз</w:t>
      </w:r>
      <w:r>
        <w:t>(</w:t>
      </w:r>
      <w:r>
        <w:rPr>
          <w:i/>
        </w:rPr>
        <w:t>t</w:t>
      </w:r>
      <w:r>
        <w:t>)</w:t>
      </w:r>
      <w:r>
        <w:rPr>
          <w:sz w:val="43"/>
          <w:vertAlign w:val="superscript"/>
        </w:rPr>
        <w:t xml:space="preserve"> = </w:t>
      </w:r>
      <w:r>
        <w:rPr>
          <w:rFonts w:ascii="Calibri" w:eastAsia="Calibri" w:hAnsi="Calibri" w:cs="Calibri"/>
          <w:noProof/>
          <w:sz w:val="22"/>
        </w:rPr>
        <mc:AlternateContent>
          <mc:Choice Requires="wpg">
            <w:drawing>
              <wp:inline distT="0" distB="0" distL="0" distR="0">
                <wp:extent cx="292710" cy="7872"/>
                <wp:effectExtent l="0" t="0" r="0" b="0"/>
                <wp:docPr id="595138" name="Group 595138"/>
                <wp:cNvGraphicFramePr/>
                <a:graphic xmlns:a="http://schemas.openxmlformats.org/drawingml/2006/main">
                  <a:graphicData uri="http://schemas.microsoft.com/office/word/2010/wordprocessingGroup">
                    <wpg:wgp>
                      <wpg:cNvGrpSpPr/>
                      <wpg:grpSpPr>
                        <a:xfrm>
                          <a:off x="0" y="0"/>
                          <a:ext cx="292710" cy="7872"/>
                          <a:chOff x="0" y="0"/>
                          <a:chExt cx="292710" cy="7872"/>
                        </a:xfrm>
                      </wpg:grpSpPr>
                      <wps:wsp>
                        <wps:cNvPr id="32495" name="Shape 32495"/>
                        <wps:cNvSpPr/>
                        <wps:spPr>
                          <a:xfrm>
                            <a:off x="0" y="0"/>
                            <a:ext cx="292710" cy="0"/>
                          </a:xfrm>
                          <a:custGeom>
                            <a:avLst/>
                            <a:gdLst/>
                            <a:ahLst/>
                            <a:cxnLst/>
                            <a:rect l="0" t="0" r="0" b="0"/>
                            <a:pathLst>
                              <a:path w="292710">
                                <a:moveTo>
                                  <a:pt x="0" y="0"/>
                                </a:moveTo>
                                <a:lnTo>
                                  <a:pt x="292710" y="0"/>
                                </a:lnTo>
                              </a:path>
                            </a:pathLst>
                          </a:custGeom>
                          <a:ln w="787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95138" style="width:23.048pt;height:0.619861pt;mso-position-horizontal-relative:char;mso-position-vertical-relative:line" coordsize="2927,78">
                <v:shape id="Shape 32495" style="position:absolute;width:2927;height:0;left:0;top:0;" coordsize="292710,0" path="m0,0l292710,0">
                  <v:stroke weight="0.619861pt" endcap="flat" joinstyle="round" on="true" color="#000000"/>
                  <v:fill on="false" color="#000000" opacity="0"/>
                </v:shape>
              </v:group>
            </w:pict>
          </mc:Fallback>
        </mc:AlternateContent>
      </w:r>
      <w:r>
        <w:rPr>
          <w:i/>
          <w:sz w:val="37"/>
          <w:vertAlign w:val="subscript"/>
        </w:rPr>
        <w:t>U</w:t>
      </w:r>
      <w:r>
        <w:rPr>
          <w:vertAlign w:val="subscript"/>
        </w:rPr>
        <w:t xml:space="preserve">0 </w:t>
      </w:r>
      <w:r>
        <w:t xml:space="preserve">от времени в процессе обновления знаний можно представить графически следующим образом (рис. 2). </w:t>
      </w:r>
    </w:p>
    <w:p w:rsidR="002C0F56" w:rsidRDefault="00E67C6E">
      <w:pPr>
        <w:ind w:left="165" w:right="864"/>
      </w:pPr>
      <w:r>
        <w:t xml:space="preserve">Кривая представленная на рис. 2 показывает, что в момент времени </w:t>
      </w:r>
      <w:r>
        <w:rPr>
          <w:i/>
        </w:rPr>
        <w:t xml:space="preserve">t </w:t>
      </w:r>
      <w:r>
        <w:t xml:space="preserve">= 0 коэффициент остаточных знаний </w:t>
      </w:r>
      <w:r>
        <w:rPr>
          <w:i/>
        </w:rPr>
        <w:t>K</w:t>
      </w:r>
      <w:r>
        <w:rPr>
          <w:i/>
          <w:vertAlign w:val="subscript"/>
        </w:rPr>
        <w:t>оз</w:t>
      </w:r>
      <w:r>
        <w:t>(0) = 1, поскольку считается, что знания к этому моменту времени приобретены. Пусть знания будут обновляться через равные промежутки времени Δ</w:t>
      </w:r>
      <w:r>
        <w:rPr>
          <w:i/>
        </w:rPr>
        <w:t>t.</w:t>
      </w:r>
      <w:r>
        <w:t xml:space="preserve"> В момен</w:t>
      </w:r>
      <w:r>
        <w:t xml:space="preserve">т времени </w:t>
      </w:r>
      <w:r>
        <w:rPr>
          <w:i/>
        </w:rPr>
        <w:t>t</w:t>
      </w:r>
      <w:r>
        <w:rPr>
          <w:vertAlign w:val="subscript"/>
        </w:rPr>
        <w:t>1</w:t>
      </w:r>
      <w:r>
        <w:t xml:space="preserve"> коэффициент остаточных знаний примет значение </w:t>
      </w:r>
      <w:r>
        <w:rPr>
          <w:i/>
        </w:rPr>
        <w:t>K</w:t>
      </w:r>
      <w:r>
        <w:rPr>
          <w:i/>
          <w:vertAlign w:val="subscript"/>
        </w:rPr>
        <w:t>оз</w:t>
      </w:r>
      <w:r>
        <w:t>(</w:t>
      </w:r>
      <w:r>
        <w:rPr>
          <w:i/>
        </w:rPr>
        <w:t>t</w:t>
      </w:r>
      <w:r>
        <w:rPr>
          <w:vertAlign w:val="subscript"/>
        </w:rPr>
        <w:t>1</w:t>
      </w:r>
      <w:r>
        <w:t xml:space="preserve">). Это значение будет находиться в интервале  0,1 &lt; </w:t>
      </w:r>
      <w:r>
        <w:rPr>
          <w:i/>
        </w:rPr>
        <w:t>K</w:t>
      </w:r>
      <w:r>
        <w:rPr>
          <w:i/>
          <w:vertAlign w:val="subscript"/>
        </w:rPr>
        <w:t>оз</w:t>
      </w:r>
      <w:r>
        <w:t>(</w:t>
      </w:r>
      <w:r>
        <w:rPr>
          <w:i/>
        </w:rPr>
        <w:t>t</w:t>
      </w:r>
      <w:r>
        <w:rPr>
          <w:vertAlign w:val="subscript"/>
        </w:rPr>
        <w:t>1</w:t>
      </w:r>
      <w:r>
        <w:t xml:space="preserve">) &lt; 1. В момент времени  </w:t>
      </w:r>
      <w:r>
        <w:rPr>
          <w:i/>
        </w:rPr>
        <w:t>t</w:t>
      </w:r>
      <w:r>
        <w:rPr>
          <w:vertAlign w:val="subscript"/>
        </w:rPr>
        <w:t>2</w:t>
      </w:r>
      <w:r>
        <w:t xml:space="preserve"> коэффициент остаточных знаний примет значение </w:t>
      </w:r>
      <w:r>
        <w:rPr>
          <w:i/>
        </w:rPr>
        <w:t>K</w:t>
      </w:r>
      <w:r>
        <w:rPr>
          <w:i/>
          <w:vertAlign w:val="subscript"/>
        </w:rPr>
        <w:t>оз</w:t>
      </w:r>
      <w:r>
        <w:t>(</w:t>
      </w:r>
      <w:r>
        <w:rPr>
          <w:i/>
        </w:rPr>
        <w:t>t</w:t>
      </w:r>
      <w:r>
        <w:rPr>
          <w:vertAlign w:val="subscript"/>
        </w:rPr>
        <w:t>2</w:t>
      </w:r>
      <w:r>
        <w:t xml:space="preserve">). Это значение будет находиться в интервале </w:t>
      </w:r>
      <w:r>
        <w:rPr>
          <w:i/>
        </w:rPr>
        <w:t>K</w:t>
      </w:r>
      <w:r>
        <w:rPr>
          <w:i/>
          <w:vertAlign w:val="subscript"/>
        </w:rPr>
        <w:t>оз</w:t>
      </w:r>
      <w:r>
        <w:t>(</w:t>
      </w:r>
      <w:r>
        <w:rPr>
          <w:i/>
        </w:rPr>
        <w:t>t</w:t>
      </w:r>
      <w:r>
        <w:rPr>
          <w:vertAlign w:val="subscript"/>
        </w:rPr>
        <w:t>1</w:t>
      </w:r>
      <w:r>
        <w:t xml:space="preserve">) </w:t>
      </w:r>
      <w:r>
        <w:t xml:space="preserve">&lt; </w:t>
      </w:r>
      <w:r>
        <w:rPr>
          <w:i/>
        </w:rPr>
        <w:t>K</w:t>
      </w:r>
      <w:r>
        <w:rPr>
          <w:i/>
          <w:vertAlign w:val="subscript"/>
        </w:rPr>
        <w:t>оз</w:t>
      </w:r>
      <w:r>
        <w:t>(</w:t>
      </w:r>
      <w:r>
        <w:rPr>
          <w:i/>
        </w:rPr>
        <w:t>t</w:t>
      </w:r>
      <w:r>
        <w:rPr>
          <w:vertAlign w:val="subscript"/>
        </w:rPr>
        <w:t>2</w:t>
      </w:r>
      <w:r>
        <w:t xml:space="preserve">) &lt;1. В момент времени  </w:t>
      </w:r>
      <w:r>
        <w:rPr>
          <w:i/>
        </w:rPr>
        <w:t>t</w:t>
      </w:r>
      <w:r>
        <w:rPr>
          <w:i/>
          <w:vertAlign w:val="subscript"/>
        </w:rPr>
        <w:t>n</w:t>
      </w:r>
      <w:r>
        <w:t xml:space="preserve"> коэффициент остаточных знаний примет значение </w:t>
      </w:r>
      <w:r>
        <w:rPr>
          <w:i/>
        </w:rPr>
        <w:t>K</w:t>
      </w:r>
      <w:r>
        <w:rPr>
          <w:i/>
          <w:vertAlign w:val="subscript"/>
        </w:rPr>
        <w:t>оз</w:t>
      </w:r>
      <w:r>
        <w:t>(</w:t>
      </w:r>
      <w:r>
        <w:rPr>
          <w:i/>
        </w:rPr>
        <w:t>t</w:t>
      </w:r>
      <w:r>
        <w:rPr>
          <w:i/>
          <w:vertAlign w:val="subscript"/>
        </w:rPr>
        <w:t>n</w:t>
      </w:r>
      <w:r>
        <w:t xml:space="preserve">). Это значение будет находиться в интервале </w:t>
      </w:r>
      <w:r>
        <w:rPr>
          <w:i/>
        </w:rPr>
        <w:t>K</w:t>
      </w:r>
      <w:r>
        <w:rPr>
          <w:i/>
          <w:vertAlign w:val="subscript"/>
        </w:rPr>
        <w:t>оз</w:t>
      </w:r>
      <w:r>
        <w:t>(</w:t>
      </w:r>
      <w:r>
        <w:rPr>
          <w:i/>
        </w:rPr>
        <w:t>t</w:t>
      </w:r>
      <w:r>
        <w:rPr>
          <w:i/>
          <w:vertAlign w:val="subscript"/>
        </w:rPr>
        <w:t>n</w:t>
      </w:r>
      <w:r>
        <w:rPr>
          <w:vertAlign w:val="subscript"/>
        </w:rPr>
        <w:t>-1</w:t>
      </w:r>
      <w:r>
        <w:t xml:space="preserve">) &lt; </w:t>
      </w:r>
      <w:r>
        <w:rPr>
          <w:i/>
        </w:rPr>
        <w:t>K</w:t>
      </w:r>
      <w:r>
        <w:rPr>
          <w:i/>
          <w:vertAlign w:val="subscript"/>
        </w:rPr>
        <w:t>оз</w:t>
      </w:r>
      <w:r>
        <w:t>(</w:t>
      </w:r>
      <w:r>
        <w:rPr>
          <w:i/>
        </w:rPr>
        <w:t>t</w:t>
      </w:r>
      <w:r>
        <w:rPr>
          <w:i/>
          <w:vertAlign w:val="subscript"/>
        </w:rPr>
        <w:t>n</w:t>
      </w:r>
      <w:r>
        <w:t xml:space="preserve">) &lt; 1. Таким образом, при увеличении числа обновлений знаний </w:t>
      </w:r>
      <w:r>
        <w:rPr>
          <w:i/>
        </w:rPr>
        <w:t>n</w:t>
      </w:r>
      <w:r>
        <w:t xml:space="preserve"> значение коэффициента остаточных знаний </w:t>
      </w:r>
      <w:r>
        <w:rPr>
          <w:i/>
        </w:rPr>
        <w:t>K</w:t>
      </w:r>
      <w:r>
        <w:rPr>
          <w:i/>
          <w:vertAlign w:val="subscript"/>
        </w:rPr>
        <w:t>оз</w:t>
      </w:r>
      <w:r>
        <w:t>(</w:t>
      </w:r>
      <w:r>
        <w:rPr>
          <w:i/>
        </w:rPr>
        <w:t>t</w:t>
      </w:r>
      <w:r>
        <w:rPr>
          <w:i/>
          <w:vertAlign w:val="subscript"/>
        </w:rPr>
        <w:t>n</w:t>
      </w:r>
      <w:r>
        <w:t xml:space="preserve">) стремится к 1. Начиная с некоторого момента времени </w:t>
      </w:r>
      <w:r>
        <w:rPr>
          <w:i/>
        </w:rPr>
        <w:t>t</w:t>
      </w:r>
      <w:r>
        <w:rPr>
          <w:i/>
          <w:vertAlign w:val="subscript"/>
        </w:rPr>
        <w:t>m</w:t>
      </w:r>
      <w:r>
        <w:t xml:space="preserve">, знания закрепляются настолько, что их можно считать эквивалентными эталону знаний </w:t>
      </w:r>
      <w:r>
        <w:rPr>
          <w:i/>
        </w:rPr>
        <w:t>Х</w:t>
      </w:r>
      <w:r>
        <w:t>. Обычно такие знания называются профессиональными. Этими знаниями обладают специалисты, которые в силу своих пр</w:t>
      </w:r>
      <w:r>
        <w:t xml:space="preserve">офессиональных обязанностей регулярно воспроизводят остаточные знания и имеют возможность сравнивать их с эталоном. Такую возможность сравнения предоставляет им практика.   </w:t>
      </w:r>
    </w:p>
    <w:p w:rsidR="002C0F56" w:rsidRDefault="00E67C6E">
      <w:pPr>
        <w:spacing w:after="0" w:line="259" w:lineRule="auto"/>
        <w:ind w:left="744" w:firstLine="0"/>
        <w:jc w:val="left"/>
      </w:pPr>
      <w:r>
        <w:rPr>
          <w:noProof/>
        </w:rPr>
        <w:drawing>
          <wp:inline distT="0" distB="0" distL="0" distR="0">
            <wp:extent cx="5368290" cy="3228340"/>
            <wp:effectExtent l="0" t="0" r="0" b="0"/>
            <wp:docPr id="32796" name="Picture 32796"/>
            <wp:cNvGraphicFramePr/>
            <a:graphic xmlns:a="http://schemas.openxmlformats.org/drawingml/2006/main">
              <a:graphicData uri="http://schemas.openxmlformats.org/drawingml/2006/picture">
                <pic:pic xmlns:pic="http://schemas.openxmlformats.org/drawingml/2006/picture">
                  <pic:nvPicPr>
                    <pic:cNvPr id="32796" name="Picture 32796"/>
                    <pic:cNvPicPr/>
                  </pic:nvPicPr>
                  <pic:blipFill>
                    <a:blip r:embed="rId661"/>
                    <a:stretch>
                      <a:fillRect/>
                    </a:stretch>
                  </pic:blipFill>
                  <pic:spPr>
                    <a:xfrm>
                      <a:off x="0" y="0"/>
                      <a:ext cx="5368290" cy="3228340"/>
                    </a:xfrm>
                    <a:prstGeom prst="rect">
                      <a:avLst/>
                    </a:prstGeom>
                  </pic:spPr>
                </pic:pic>
              </a:graphicData>
            </a:graphic>
          </wp:inline>
        </w:drawing>
      </w:r>
    </w:p>
    <w:p w:rsidR="002C0F56" w:rsidRDefault="00E67C6E">
      <w:pPr>
        <w:pStyle w:val="4"/>
        <w:spacing w:after="155"/>
        <w:ind w:left="1181" w:right="1287"/>
      </w:pPr>
      <w:r>
        <w:lastRenderedPageBreak/>
        <w:t xml:space="preserve">Рис. 2. Зависимость коэффициента остаточных знаний от времени в процессе обновления знаний </w:t>
      </w:r>
    </w:p>
    <w:p w:rsidR="002C0F56" w:rsidRDefault="00E67C6E">
      <w:pPr>
        <w:ind w:left="165" w:right="865" w:firstLine="0"/>
      </w:pPr>
      <w:r>
        <w:t xml:space="preserve">Получение положительного практического результата свидетельствует о том, что воспроизведенные знания </w:t>
      </w:r>
      <w:r>
        <w:rPr>
          <w:i/>
        </w:rPr>
        <w:t>Х</w:t>
      </w:r>
      <w:r>
        <w:rPr>
          <w:i/>
          <w:vertAlign w:val="subscript"/>
        </w:rPr>
        <w:t>i</w:t>
      </w:r>
      <w:r>
        <w:t xml:space="preserve"> совпадают с эталоном знаний </w:t>
      </w:r>
      <w:r>
        <w:rPr>
          <w:i/>
        </w:rPr>
        <w:t xml:space="preserve">Х </w:t>
      </w:r>
      <w:r>
        <w:t xml:space="preserve">и, следовательно, предикат </w:t>
      </w:r>
      <w:r>
        <w:rPr>
          <w:i/>
        </w:rPr>
        <w:t>Е</w:t>
      </w:r>
      <w:r>
        <w:t>(</w:t>
      </w:r>
      <w:r>
        <w:rPr>
          <w:i/>
        </w:rPr>
        <w:t>X</w:t>
      </w:r>
      <w:r>
        <w:rPr>
          <w:i/>
          <w:vertAlign w:val="subscript"/>
        </w:rPr>
        <w:t>i</w:t>
      </w:r>
      <w:r>
        <w:t xml:space="preserve">, </w:t>
      </w:r>
      <w:r>
        <w:rPr>
          <w:i/>
        </w:rPr>
        <w:t>X</w:t>
      </w:r>
      <w:r>
        <w:t>) принимает значение 1</w:t>
      </w:r>
      <w:r>
        <w:rPr>
          <w:i/>
        </w:rPr>
        <w:t>.</w:t>
      </w:r>
      <w:r>
        <w:t xml:space="preserve"> Получение отрицательного практического результата говорит о том, что воспроизведенные знания </w:t>
      </w:r>
      <w:r>
        <w:rPr>
          <w:i/>
        </w:rPr>
        <w:t>Х</w:t>
      </w:r>
      <w:r>
        <w:rPr>
          <w:i/>
          <w:vertAlign w:val="subscript"/>
        </w:rPr>
        <w:t>i</w:t>
      </w:r>
      <w:r>
        <w:t xml:space="preserve"> не совпадают с эталоном знаний </w:t>
      </w:r>
      <w:r>
        <w:rPr>
          <w:i/>
        </w:rPr>
        <w:t>Х</w:t>
      </w:r>
      <w:r>
        <w:t xml:space="preserve"> и необходимо повторно воспринять эталон знаний </w:t>
      </w:r>
      <w:r>
        <w:rPr>
          <w:i/>
        </w:rPr>
        <w:t>Х</w:t>
      </w:r>
      <w:r>
        <w:t xml:space="preserve"> (заглянуть в инструкцию, проконсультироваться с ко</w:t>
      </w:r>
      <w:r>
        <w:t xml:space="preserve">ллегами и т.д.), а затем выполнить трудовую операцию (извлечь остаточные знания) и по практическому результату определить значение предиката </w:t>
      </w:r>
      <w:r>
        <w:rPr>
          <w:i/>
        </w:rPr>
        <w:t>Е</w:t>
      </w:r>
      <w:r>
        <w:t>(</w:t>
      </w:r>
      <w:r>
        <w:rPr>
          <w:i/>
        </w:rPr>
        <w:t>X</w:t>
      </w:r>
      <w:r>
        <w:rPr>
          <w:i/>
          <w:vertAlign w:val="subscript"/>
        </w:rPr>
        <w:t>i</w:t>
      </w:r>
      <w:r>
        <w:t xml:space="preserve">, </w:t>
      </w:r>
      <w:r>
        <w:rPr>
          <w:i/>
        </w:rPr>
        <w:t>X</w:t>
      </w:r>
      <w:r>
        <w:t xml:space="preserve">). </w:t>
      </w:r>
    </w:p>
    <w:p w:rsidR="002C0F56" w:rsidRDefault="00E67C6E">
      <w:pPr>
        <w:ind w:left="165" w:right="867"/>
      </w:pPr>
      <w:r>
        <w:t>Алгоритм обновления знаний («повторения») могут использовать студенты при подготовке к зачетам, экзамена</w:t>
      </w:r>
      <w:r>
        <w:t xml:space="preserve">м, практическим и семинарским занятиям. Преподаватели также могут придерживаться этого алгоритма при подготовке к лекциям, практическим, семинарским и лабораторным занятиям.  </w:t>
      </w:r>
    </w:p>
    <w:p w:rsidR="002C0F56" w:rsidRDefault="00E67C6E">
      <w:pPr>
        <w:spacing w:after="22"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98"/>
        </w:numPr>
        <w:ind w:right="302"/>
      </w:pPr>
      <w:r>
        <w:t>Приобретение знаний: Пер. с япон./ Под ред. С. Осуги, Ю. С</w:t>
      </w:r>
      <w:r>
        <w:t xml:space="preserve">аэки. – М.: Мир, 1990. – 304 с., ил.  </w:t>
      </w:r>
    </w:p>
    <w:p w:rsidR="002C0F56" w:rsidRDefault="00E67C6E">
      <w:pPr>
        <w:numPr>
          <w:ilvl w:val="0"/>
          <w:numId w:val="98"/>
        </w:numPr>
        <w:ind w:right="302"/>
      </w:pPr>
      <w:r>
        <w:t xml:space="preserve">Булкин В.И., Шаронова Н.В. Использование метода компараторной идентификации знаний для совершенствования учебного процесса // Бионика интеллекта. – 2005. №1 (62). С. 27–30. </w:t>
      </w:r>
    </w:p>
    <w:p w:rsidR="002C0F56" w:rsidRDefault="00E67C6E">
      <w:pPr>
        <w:numPr>
          <w:ilvl w:val="0"/>
          <w:numId w:val="98"/>
        </w:numPr>
        <w:ind w:right="302"/>
      </w:pPr>
      <w:r>
        <w:t>Присняков, В.Ф., Приснякова Л.М. Нестациона</w:t>
      </w:r>
      <w:r>
        <w:t xml:space="preserve">рные психологические процессы. – Днепропетровск: Изд-во ДГУ, 1994. – 192 с.  </w:t>
      </w:r>
    </w:p>
    <w:p w:rsidR="002C0F56" w:rsidRDefault="00E67C6E">
      <w:pPr>
        <w:numPr>
          <w:ilvl w:val="0"/>
          <w:numId w:val="98"/>
        </w:numPr>
        <w:ind w:right="302"/>
      </w:pPr>
      <w:r>
        <w:t>Метешкин К.А. Кибернетическая педагогика: теоретические основы управления образованием на базе интегрированного интеллекта. Монография. – Харьков: Международный Славянский универ</w:t>
      </w:r>
      <w:r>
        <w:t xml:space="preserve">ситет, 2004. – 400 с.  </w:t>
      </w:r>
    </w:p>
    <w:p w:rsidR="002C0F56" w:rsidRDefault="00E67C6E">
      <w:pPr>
        <w:numPr>
          <w:ilvl w:val="0"/>
          <w:numId w:val="98"/>
        </w:numPr>
        <w:ind w:right="302"/>
      </w:pPr>
      <w:r>
        <w:t xml:space="preserve">Данилова Н.Н., Крылова А.Л. Физиология высшей нервной деятельности. Серия "Учебники и учебные пособия". Ростов н/Д: "Феникс", </w:t>
      </w:r>
    </w:p>
    <w:p w:rsidR="002C0F56" w:rsidRDefault="00E67C6E">
      <w:pPr>
        <w:spacing w:after="12"/>
        <w:ind w:left="165" w:right="302" w:firstLine="0"/>
      </w:pPr>
      <w:r>
        <w:t xml:space="preserve">1999. – 480 с.  </w:t>
      </w:r>
    </w:p>
    <w:p w:rsidR="002C0F56" w:rsidRDefault="00E67C6E">
      <w:pPr>
        <w:spacing w:after="0" w:line="259" w:lineRule="auto"/>
        <w:ind w:left="744" w:firstLine="0"/>
        <w:jc w:val="left"/>
      </w:pPr>
      <w:r>
        <w:t xml:space="preserve"> </w:t>
      </w:r>
    </w:p>
    <w:p w:rsidR="002C0F56" w:rsidRDefault="00E67C6E">
      <w:pPr>
        <w:spacing w:after="29" w:line="259" w:lineRule="auto"/>
        <w:ind w:left="744" w:firstLine="0"/>
        <w:jc w:val="left"/>
      </w:pPr>
      <w:r>
        <w:t xml:space="preserve"> </w:t>
      </w:r>
    </w:p>
    <w:p w:rsidR="002C0F56" w:rsidRDefault="00E67C6E">
      <w:pPr>
        <w:spacing w:after="25" w:line="259" w:lineRule="auto"/>
        <w:ind w:left="10" w:right="856" w:hanging="10"/>
        <w:jc w:val="right"/>
      </w:pPr>
      <w:r>
        <w:rPr>
          <w:b/>
        </w:rPr>
        <w:t xml:space="preserve">Иномов Жафар Гуломжон угли  </w:t>
      </w:r>
    </w:p>
    <w:p w:rsidR="002C0F56" w:rsidRDefault="00E67C6E">
      <w:pPr>
        <w:spacing w:after="25" w:line="259" w:lineRule="auto"/>
        <w:ind w:left="10" w:right="856" w:hanging="10"/>
        <w:jc w:val="right"/>
      </w:pPr>
      <w:r>
        <w:rPr>
          <w:b/>
        </w:rPr>
        <w:t xml:space="preserve">Таджиев Асрорбек Равшанжон угли </w:t>
      </w:r>
    </w:p>
    <w:p w:rsidR="002C0F56" w:rsidRDefault="00E67C6E">
      <w:pPr>
        <w:spacing w:after="11" w:line="270" w:lineRule="auto"/>
        <w:ind w:left="10" w:right="862" w:hanging="10"/>
        <w:jc w:val="right"/>
      </w:pPr>
      <w:r>
        <w:t xml:space="preserve">Научный руководитель: Бустонов М. М., к.э.н., доц. </w:t>
      </w:r>
    </w:p>
    <w:p w:rsidR="002C0F56" w:rsidRDefault="00E67C6E">
      <w:pPr>
        <w:spacing w:after="0" w:line="267" w:lineRule="auto"/>
        <w:ind w:left="905" w:right="860" w:hanging="10"/>
        <w:jc w:val="right"/>
      </w:pPr>
      <w:r>
        <w:rPr>
          <w:i/>
        </w:rPr>
        <w:t xml:space="preserve">Наманганский инженерно-технологический институт </w:t>
      </w:r>
    </w:p>
    <w:p w:rsidR="002C0F56" w:rsidRDefault="00E67C6E">
      <w:pPr>
        <w:spacing w:after="0" w:line="259" w:lineRule="auto"/>
        <w:ind w:left="744" w:firstLine="0"/>
        <w:jc w:val="left"/>
      </w:pPr>
      <w:r>
        <w:t xml:space="preserve"> </w:t>
      </w:r>
    </w:p>
    <w:p w:rsidR="002C0F56" w:rsidRDefault="00E67C6E">
      <w:pPr>
        <w:pStyle w:val="1"/>
        <w:spacing w:after="15" w:line="271" w:lineRule="auto"/>
        <w:ind w:left="279" w:right="0"/>
        <w:jc w:val="left"/>
      </w:pPr>
      <w:r>
        <w:lastRenderedPageBreak/>
        <w:t xml:space="preserve">УСЛОВИЯ И ПРЕДПОСЫЛКИ РАЗРАБОТКИ ЭКОНОМЕТРИЧЕСКОЙ </w:t>
      </w:r>
    </w:p>
    <w:p w:rsidR="002C0F56" w:rsidRDefault="00E67C6E">
      <w:pPr>
        <w:pStyle w:val="1"/>
        <w:ind w:left="700" w:right="1377"/>
      </w:pPr>
      <w:r>
        <w:t xml:space="preserve">МОДЕЛИ КАЧЕСТВА ЭКОНОМИЧЕСКОГО РОСТА </w:t>
      </w:r>
    </w:p>
    <w:p w:rsidR="002C0F56" w:rsidRDefault="00E67C6E">
      <w:pPr>
        <w:spacing w:after="0" w:line="259" w:lineRule="auto"/>
        <w:ind w:left="744" w:firstLine="0"/>
        <w:jc w:val="left"/>
      </w:pPr>
      <w:r>
        <w:t xml:space="preserve"> </w:t>
      </w:r>
    </w:p>
    <w:p w:rsidR="002C0F56" w:rsidRDefault="00E67C6E">
      <w:pPr>
        <w:spacing w:after="1"/>
        <w:ind w:left="165" w:right="887"/>
      </w:pPr>
      <w:r>
        <w:t>Разработка сценарной модели, которая бы обеспечивала анализ и охватывала все сферы, а также позволяла отрабатывать сценарные варианты прогноза на кратко и долгосрочную перспективу для выработки стратегии и макроэкономической политики одна из важных задач в</w:t>
      </w:r>
      <w:r>
        <w:t xml:space="preserve">о многих странах. Для анализа и построения </w:t>
      </w:r>
      <w:r>
        <w:rPr>
          <w:i/>
        </w:rPr>
        <w:t>краткосрочной модели</w:t>
      </w:r>
      <w:r>
        <w:t xml:space="preserve"> использовались квартальные темпы роста к соответствующему  кварталу  предыдущего  года.  Использование  таких рядов позволяют уменьшить влияние фактора сезонности. Также достоинством такого по</w:t>
      </w:r>
      <w:r>
        <w:t>дхода является и то, что квартальные ряды к соответствующему периоду выходят на среднегодовые оценки по всем индикаторам и источникам экономического роста. Данный подход позволяет с наименьшими затратами сочетать краткосрочную модель с долгосрочной, т.к. в</w:t>
      </w:r>
      <w:r>
        <w:t xml:space="preserve"> последней использованы годовые темпы роста. Годовые  темпы  роста  легче  прогнозировать  и  получать  более  точные оценки прогноза. </w:t>
      </w:r>
    </w:p>
    <w:p w:rsidR="002C0F56" w:rsidRDefault="00E67C6E">
      <w:pPr>
        <w:spacing w:after="0"/>
        <w:ind w:left="165" w:right="893"/>
      </w:pPr>
      <w:r>
        <w:t>За основу методологии оценочной модели использовался подход сочетание в уравнениях факторов спроса и предложения, а такж</w:t>
      </w:r>
      <w:r>
        <w:t xml:space="preserve">е факторов макроэкономической стабильность. Такой подход позволяет учесть максимальное количество факторов, а также учесть состояние равновесия между производителями и потребителями. </w:t>
      </w:r>
    </w:p>
    <w:p w:rsidR="002C0F56" w:rsidRDefault="00E67C6E">
      <w:pPr>
        <w:ind w:left="165" w:right="302"/>
      </w:pPr>
      <w:r>
        <w:t>Создание модели предполагает то, что все показатели должны быть нормальн</w:t>
      </w:r>
      <w:r>
        <w:t xml:space="preserve">о распределены, скорректированы на сезонность и стационарны. </w:t>
      </w:r>
    </w:p>
    <w:p w:rsidR="002C0F56" w:rsidRDefault="00E67C6E">
      <w:pPr>
        <w:spacing w:after="1"/>
        <w:ind w:left="165" w:right="867"/>
      </w:pPr>
      <w:r>
        <w:t>Для этого были проведены соответствующие тесты на нормальное распределение, а также скорректированы на сезонность, т.е. индикаторы отчищены от фактора сезонности. Как было сказано выше, важным у</w:t>
      </w:r>
      <w:r>
        <w:t>словием   получения   надежных   оценок   является   ADF-   тест,   который позволяет оценить стационарность рядов или привести их к такому виду, т.к.только стационарные ряды позволяет получить надежные, эффективные и не смещенные оценки, на основании кото</w:t>
      </w:r>
      <w:r>
        <w:t xml:space="preserve">рых можно говорить о правильности подобранной модели, и в последующем надежном прогнозе. </w:t>
      </w:r>
    </w:p>
    <w:p w:rsidR="002C0F56" w:rsidRDefault="00E67C6E">
      <w:pPr>
        <w:spacing w:after="0"/>
        <w:ind w:left="165" w:right="869"/>
      </w:pPr>
      <w:r>
        <w:t>Основываясь на полученные эконометрические результаты можно сказать, что большинство рядов являются стационарными (см.табл.1), за исключением дефлятора ВВП, который н</w:t>
      </w:r>
      <w:r>
        <w:t>е возможно было привести к стационарному виду. Однако для того чтобы удостоверится в надежности данного фактора необходимо провести тест на коинтеграцию, который позволяет говорить о стационарности ряда даже если в отдельности показатель инфляции не стацио</w:t>
      </w:r>
      <w:r>
        <w:t xml:space="preserve">нарен, но приходит к такому виду при анализе с показателем экономического роста. Такой тест показал о наличии коинтегрированности </w:t>
      </w:r>
      <w:r>
        <w:lastRenderedPageBreak/>
        <w:t xml:space="preserve">между рядами ВВП и дефлятором ВВП, поэтому можно характеризовать полученные оценки коэффициентов, как надежные. </w:t>
      </w:r>
    </w:p>
    <w:p w:rsidR="002C0F56" w:rsidRDefault="00E67C6E">
      <w:pPr>
        <w:spacing w:after="0" w:line="259" w:lineRule="auto"/>
        <w:ind w:left="744" w:firstLine="0"/>
        <w:jc w:val="left"/>
      </w:pPr>
      <w:r>
        <w:t xml:space="preserve"> </w:t>
      </w:r>
    </w:p>
    <w:p w:rsidR="002C0F56" w:rsidRDefault="00E67C6E">
      <w:pPr>
        <w:spacing w:after="5" w:line="271" w:lineRule="auto"/>
        <w:ind w:left="1076" w:right="396" w:hanging="10"/>
        <w:jc w:val="left"/>
      </w:pPr>
      <w:r>
        <w:rPr>
          <w:i/>
          <w:sz w:val="24"/>
        </w:rPr>
        <w:t>Таблица 1</w:t>
      </w:r>
      <w:r>
        <w:rPr>
          <w:sz w:val="24"/>
        </w:rPr>
        <w:t xml:space="preserve"> - </w:t>
      </w:r>
      <w:r>
        <w:rPr>
          <w:b/>
          <w:sz w:val="24"/>
        </w:rPr>
        <w:t xml:space="preserve">Результаты проверки на стационарность при помощи ADF-теста </w:t>
      </w:r>
    </w:p>
    <w:tbl>
      <w:tblPr>
        <w:tblStyle w:val="TableGrid"/>
        <w:tblW w:w="9936" w:type="dxa"/>
        <w:tblInd w:w="170" w:type="dxa"/>
        <w:tblCellMar>
          <w:top w:w="14" w:type="dxa"/>
          <w:left w:w="10" w:type="dxa"/>
          <w:bottom w:w="0" w:type="dxa"/>
          <w:right w:w="101" w:type="dxa"/>
        </w:tblCellMar>
        <w:tblLook w:val="04A0" w:firstRow="1" w:lastRow="0" w:firstColumn="1" w:lastColumn="0" w:noHBand="0" w:noVBand="1"/>
      </w:tblPr>
      <w:tblGrid>
        <w:gridCol w:w="2084"/>
        <w:gridCol w:w="1436"/>
        <w:gridCol w:w="2304"/>
        <w:gridCol w:w="1985"/>
        <w:gridCol w:w="2127"/>
      </w:tblGrid>
      <w:tr w:rsidR="002C0F56">
        <w:trPr>
          <w:trHeight w:val="293"/>
        </w:trPr>
        <w:tc>
          <w:tcPr>
            <w:tcW w:w="2084"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3" w:firstLine="0"/>
              <w:jc w:val="center"/>
            </w:pPr>
            <w:r>
              <w:rPr>
                <w:sz w:val="24"/>
              </w:rPr>
              <w:t xml:space="preserve">Индикаторы </w:t>
            </w:r>
          </w:p>
        </w:tc>
        <w:tc>
          <w:tcPr>
            <w:tcW w:w="1436"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21" w:line="259" w:lineRule="auto"/>
              <w:ind w:left="90" w:firstLine="0"/>
              <w:jc w:val="center"/>
            </w:pPr>
            <w:r>
              <w:rPr>
                <w:sz w:val="24"/>
              </w:rPr>
              <w:t xml:space="preserve">ADF </w:t>
            </w:r>
          </w:p>
          <w:p w:rsidR="002C0F56" w:rsidRDefault="00E67C6E">
            <w:pPr>
              <w:spacing w:after="0" w:line="259" w:lineRule="auto"/>
              <w:ind w:left="151" w:firstLine="0"/>
              <w:jc w:val="left"/>
            </w:pPr>
            <w:r>
              <w:rPr>
                <w:sz w:val="24"/>
              </w:rPr>
              <w:t xml:space="preserve">статистика </w:t>
            </w:r>
          </w:p>
        </w:tc>
        <w:tc>
          <w:tcPr>
            <w:tcW w:w="2304"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5% критическое значение </w:t>
            </w:r>
          </w:p>
        </w:tc>
        <w:tc>
          <w:tcPr>
            <w:tcW w:w="4112"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9" w:firstLine="0"/>
              <w:jc w:val="center"/>
            </w:pPr>
            <w:r>
              <w:rPr>
                <w:sz w:val="24"/>
              </w:rPr>
              <w:t xml:space="preserve">Спецификация </w:t>
            </w:r>
          </w:p>
        </w:tc>
      </w:tr>
      <w:tr w:rsidR="002C0F56">
        <w:trPr>
          <w:trHeight w:val="341"/>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9" w:firstLine="0"/>
              <w:jc w:val="center"/>
            </w:pPr>
            <w:r>
              <w:rPr>
                <w:sz w:val="24"/>
              </w:rPr>
              <w:t xml:space="preserve">1 –St defference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5" w:firstLine="0"/>
              <w:jc w:val="center"/>
            </w:pPr>
            <w:r>
              <w:rPr>
                <w:sz w:val="24"/>
              </w:rPr>
              <w:t xml:space="preserve">Constanta/Trend </w:t>
            </w:r>
          </w:p>
        </w:tc>
      </w:tr>
      <w:tr w:rsidR="002C0F56">
        <w:trPr>
          <w:trHeight w:val="278"/>
        </w:trPr>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ВВП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-6.24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-2.94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52" w:firstLine="0"/>
              <w:jc w:val="center"/>
            </w:pPr>
            <w:r>
              <w:rPr>
                <w:sz w:val="24"/>
              </w:rPr>
              <w:t xml:space="preserve"> </w:t>
            </w:r>
          </w:p>
        </w:tc>
      </w:tr>
      <w:tr w:rsidR="002C0F56">
        <w:trPr>
          <w:trHeight w:val="434"/>
        </w:trPr>
        <w:tc>
          <w:tcPr>
            <w:tcW w:w="2084" w:type="dxa"/>
            <w:tcBorders>
              <w:top w:val="single" w:sz="4" w:space="0" w:color="000000"/>
              <w:left w:val="single" w:sz="4" w:space="0" w:color="000000"/>
              <w:bottom w:val="single" w:sz="4" w:space="0" w:color="000000"/>
              <w:right w:val="single" w:sz="4" w:space="0" w:color="000000"/>
            </w:tcBorders>
            <w:vAlign w:val="bottom"/>
          </w:tcPr>
          <w:p w:rsidR="002C0F56" w:rsidRDefault="00E67C6E">
            <w:pPr>
              <w:spacing w:after="0" w:line="259" w:lineRule="auto"/>
              <w:ind w:left="0" w:firstLine="0"/>
              <w:jc w:val="left"/>
            </w:pPr>
            <w:r>
              <w:rPr>
                <w:sz w:val="24"/>
              </w:rPr>
              <w:t xml:space="preserve">Прямые налоги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-3.01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-2.93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52" w:firstLine="0"/>
              <w:jc w:val="center"/>
            </w:pPr>
            <w:r>
              <w:rPr>
                <w:sz w:val="24"/>
              </w:rPr>
              <w:t xml:space="preserve"> </w:t>
            </w:r>
          </w:p>
        </w:tc>
      </w:tr>
      <w:tr w:rsidR="002C0F56">
        <w:trPr>
          <w:trHeight w:val="427"/>
        </w:trPr>
        <w:tc>
          <w:tcPr>
            <w:tcW w:w="2084" w:type="dxa"/>
            <w:tcBorders>
              <w:top w:val="single" w:sz="4" w:space="0" w:color="000000"/>
              <w:left w:val="single" w:sz="4" w:space="0" w:color="000000"/>
              <w:bottom w:val="single" w:sz="4" w:space="0" w:color="000000"/>
              <w:right w:val="single" w:sz="4" w:space="0" w:color="000000"/>
            </w:tcBorders>
            <w:vAlign w:val="bottom"/>
          </w:tcPr>
          <w:p w:rsidR="002C0F56" w:rsidRDefault="00E67C6E">
            <w:pPr>
              <w:spacing w:after="0" w:line="259" w:lineRule="auto"/>
              <w:ind w:left="0" w:firstLine="0"/>
              <w:jc w:val="left"/>
            </w:pPr>
            <w:r>
              <w:rPr>
                <w:sz w:val="24"/>
              </w:rPr>
              <w:t xml:space="preserve">Дефлятор ВВП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-1.18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-2.94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2"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0" w:firstLine="0"/>
              <w:jc w:val="center"/>
            </w:pPr>
            <w:r>
              <w:rPr>
                <w:sz w:val="24"/>
              </w:rPr>
              <w:t xml:space="preserve">- </w:t>
            </w:r>
          </w:p>
        </w:tc>
      </w:tr>
      <w:tr w:rsidR="002C0F56">
        <w:trPr>
          <w:trHeight w:val="571"/>
        </w:trPr>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Располагаемые доходы </w:t>
            </w:r>
          </w:p>
        </w:tc>
        <w:tc>
          <w:tcPr>
            <w:tcW w:w="14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1" w:firstLine="0"/>
              <w:jc w:val="center"/>
            </w:pPr>
            <w:r>
              <w:rPr>
                <w:sz w:val="24"/>
              </w:rPr>
              <w:t xml:space="preserve">-5.26 </w:t>
            </w:r>
          </w:p>
        </w:tc>
        <w:tc>
          <w:tcPr>
            <w:tcW w:w="23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1" w:firstLine="0"/>
              <w:jc w:val="center"/>
            </w:pPr>
            <w:r>
              <w:rPr>
                <w:sz w:val="24"/>
              </w:rPr>
              <w:t xml:space="preserve">-3.55 </w:t>
            </w:r>
          </w:p>
        </w:tc>
        <w:tc>
          <w:tcPr>
            <w:tcW w:w="198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52" w:firstLine="0"/>
              <w:jc w:val="center"/>
            </w:pPr>
            <w:r>
              <w:rPr>
                <w:sz w:val="24"/>
              </w:rPr>
              <w:t xml:space="preserve"> </w:t>
            </w:r>
          </w:p>
        </w:tc>
      </w:tr>
      <w:tr w:rsidR="002C0F56">
        <w:trPr>
          <w:trHeight w:val="283"/>
        </w:trPr>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Зарплата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-5.13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-3.15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52" w:firstLine="0"/>
              <w:jc w:val="center"/>
            </w:pPr>
            <w:r>
              <w:rPr>
                <w:sz w:val="24"/>
              </w:rPr>
              <w:t xml:space="preserve"> </w:t>
            </w:r>
          </w:p>
        </w:tc>
      </w:tr>
      <w:tr w:rsidR="002C0F56">
        <w:trPr>
          <w:trHeight w:val="288"/>
        </w:trPr>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Товарооборот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-4.85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-3.05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52" w:firstLine="0"/>
              <w:jc w:val="center"/>
            </w:pPr>
            <w:r>
              <w:rPr>
                <w:sz w:val="24"/>
              </w:rPr>
              <w:t xml:space="preserve"> </w:t>
            </w:r>
          </w:p>
        </w:tc>
      </w:tr>
      <w:tr w:rsidR="002C0F56">
        <w:trPr>
          <w:trHeight w:val="288"/>
        </w:trPr>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Экспорт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-5.35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-3.53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52" w:firstLine="0"/>
              <w:jc w:val="center"/>
            </w:pPr>
            <w:r>
              <w:rPr>
                <w:sz w:val="24"/>
              </w:rPr>
              <w:t xml:space="preserve"> </w:t>
            </w:r>
          </w:p>
        </w:tc>
      </w:tr>
      <w:tr w:rsidR="002C0F56">
        <w:trPr>
          <w:trHeight w:val="288"/>
        </w:trPr>
        <w:tc>
          <w:tcPr>
            <w:tcW w:w="20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Импорт </w:t>
            </w:r>
          </w:p>
        </w:tc>
        <w:tc>
          <w:tcPr>
            <w:tcW w:w="14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-6.76 </w:t>
            </w:r>
          </w:p>
        </w:tc>
        <w:tc>
          <w:tcPr>
            <w:tcW w:w="23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1" w:firstLine="0"/>
              <w:jc w:val="center"/>
            </w:pPr>
            <w:r>
              <w:rPr>
                <w:sz w:val="24"/>
              </w:rPr>
              <w:t xml:space="preserve">-3.58 </w:t>
            </w:r>
          </w:p>
        </w:tc>
        <w:tc>
          <w:tcPr>
            <w:tcW w:w="19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52" w:firstLine="0"/>
              <w:jc w:val="center"/>
            </w:pPr>
            <w:r>
              <w:rPr>
                <w:sz w:val="24"/>
              </w:rPr>
              <w:t xml:space="preserve"> </w:t>
            </w:r>
          </w:p>
        </w:tc>
      </w:tr>
      <w:tr w:rsidR="002C0F56">
        <w:trPr>
          <w:trHeight w:val="826"/>
        </w:trPr>
        <w:tc>
          <w:tcPr>
            <w:tcW w:w="2084" w:type="dxa"/>
            <w:tcBorders>
              <w:top w:val="single" w:sz="4" w:space="0" w:color="000000"/>
              <w:left w:val="single" w:sz="4" w:space="0" w:color="000000"/>
              <w:bottom w:val="single" w:sz="4" w:space="0" w:color="000000"/>
              <w:right w:val="single" w:sz="4" w:space="0" w:color="000000"/>
            </w:tcBorders>
            <w:vAlign w:val="bottom"/>
          </w:tcPr>
          <w:p w:rsidR="002C0F56" w:rsidRDefault="00E67C6E">
            <w:pPr>
              <w:spacing w:after="0" w:line="259" w:lineRule="auto"/>
              <w:ind w:left="0" w:firstLine="0"/>
              <w:jc w:val="left"/>
            </w:pPr>
            <w:r>
              <w:rPr>
                <w:sz w:val="24"/>
              </w:rPr>
              <w:t xml:space="preserve">Промышленное производство </w:t>
            </w:r>
          </w:p>
        </w:tc>
        <w:tc>
          <w:tcPr>
            <w:tcW w:w="14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1" w:firstLine="0"/>
              <w:jc w:val="center"/>
            </w:pPr>
            <w:r>
              <w:rPr>
                <w:sz w:val="24"/>
              </w:rPr>
              <w:t xml:space="preserve">-3.48 </w:t>
            </w:r>
          </w:p>
        </w:tc>
        <w:tc>
          <w:tcPr>
            <w:tcW w:w="23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1" w:firstLine="0"/>
              <w:jc w:val="center"/>
            </w:pPr>
            <w:r>
              <w:rPr>
                <w:sz w:val="24"/>
              </w:rPr>
              <w:t xml:space="preserve">-2.06 </w:t>
            </w:r>
          </w:p>
        </w:tc>
        <w:tc>
          <w:tcPr>
            <w:tcW w:w="198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49" w:firstLine="0"/>
              <w:jc w:val="center"/>
            </w:pPr>
            <w:r>
              <w:rPr>
                <w:sz w:val="24"/>
              </w:rPr>
              <w:t xml:space="preserve"> </w:t>
            </w:r>
          </w:p>
        </w:tc>
        <w:tc>
          <w:tcPr>
            <w:tcW w:w="212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52" w:firstLine="0"/>
              <w:jc w:val="center"/>
            </w:pPr>
            <w:r>
              <w:rPr>
                <w:sz w:val="24"/>
              </w:rPr>
              <w:t xml:space="preserve"> </w:t>
            </w:r>
          </w:p>
        </w:tc>
      </w:tr>
    </w:tbl>
    <w:p w:rsidR="002C0F56" w:rsidRDefault="00E67C6E">
      <w:pPr>
        <w:tabs>
          <w:tab w:val="center" w:pos="4105"/>
          <w:tab w:val="center" w:pos="7981"/>
        </w:tabs>
        <w:spacing w:after="5" w:line="271" w:lineRule="auto"/>
        <w:ind w:left="0" w:firstLine="0"/>
        <w:jc w:val="left"/>
      </w:pPr>
      <w:r>
        <w:rPr>
          <w:rFonts w:ascii="Calibri" w:eastAsia="Calibri" w:hAnsi="Calibri" w:cs="Calibri"/>
          <w:sz w:val="22"/>
        </w:rPr>
        <w:tab/>
      </w:r>
      <w:r>
        <w:rPr>
          <w:sz w:val="24"/>
        </w:rPr>
        <w:t xml:space="preserve">Источник: Рассчитано авторами на основе данных Минэкономики. </w:t>
      </w:r>
      <w:r>
        <w:rPr>
          <w:sz w:val="24"/>
        </w:rPr>
        <w:tab/>
        <w:t xml:space="preserve"> </w:t>
      </w:r>
    </w:p>
    <w:p w:rsidR="002C0F56" w:rsidRDefault="00E67C6E">
      <w:pPr>
        <w:spacing w:after="0" w:line="259" w:lineRule="auto"/>
        <w:ind w:left="744" w:firstLine="0"/>
        <w:jc w:val="left"/>
      </w:pPr>
      <w:r>
        <w:t xml:space="preserve"> </w:t>
      </w:r>
    </w:p>
    <w:p w:rsidR="002C0F56" w:rsidRDefault="00E67C6E">
      <w:pPr>
        <w:spacing w:after="0"/>
        <w:ind w:left="165" w:right="869"/>
      </w:pPr>
      <w:r>
        <w:t xml:space="preserve">После всех проделанных тестов и корректировок было получено несколько уравнений, позволяющих оценить степень влияния на экономический рост. Для того чтобы получить коэффициенты эластичности </w:t>
      </w:r>
      <w:r>
        <w:t xml:space="preserve">все показатели представлены в логарифмической форме. Первое полученное уравнение выглядит следующим образом: </w:t>
      </w:r>
    </w:p>
    <w:p w:rsidR="002C0F56" w:rsidRDefault="00E67C6E">
      <w:pPr>
        <w:ind w:left="165" w:right="866"/>
      </w:pPr>
      <w:r>
        <w:t>После всех проделанных тестов и корректировок было получено несколько уравнений, позволяющих оценить степень влияния на экономический рост. Все по</w:t>
      </w:r>
      <w:r>
        <w:t xml:space="preserve">лученные модели статистически значимы, т.к. проверены по статистическим критериям: </w:t>
      </w:r>
      <w:r>
        <w:rPr>
          <w:b/>
        </w:rPr>
        <w:t xml:space="preserve">F </w:t>
      </w:r>
      <w:r>
        <w:t xml:space="preserve">- Фишера; </w:t>
      </w:r>
      <w:r>
        <w:rPr>
          <w:b/>
        </w:rPr>
        <w:t xml:space="preserve">DW </w:t>
      </w:r>
      <w:r>
        <w:t xml:space="preserve">- Дарбина Уотсона; </w:t>
      </w:r>
      <w:r>
        <w:rPr>
          <w:b/>
        </w:rPr>
        <w:t xml:space="preserve">t </w:t>
      </w:r>
      <w:r>
        <w:t>- Стьюдента. Для того чтобы получить коэффициенты эластичности все показатели представлены в логарифмической форме. Первое полученное ура</w:t>
      </w:r>
      <w:r>
        <w:t xml:space="preserve">внение выглядит следующим образом: </w:t>
      </w:r>
    </w:p>
    <w:p w:rsidR="002C0F56" w:rsidRDefault="00E67C6E">
      <w:pPr>
        <w:spacing w:after="15" w:line="271" w:lineRule="auto"/>
        <w:ind w:left="891" w:hanging="10"/>
        <w:jc w:val="left"/>
      </w:pPr>
      <w:r>
        <w:rPr>
          <w:b/>
        </w:rPr>
        <w:t xml:space="preserve">log(GDP_SA) = 3.43 + 0.08* log(EX_SА) + 0.18*log(TAX_SA) </w:t>
      </w:r>
      <w:r>
        <w:t>(1)</w:t>
      </w:r>
      <w:r>
        <w:rPr>
          <w:b/>
        </w:rPr>
        <w:t xml:space="preserve"> </w:t>
      </w:r>
    </w:p>
    <w:p w:rsidR="002C0F56" w:rsidRDefault="00E67C6E">
      <w:pPr>
        <w:spacing w:after="306" w:line="271" w:lineRule="auto"/>
        <w:ind w:left="2681" w:right="3513" w:hanging="1800"/>
        <w:jc w:val="left"/>
      </w:pPr>
      <w:r>
        <w:t xml:space="preserve">Р-Value, (с.о.) </w:t>
      </w:r>
      <w:r>
        <w:tab/>
        <w:t xml:space="preserve">(0.00) (0.00) </w:t>
      </w:r>
      <w:r>
        <w:tab/>
        <w:t xml:space="preserve">(0.01) </w:t>
      </w:r>
      <w:r>
        <w:rPr>
          <w:b/>
        </w:rPr>
        <w:t>R</w:t>
      </w:r>
      <w:r>
        <w:rPr>
          <w:b/>
          <w:vertAlign w:val="superscript"/>
        </w:rPr>
        <w:t>2</w:t>
      </w:r>
      <w:r>
        <w:rPr>
          <w:b/>
        </w:rPr>
        <w:t>= 0.42           F = 18,31DW=2.09</w:t>
      </w:r>
      <w:r>
        <w:t xml:space="preserve"> </w:t>
      </w:r>
    </w:p>
    <w:p w:rsidR="002C0F56" w:rsidRDefault="00E67C6E">
      <w:pPr>
        <w:ind w:left="165" w:right="886"/>
      </w:pPr>
      <w:r>
        <w:t xml:space="preserve">Где </w:t>
      </w:r>
      <w:r>
        <w:rPr>
          <w:b/>
        </w:rPr>
        <w:t xml:space="preserve">GDP_SA </w:t>
      </w:r>
      <w:r>
        <w:t xml:space="preserve">- валовой внутренний продукт; </w:t>
      </w:r>
      <w:r>
        <w:rPr>
          <w:b/>
        </w:rPr>
        <w:t xml:space="preserve">EX_SA </w:t>
      </w:r>
      <w:r>
        <w:t xml:space="preserve">- экспорт; </w:t>
      </w:r>
      <w:r>
        <w:rPr>
          <w:b/>
        </w:rPr>
        <w:t xml:space="preserve">TAX_SA </w:t>
      </w:r>
      <w:r>
        <w:t xml:space="preserve">- прямые налоги. </w:t>
      </w:r>
      <w:r>
        <w:t xml:space="preserve">Окончание </w:t>
      </w:r>
      <w:r>
        <w:rPr>
          <w:b/>
        </w:rPr>
        <w:t xml:space="preserve">SA </w:t>
      </w:r>
      <w:r>
        <w:t xml:space="preserve">означает season aladjustment- сезонная </w:t>
      </w:r>
      <w:r>
        <w:lastRenderedPageBreak/>
        <w:t xml:space="preserve">корректировка. </w:t>
      </w:r>
      <w:r>
        <w:rPr>
          <w:b/>
        </w:rPr>
        <w:t>P-Value</w:t>
      </w:r>
      <w:r>
        <w:t>- вероятность значимости коэффициента на уровне 99%, 95% и 90%; с.о. - значения стандартных ошибок. Например, для коэффициента при факторе экспорт уровень доверия к полученному коэфф</w:t>
      </w:r>
      <w:r>
        <w:t xml:space="preserve">ициенту составляет 99%. </w:t>
      </w:r>
    </w:p>
    <w:p w:rsidR="002C0F56" w:rsidRDefault="00E67C6E">
      <w:pPr>
        <w:spacing w:after="2"/>
        <w:ind w:left="165" w:right="891"/>
      </w:pPr>
      <w:r>
        <w:t>Наиболее чувствительным фактором, влияющим в наибольшей степени на ВВП, являются прямые налоги, с коэффициентом эластичности0.18, означающим, что при увеличении на 10%. прямых налогов, ВВП увеличится в среднем приблизительно на 1.8</w:t>
      </w:r>
      <w:r>
        <w:t xml:space="preserve">%. </w:t>
      </w:r>
    </w:p>
    <w:p w:rsidR="002C0F56" w:rsidRDefault="00E67C6E">
      <w:pPr>
        <w:spacing w:after="3"/>
        <w:ind w:left="165" w:right="888"/>
      </w:pPr>
      <w:r>
        <w:t>Относительно фактора экспорта можно сказать, что при его увеличении на 10%.экономической рост страны в среднем повысится на 1%. В совокупности оба этих фактора объясняют поведение ВВП на 42%, что свидетельствует о достаточно высокой объясняющей способн</w:t>
      </w:r>
      <w:r>
        <w:t xml:space="preserve">ости модели. </w:t>
      </w:r>
    </w:p>
    <w:p w:rsidR="002C0F56" w:rsidRDefault="00E67C6E">
      <w:pPr>
        <w:spacing w:after="0"/>
        <w:ind w:left="165" w:right="888"/>
      </w:pPr>
      <w:r>
        <w:t xml:space="preserve">Как было сказано выше, факторы в уравнении подбирались таким образом, чтобы присутствовали факторы спроса и предложении, и по возможности, индикаторы макроэкономической стабильности. Полученное второе уравнение отвечает всем этим критериям и </w:t>
      </w:r>
      <w:r>
        <w:t xml:space="preserve">имеет следующий вид: </w:t>
      </w:r>
      <w:r>
        <w:rPr>
          <w:b/>
        </w:rPr>
        <w:t>log(GDP_SA)=l.82-0.14.*log(DefSA)+ 0.30*log(DI_SA) +0.31*log(Ind_SA) (2)</w:t>
      </w:r>
      <w:r>
        <w:t xml:space="preserve"> </w:t>
      </w:r>
    </w:p>
    <w:p w:rsidR="002C0F56" w:rsidRDefault="00E67C6E">
      <w:pPr>
        <w:tabs>
          <w:tab w:val="center" w:pos="2453"/>
          <w:tab w:val="center" w:pos="5128"/>
        </w:tabs>
        <w:spacing w:after="12"/>
        <w:ind w:left="0" w:firstLine="0"/>
        <w:jc w:val="left"/>
      </w:pPr>
      <w:r>
        <w:rPr>
          <w:rFonts w:ascii="Calibri" w:eastAsia="Calibri" w:hAnsi="Calibri" w:cs="Calibri"/>
          <w:sz w:val="22"/>
        </w:rPr>
        <w:tab/>
      </w:r>
      <w:r>
        <w:t xml:space="preserve">P-Value, (c.o.) (0.11) (0.07) </w:t>
      </w:r>
      <w:r>
        <w:tab/>
        <w:t xml:space="preserve">(0.01) (0.10) </w:t>
      </w:r>
    </w:p>
    <w:p w:rsidR="002C0F56" w:rsidRDefault="00E67C6E">
      <w:pPr>
        <w:tabs>
          <w:tab w:val="center" w:pos="1448"/>
          <w:tab w:val="center" w:pos="3342"/>
        </w:tabs>
        <w:spacing w:after="15" w:line="271" w:lineRule="auto"/>
        <w:ind w:left="0" w:firstLine="0"/>
        <w:jc w:val="left"/>
      </w:pPr>
      <w:r>
        <w:rPr>
          <w:rFonts w:ascii="Calibri" w:eastAsia="Calibri" w:hAnsi="Calibri" w:cs="Calibri"/>
          <w:sz w:val="22"/>
        </w:rPr>
        <w:tab/>
      </w:r>
      <w:r>
        <w:rPr>
          <w:b/>
        </w:rPr>
        <w:t xml:space="preserve">R2 = 0.32 </w:t>
      </w:r>
      <w:r>
        <w:rPr>
          <w:b/>
        </w:rPr>
        <w:tab/>
        <w:t>F=14,7DW =2.18</w:t>
      </w:r>
      <w:r>
        <w:t xml:space="preserve"> </w:t>
      </w:r>
    </w:p>
    <w:p w:rsidR="002C0F56" w:rsidRDefault="00E67C6E">
      <w:pPr>
        <w:ind w:left="165" w:right="302"/>
      </w:pPr>
      <w:r>
        <w:t xml:space="preserve">Где </w:t>
      </w:r>
      <w:r>
        <w:rPr>
          <w:b/>
        </w:rPr>
        <w:t>Def_SA</w:t>
      </w:r>
      <w:r>
        <w:t xml:space="preserve">- уровень инфляции по дефлятору ВВП; </w:t>
      </w:r>
      <w:r>
        <w:rPr>
          <w:b/>
        </w:rPr>
        <w:t xml:space="preserve">DI_SA - </w:t>
      </w:r>
      <w:r>
        <w:t xml:space="preserve">располагаемые доходы населения; </w:t>
      </w:r>
      <w:r>
        <w:rPr>
          <w:b/>
        </w:rPr>
        <w:t>Ind_SA</w:t>
      </w:r>
      <w:r>
        <w:t xml:space="preserve">- выпуск промышленной продукции. </w:t>
      </w:r>
    </w:p>
    <w:p w:rsidR="002C0F56" w:rsidRDefault="00E67C6E">
      <w:pPr>
        <w:spacing w:after="0"/>
        <w:ind w:left="165" w:right="888"/>
      </w:pPr>
      <w:r>
        <w:t>Исходя из уравнения 2, можно сказать: полученные коэффициенты являются значимыми с вероятностью в 90%, что является допустимым, а полученные знаки логичными. Так, на основании полученн</w:t>
      </w:r>
      <w:r>
        <w:t>ых результатов можно сказать, что при увеличении инфляции по дефлятору ВВП на 10% экономический рост страны снизится в среднем на 1.4%, коэффициент при располагаемых доходах 0.3 имеет положительную связь, говорят о том, что при повышении доходов на 10%  пр</w:t>
      </w:r>
      <w:r>
        <w:t xml:space="preserve">иведет к увеличению ВВП в среднем на 3%. (со стороны спроса). Увеличение со стороны спроса приводит к увеличению предложения. Как видно из полученной модели, увеличение предложения на 10% по фактору выпуска промышленной продукции имеет такие же пропорции, </w:t>
      </w:r>
      <w:r>
        <w:t>как и спрос, т.е. в этом случае ВВП страны увеличится в среднем на 3.1%. Такая пропорция может свидетельствовать о некотором балансе спроса и предложения на сегодняшний момент времени, что является, как было упомянуто выше, одним из критериев качественного</w:t>
      </w:r>
      <w:r>
        <w:t xml:space="preserve"> экономического роста. </w:t>
      </w:r>
    </w:p>
    <w:p w:rsidR="002C0F56" w:rsidRDefault="00E67C6E">
      <w:pPr>
        <w:spacing w:after="0"/>
        <w:ind w:left="165" w:right="302"/>
      </w:pPr>
      <w:r>
        <w:t>В третьем уравнении была проделана попытка включить все факторы, однако, в данном уравнении полученные коэффициенты при таких показателях как дефлятор ВВП, располагаемые доходы, а также выпуск промышленной продукции не дали статисти</w:t>
      </w:r>
      <w:r>
        <w:t xml:space="preserve">чески значимой связи. В связи с чем для того, чтобы учесть влияние этих </w:t>
      </w:r>
      <w:r>
        <w:lastRenderedPageBreak/>
        <w:t xml:space="preserve">факторов на экономический рост республики, для получения прогнозных оценок будет применен метод аппроксимации. Полученное уравнение выглядит следующим образом: </w:t>
      </w:r>
      <w:r>
        <w:rPr>
          <w:b/>
        </w:rPr>
        <w:t>log(GDP_SA</w:t>
      </w:r>
      <w:r>
        <w:rPr>
          <w:b/>
        </w:rPr>
        <w:t>) = 1.57 + 0.14. * Iog(WAGE_SА) + 0.19*log(TAX_SA) +</w:t>
      </w:r>
      <w:r>
        <w:t xml:space="preserve"> </w:t>
      </w:r>
    </w:p>
    <w:p w:rsidR="002C0F56" w:rsidRDefault="00E67C6E">
      <w:pPr>
        <w:tabs>
          <w:tab w:val="center" w:pos="2489"/>
          <w:tab w:val="center" w:pos="6934"/>
        </w:tabs>
        <w:spacing w:after="359"/>
        <w:ind w:left="0" w:firstLine="0"/>
        <w:jc w:val="left"/>
      </w:pPr>
      <w:r>
        <w:rPr>
          <w:rFonts w:ascii="Calibri" w:eastAsia="Calibri" w:hAnsi="Calibri" w:cs="Calibri"/>
          <w:sz w:val="22"/>
        </w:rPr>
        <w:tab/>
      </w:r>
      <w:r>
        <w:t xml:space="preserve">Р-Value, (с.о.) (0.05) (0.04) </w:t>
      </w:r>
      <w:r>
        <w:tab/>
        <w:t xml:space="preserve">(0.03) </w:t>
      </w:r>
    </w:p>
    <w:p w:rsidR="002C0F56" w:rsidRDefault="00E67C6E">
      <w:pPr>
        <w:spacing w:after="5" w:line="270" w:lineRule="auto"/>
        <w:ind w:left="700" w:right="1176" w:hanging="10"/>
        <w:jc w:val="center"/>
      </w:pPr>
      <w:r>
        <w:rPr>
          <w:b/>
        </w:rPr>
        <w:t>+ 0.17*log(EX_SA) -0.08*log(IM_SA) +0.29*log(TURN_SA) -</w:t>
      </w:r>
      <w:r>
        <w:t xml:space="preserve"> </w:t>
      </w:r>
    </w:p>
    <w:p w:rsidR="002C0F56" w:rsidRDefault="00E67C6E">
      <w:pPr>
        <w:tabs>
          <w:tab w:val="center" w:pos="1726"/>
          <w:tab w:val="center" w:pos="4024"/>
          <w:tab w:val="center" w:pos="6406"/>
        </w:tabs>
        <w:spacing w:after="361"/>
        <w:ind w:left="0" w:firstLine="0"/>
        <w:jc w:val="left"/>
      </w:pPr>
      <w:r>
        <w:rPr>
          <w:rFonts w:ascii="Calibri" w:eastAsia="Calibri" w:hAnsi="Calibri" w:cs="Calibri"/>
          <w:sz w:val="22"/>
        </w:rPr>
        <w:tab/>
      </w:r>
      <w:r>
        <w:t xml:space="preserve">(0.0.) </w:t>
      </w:r>
      <w:r>
        <w:tab/>
        <w:t xml:space="preserve">(0.006) </w:t>
      </w:r>
      <w:r>
        <w:tab/>
        <w:t xml:space="preserve">(0.03) </w:t>
      </w:r>
    </w:p>
    <w:p w:rsidR="002C0F56" w:rsidRDefault="00E67C6E">
      <w:pPr>
        <w:spacing w:after="5" w:line="270" w:lineRule="auto"/>
        <w:ind w:left="700" w:right="1257" w:hanging="10"/>
        <w:jc w:val="center"/>
      </w:pPr>
      <w:r>
        <w:rPr>
          <w:b/>
        </w:rPr>
        <w:t>-0.04*log(INV_SА) (3)</w:t>
      </w:r>
      <w:r>
        <w:t xml:space="preserve"> </w:t>
      </w:r>
    </w:p>
    <w:p w:rsidR="002C0F56" w:rsidRDefault="00E67C6E">
      <w:pPr>
        <w:spacing w:after="0" w:line="259" w:lineRule="auto"/>
        <w:ind w:left="3721" w:firstLine="0"/>
        <w:jc w:val="left"/>
      </w:pPr>
      <w:r>
        <w:rPr>
          <w:rFonts w:ascii="Corbel" w:eastAsia="Corbel" w:hAnsi="Corbel" w:cs="Corbel"/>
        </w:rPr>
        <w:t>(</w:t>
      </w:r>
      <w:r>
        <w:rPr>
          <w:rFonts w:ascii="Impact" w:eastAsia="Impact" w:hAnsi="Impact" w:cs="Impact"/>
        </w:rPr>
        <w:t>0</w:t>
      </w:r>
      <w:r>
        <w:rPr>
          <w:rFonts w:ascii="Corbel" w:eastAsia="Corbel" w:hAnsi="Corbel" w:cs="Corbel"/>
        </w:rPr>
        <w:t>.</w:t>
      </w:r>
      <w:r>
        <w:rPr>
          <w:rFonts w:ascii="Impact" w:eastAsia="Impact" w:hAnsi="Impact" w:cs="Impact"/>
        </w:rPr>
        <w:t>002</w:t>
      </w:r>
      <w:r>
        <w:rPr>
          <w:rFonts w:ascii="Corbel" w:eastAsia="Corbel" w:hAnsi="Corbel" w:cs="Corbel"/>
        </w:rPr>
        <w:t>)</w:t>
      </w:r>
      <w:r>
        <w:t xml:space="preserve"> </w:t>
      </w:r>
    </w:p>
    <w:p w:rsidR="002C0F56" w:rsidRDefault="00E67C6E">
      <w:pPr>
        <w:pStyle w:val="3"/>
        <w:tabs>
          <w:tab w:val="center" w:pos="2683"/>
          <w:tab w:val="center" w:pos="5015"/>
          <w:tab w:val="center" w:pos="7505"/>
        </w:tabs>
        <w:ind w:left="0" w:right="0" w:firstLine="0"/>
        <w:jc w:val="left"/>
      </w:pPr>
      <w:r>
        <w:rPr>
          <w:rFonts w:ascii="Calibri" w:eastAsia="Calibri" w:hAnsi="Calibri" w:cs="Calibri"/>
          <w:b w:val="0"/>
          <w:sz w:val="22"/>
        </w:rPr>
        <w:tab/>
      </w:r>
      <w:r>
        <w:t>R</w:t>
      </w:r>
      <w:r>
        <w:rPr>
          <w:vertAlign w:val="superscript"/>
        </w:rPr>
        <w:t>2</w:t>
      </w:r>
      <w:r>
        <w:t xml:space="preserve"> = 0.64 </w:t>
      </w:r>
      <w:r>
        <w:tab/>
        <w:t xml:space="preserve">F = 21,2 </w:t>
      </w:r>
      <w:r>
        <w:tab/>
        <w:t xml:space="preserve">DW =1.6 </w:t>
      </w:r>
    </w:p>
    <w:p w:rsidR="002C0F56" w:rsidRDefault="00E67C6E">
      <w:pPr>
        <w:spacing w:after="5" w:line="268" w:lineRule="auto"/>
        <w:ind w:left="744" w:right="1028" w:firstLine="0"/>
        <w:jc w:val="left"/>
      </w:pPr>
      <w:r>
        <w:t xml:space="preserve">Где </w:t>
      </w:r>
      <w:r>
        <w:rPr>
          <w:b/>
        </w:rPr>
        <w:t xml:space="preserve">WAGE_SA </w:t>
      </w:r>
      <w:r>
        <w:t xml:space="preserve">- </w:t>
      </w:r>
      <w:r>
        <w:t xml:space="preserve">зарплата; </w:t>
      </w:r>
      <w:r>
        <w:rPr>
          <w:b/>
        </w:rPr>
        <w:t xml:space="preserve">EX_SA </w:t>
      </w:r>
      <w:r>
        <w:t xml:space="preserve">- экспорт; </w:t>
      </w:r>
      <w:r>
        <w:rPr>
          <w:b/>
        </w:rPr>
        <w:t xml:space="preserve">TAX_SA </w:t>
      </w:r>
      <w:r>
        <w:t xml:space="preserve">- прямые Налоги </w:t>
      </w:r>
      <w:r>
        <w:rPr>
          <w:b/>
        </w:rPr>
        <w:t xml:space="preserve">IM_SA </w:t>
      </w:r>
      <w:r>
        <w:t xml:space="preserve">- импорт; </w:t>
      </w:r>
      <w:r>
        <w:rPr>
          <w:b/>
        </w:rPr>
        <w:t xml:space="preserve">TIJRN SA </w:t>
      </w:r>
      <w:r>
        <w:t xml:space="preserve">- розничный товарооборот; </w:t>
      </w:r>
      <w:r>
        <w:rPr>
          <w:b/>
        </w:rPr>
        <w:t>INV_SA -</w:t>
      </w:r>
      <w:r>
        <w:t xml:space="preserve"> инвестиции. </w:t>
      </w:r>
    </w:p>
    <w:p w:rsidR="002C0F56" w:rsidRDefault="00E67C6E">
      <w:pPr>
        <w:spacing w:after="0"/>
        <w:ind w:left="165" w:right="887"/>
      </w:pPr>
      <w:r>
        <w:t xml:space="preserve">На основании данного уравнения можно сказать, что полученные оценки с уровнем доверия в 95% практически по всем показателям обладают </w:t>
      </w:r>
      <w:r>
        <w:t xml:space="preserve">высокой объясняющей способностью в 64%. Как показал эконометрический анализ, наиболее чувствительным фактором к экономическому  росту  является  розничный товарооборот с коэффициентом эластичности 0.29, иначе говоря, расширение спроса со стороны населения </w:t>
      </w:r>
      <w:r>
        <w:t xml:space="preserve">на 10% будет на прямую увеличивать экономический рост в среднем на 2.9%.  </w:t>
      </w:r>
    </w:p>
    <w:p w:rsidR="002C0F56" w:rsidRDefault="00E67C6E">
      <w:pPr>
        <w:spacing w:after="0"/>
        <w:ind w:left="165" w:right="887"/>
      </w:pPr>
      <w:r>
        <w:t xml:space="preserve">Полученный коэффициент приблизительно равен и располагаемым доходам (как одного из возможных факторов расширения спроса) как и во втором уравнении, что свидетельствует о достаточно </w:t>
      </w:r>
      <w:r>
        <w:t xml:space="preserve">устойчивой зависимости спроса (а также достоверности полученных  коэффициентов  и  правдоподобности выбранной  спецификации модели) на экономическую активность страны, который обладает высоким потенциалом стимулирования экономического роста. </w:t>
      </w:r>
    </w:p>
    <w:p w:rsidR="002C0F56" w:rsidRDefault="00E67C6E">
      <w:pPr>
        <w:spacing w:after="10"/>
        <w:ind w:left="165" w:right="897"/>
      </w:pPr>
      <w:r>
        <w:t>Процентная ст</w:t>
      </w:r>
      <w:r>
        <w:t xml:space="preserve">авка и обменный курс не нашли своего отражения в модели, т.к. для них не было получено ни одной статистически значимой связи, что свидетельствует об их косвенном влиянии на экономический рост. </w:t>
      </w:r>
    </w:p>
    <w:p w:rsidR="002C0F56" w:rsidRDefault="00E67C6E">
      <w:pPr>
        <w:spacing w:after="0"/>
        <w:ind w:left="165" w:right="889"/>
      </w:pPr>
      <w:r>
        <w:t>Также доказательностью правильности полученных коэффициентов я</w:t>
      </w:r>
      <w:r>
        <w:t>вляется и полученный коэффициент при налогах: так, если в первом уравнении данный коэффициент составил 0.18, то в данном уравнении он изменился в сторону увеличения, лишь на 0.01, что является допустимым отклонением. Относительно высокой разницы между полу</w:t>
      </w:r>
      <w:r>
        <w:t>ченными коэффициентами по экспорту можно сказать, что возможно данный показатель в первом уравнении был занижен, поскольку в модели отсутствовал фактор импорта. Нелогичный знак получен для фактора инвестиции, но с достаточно высокой вероятностью в 98%, воз</w:t>
      </w:r>
      <w:r>
        <w:t xml:space="preserve">можно это связано с неэффективным инвестированием в отдельные </w:t>
      </w:r>
      <w:r>
        <w:lastRenderedPageBreak/>
        <w:t>отрасли. Для выхода на единый ВВП, как было отмечено выше, применен метод аппроксимации, который позволит учесть каждый фактор по уравнениям с учетом его веса. Для того чтобы избежать двойного у</w:t>
      </w:r>
      <w:r>
        <w:t>чета факторов аппроксимированию подлежат два уравнения 2 и 3, именно эти уравнения несут максимальную информацию факторов, влияющих на уровень экономического роста. В данном случае мерой весов будет объясняющая способностьуравнений илиR</w:t>
      </w:r>
      <w:r>
        <w:rPr>
          <w:vertAlign w:val="superscript"/>
        </w:rPr>
        <w:t>2</w:t>
      </w:r>
      <w:r>
        <w:t>.Так, дляфакторов п</w:t>
      </w:r>
      <w:r>
        <w:t>о второму уравнению вес будет равен 0.32, для третьего уравнения - 0.64. Использование данного подхода позволяет избежать ошибок. На основании данной методики был рассчитан вклад каждого фактора в прирост ВВП(табл.3.2.).Исходя из полученного расчета по вкл</w:t>
      </w:r>
      <w:r>
        <w:t>аду факторов в экономический роста в 2016 г. Можно сказать, что в период кризиса основным фактором, поддержавшим высокие темпы экономического роста в Узбекистане, явилось повышение доходов населения. Это сказалось как через общее повышение доходов, так в п</w:t>
      </w:r>
      <w:r>
        <w:t>оказатели зарплаты, и как следствие устойчивый спрос со стороны населения, выраженный через фактор товарооборота, что свидетельствует об эффективности принятой антикризисной программы, в которой одним из основных акцентов является повышение доходов населен</w:t>
      </w:r>
      <w:r>
        <w:t xml:space="preserve">ия. Как видно из таблицы 2.использованные факторы в модели, объясняют поведение происходящих экономических процессов на 78%, 22% приходится на факторы, которые не были учтены в использованной модели. </w:t>
      </w:r>
    </w:p>
    <w:p w:rsidR="002C0F56" w:rsidRDefault="00E67C6E">
      <w:pPr>
        <w:spacing w:after="25" w:line="259" w:lineRule="auto"/>
        <w:ind w:left="0" w:right="147" w:firstLine="0"/>
        <w:jc w:val="center"/>
      </w:pPr>
      <w:r>
        <w:rPr>
          <w:i/>
          <w:sz w:val="24"/>
        </w:rPr>
        <w:t xml:space="preserve"> </w:t>
      </w:r>
    </w:p>
    <w:p w:rsidR="002C0F56" w:rsidRDefault="00E67C6E">
      <w:pPr>
        <w:spacing w:after="5" w:line="271" w:lineRule="auto"/>
        <w:ind w:left="1594" w:right="396" w:hanging="10"/>
        <w:jc w:val="left"/>
      </w:pPr>
      <w:r>
        <w:rPr>
          <w:i/>
          <w:sz w:val="24"/>
        </w:rPr>
        <w:t>Таблица 2</w:t>
      </w:r>
      <w:r>
        <w:rPr>
          <w:sz w:val="24"/>
        </w:rPr>
        <w:t xml:space="preserve"> - </w:t>
      </w:r>
      <w:r>
        <w:rPr>
          <w:b/>
          <w:sz w:val="24"/>
        </w:rPr>
        <w:t>Расчет вклада факторов в экономический ро</w:t>
      </w:r>
      <w:r>
        <w:rPr>
          <w:b/>
          <w:sz w:val="24"/>
        </w:rPr>
        <w:t xml:space="preserve">ст в 2016 г. </w:t>
      </w:r>
    </w:p>
    <w:tbl>
      <w:tblPr>
        <w:tblStyle w:val="TableGrid"/>
        <w:tblW w:w="8656" w:type="dxa"/>
        <w:tblInd w:w="672" w:type="dxa"/>
        <w:tblCellMar>
          <w:top w:w="98" w:type="dxa"/>
          <w:left w:w="0" w:type="dxa"/>
          <w:bottom w:w="0" w:type="dxa"/>
          <w:right w:w="7" w:type="dxa"/>
        </w:tblCellMar>
        <w:tblLook w:val="04A0" w:firstRow="1" w:lastRow="0" w:firstColumn="1" w:lastColumn="0" w:noHBand="0" w:noVBand="1"/>
      </w:tblPr>
      <w:tblGrid>
        <w:gridCol w:w="2171"/>
        <w:gridCol w:w="777"/>
        <w:gridCol w:w="1987"/>
        <w:gridCol w:w="2271"/>
        <w:gridCol w:w="1450"/>
      </w:tblGrid>
      <w:tr w:rsidR="002C0F56">
        <w:trPr>
          <w:trHeight w:val="475"/>
        </w:trPr>
        <w:tc>
          <w:tcPr>
            <w:tcW w:w="2948" w:type="dxa"/>
            <w:gridSpan w:val="2"/>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2" w:firstLine="0"/>
              <w:jc w:val="center"/>
            </w:pPr>
            <w:r>
              <w:rPr>
                <w:b/>
                <w:sz w:val="24"/>
              </w:rPr>
              <w:t>Индикаторы</w:t>
            </w:r>
            <w:r>
              <w:rPr>
                <w:sz w:val="24"/>
              </w:rPr>
              <w:t xml:space="preserve"> </w:t>
            </w:r>
          </w:p>
        </w:tc>
        <w:tc>
          <w:tcPr>
            <w:tcW w:w="198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28" w:firstLine="0"/>
              <w:jc w:val="left"/>
            </w:pPr>
            <w:r>
              <w:rPr>
                <w:b/>
                <w:sz w:val="24"/>
              </w:rPr>
              <w:t>Эластичности</w:t>
            </w:r>
            <w:r>
              <w:rPr>
                <w:sz w:val="24"/>
              </w:rPr>
              <w:t xml:space="preserve"> </w:t>
            </w:r>
          </w:p>
        </w:tc>
        <w:tc>
          <w:tcPr>
            <w:tcW w:w="2271"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3" w:firstLine="0"/>
              <w:jc w:val="center"/>
            </w:pPr>
            <w:r>
              <w:rPr>
                <w:b/>
                <w:sz w:val="24"/>
              </w:rPr>
              <w:t>Темп прироста</w:t>
            </w:r>
            <w:r>
              <w:rPr>
                <w:sz w:val="24"/>
              </w:rPr>
              <w:t xml:space="preserve"> </w:t>
            </w:r>
          </w:p>
        </w:tc>
        <w:tc>
          <w:tcPr>
            <w:tcW w:w="145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b/>
                <w:sz w:val="24"/>
              </w:rPr>
              <w:t>Вклад</w:t>
            </w:r>
            <w:r>
              <w:rPr>
                <w:sz w:val="24"/>
              </w:rPr>
              <w:t xml:space="preserve"> </w:t>
            </w:r>
          </w:p>
        </w:tc>
      </w:tr>
      <w:tr w:rsidR="002C0F56">
        <w:trPr>
          <w:trHeight w:val="461"/>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 xml:space="preserve">Зарплата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0,14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18,1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20,0 </w:t>
            </w:r>
          </w:p>
        </w:tc>
      </w:tr>
      <w:tr w:rsidR="002C0F56">
        <w:trPr>
          <w:trHeight w:val="461"/>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 xml:space="preserve">Прямые налоги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0,19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4,5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6,8 </w:t>
            </w:r>
          </w:p>
        </w:tc>
      </w:tr>
      <w:tr w:rsidR="002C0F56">
        <w:trPr>
          <w:trHeight w:val="461"/>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 xml:space="preserve">Экспорт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0,17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2,0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2,7 </w:t>
            </w:r>
          </w:p>
        </w:tc>
      </w:tr>
      <w:tr w:rsidR="002C0F56">
        <w:trPr>
          <w:trHeight w:val="456"/>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 xml:space="preserve">Импорт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-0,08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2,0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-1,3 </w:t>
            </w:r>
          </w:p>
        </w:tc>
      </w:tr>
      <w:tr w:rsidR="002C0F56">
        <w:trPr>
          <w:trHeight w:val="461"/>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 xml:space="preserve">Товарооборот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0,29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14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31,1 </w:t>
            </w:r>
          </w:p>
        </w:tc>
      </w:tr>
      <w:tr w:rsidR="002C0F56">
        <w:trPr>
          <w:trHeight w:val="461"/>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 xml:space="preserve">Инвестиции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-0,04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22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-7,0 </w:t>
            </w:r>
          </w:p>
        </w:tc>
      </w:tr>
      <w:tr w:rsidR="002C0F56">
        <w:trPr>
          <w:trHeight w:val="456"/>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t>Дефлятор ВВП</w:t>
            </w:r>
            <w:r>
              <w:rPr>
                <w:sz w:val="24"/>
              </w:rPr>
              <w:t xml:space="preserve">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-0,14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17,7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-9,8 </w:t>
            </w:r>
          </w:p>
        </w:tc>
      </w:tr>
      <w:tr w:rsidR="002C0F56">
        <w:trPr>
          <w:trHeight w:val="913"/>
        </w:trPr>
        <w:tc>
          <w:tcPr>
            <w:tcW w:w="2171" w:type="dxa"/>
            <w:tcBorders>
              <w:top w:val="single" w:sz="4" w:space="0" w:color="000000"/>
              <w:left w:val="single" w:sz="4" w:space="0" w:color="000000"/>
              <w:bottom w:val="single" w:sz="4" w:space="0" w:color="000000"/>
              <w:right w:val="nil"/>
            </w:tcBorders>
            <w:vAlign w:val="center"/>
          </w:tcPr>
          <w:p w:rsidR="002C0F56" w:rsidRDefault="00E67C6E">
            <w:pPr>
              <w:spacing w:after="0" w:line="259" w:lineRule="auto"/>
              <w:ind w:left="12" w:firstLine="0"/>
              <w:jc w:val="left"/>
            </w:pPr>
            <w:r>
              <w:rPr>
                <w:sz w:val="24"/>
              </w:rPr>
              <w:t xml:space="preserve">Располагаемые населения </w:t>
            </w:r>
          </w:p>
        </w:tc>
        <w:tc>
          <w:tcPr>
            <w:tcW w:w="777" w:type="dxa"/>
            <w:tcBorders>
              <w:top w:val="single" w:sz="4" w:space="0" w:color="000000"/>
              <w:left w:val="nil"/>
              <w:bottom w:val="single" w:sz="4" w:space="0" w:color="000000"/>
              <w:right w:val="single" w:sz="4" w:space="0" w:color="000000"/>
            </w:tcBorders>
          </w:tcPr>
          <w:p w:rsidR="002C0F56" w:rsidRDefault="00E67C6E">
            <w:pPr>
              <w:spacing w:after="0" w:line="259" w:lineRule="auto"/>
              <w:ind w:left="0" w:firstLine="0"/>
            </w:pPr>
            <w:r>
              <w:rPr>
                <w:sz w:val="24"/>
              </w:rPr>
              <w:t>доходы</w:t>
            </w:r>
          </w:p>
        </w:tc>
        <w:tc>
          <w:tcPr>
            <w:tcW w:w="198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 w:firstLine="0"/>
              <w:jc w:val="left"/>
            </w:pPr>
            <w:r>
              <w:rPr>
                <w:sz w:val="24"/>
              </w:rPr>
              <w:t xml:space="preserve"> </w:t>
            </w:r>
          </w:p>
          <w:p w:rsidR="002C0F56" w:rsidRDefault="00E67C6E">
            <w:pPr>
              <w:spacing w:after="0" w:line="259" w:lineRule="auto"/>
              <w:ind w:left="9" w:firstLine="0"/>
              <w:jc w:val="center"/>
            </w:pPr>
            <w:r>
              <w:rPr>
                <w:sz w:val="24"/>
              </w:rPr>
              <w:t xml:space="preserve">0,30 </w:t>
            </w:r>
          </w:p>
        </w:tc>
        <w:tc>
          <w:tcPr>
            <w:tcW w:w="2271"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 w:firstLine="0"/>
              <w:jc w:val="center"/>
            </w:pPr>
            <w:r>
              <w:rPr>
                <w:sz w:val="24"/>
              </w:rPr>
              <w:t xml:space="preserve">20,0 </w:t>
            </w:r>
          </w:p>
        </w:tc>
        <w:tc>
          <w:tcPr>
            <w:tcW w:w="145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sz w:val="24"/>
              </w:rPr>
              <w:t xml:space="preserve">23,7 </w:t>
            </w:r>
          </w:p>
        </w:tc>
      </w:tr>
      <w:tr w:rsidR="002C0F56">
        <w:trPr>
          <w:trHeight w:val="456"/>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sz w:val="24"/>
              </w:rPr>
              <w:lastRenderedPageBreak/>
              <w:t xml:space="preserve">Промышленность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0,31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9,0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11,0 </w:t>
            </w:r>
          </w:p>
        </w:tc>
      </w:tr>
      <w:tr w:rsidR="002C0F56">
        <w:trPr>
          <w:trHeight w:val="461"/>
        </w:trPr>
        <w:tc>
          <w:tcPr>
            <w:tcW w:w="2171" w:type="dxa"/>
            <w:tcBorders>
              <w:top w:val="single" w:sz="4" w:space="0" w:color="000000"/>
              <w:left w:val="single" w:sz="4" w:space="0" w:color="000000"/>
              <w:bottom w:val="single" w:sz="4" w:space="0" w:color="000000"/>
              <w:right w:val="nil"/>
            </w:tcBorders>
          </w:tcPr>
          <w:p w:rsidR="002C0F56" w:rsidRDefault="00E67C6E">
            <w:pPr>
              <w:spacing w:after="0" w:line="259" w:lineRule="auto"/>
              <w:ind w:left="12" w:firstLine="0"/>
              <w:jc w:val="left"/>
            </w:pPr>
            <w:r>
              <w:rPr>
                <w:b/>
                <w:sz w:val="24"/>
              </w:rPr>
              <w:t>Итого</w:t>
            </w:r>
            <w:r>
              <w:rPr>
                <w:sz w:val="24"/>
              </w:rPr>
              <w:t xml:space="preserve"> </w:t>
            </w:r>
          </w:p>
        </w:tc>
        <w:tc>
          <w:tcPr>
            <w:tcW w:w="777"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1" w:firstLine="0"/>
              <w:jc w:val="center"/>
            </w:pPr>
            <w:r>
              <w:rPr>
                <w:sz w:val="24"/>
              </w:rPr>
              <w:t xml:space="preserve">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2" w:firstLine="0"/>
              <w:jc w:val="center"/>
            </w:pPr>
            <w:r>
              <w:rPr>
                <w:sz w:val="24"/>
              </w:rPr>
              <w:t xml:space="preserve">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b/>
                <w:sz w:val="24"/>
              </w:rPr>
              <w:t>78,3</w:t>
            </w:r>
            <w:r>
              <w:rPr>
                <w:sz w:val="24"/>
              </w:rPr>
              <w:t xml:space="preserve"> </w:t>
            </w:r>
          </w:p>
        </w:tc>
      </w:tr>
      <w:tr w:rsidR="002C0F56">
        <w:trPr>
          <w:trHeight w:val="466"/>
        </w:trPr>
        <w:tc>
          <w:tcPr>
            <w:tcW w:w="2948"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left"/>
            </w:pPr>
            <w:r>
              <w:rPr>
                <w:sz w:val="24"/>
              </w:rPr>
              <w:t xml:space="preserve">Неучтенные факторы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1" w:firstLine="0"/>
              <w:jc w:val="center"/>
            </w:pPr>
            <w:r>
              <w:rPr>
                <w:sz w:val="24"/>
              </w:rPr>
              <w:t xml:space="preserve">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2" w:firstLine="0"/>
              <w:jc w:val="center"/>
            </w:pPr>
            <w:r>
              <w:rPr>
                <w:sz w:val="24"/>
              </w:rPr>
              <w:t xml:space="preserve">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21,7 </w:t>
            </w:r>
          </w:p>
        </w:tc>
      </w:tr>
      <w:tr w:rsidR="002C0F56">
        <w:trPr>
          <w:trHeight w:val="470"/>
        </w:trPr>
        <w:tc>
          <w:tcPr>
            <w:tcW w:w="2948"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left"/>
            </w:pPr>
            <w:r>
              <w:rPr>
                <w:b/>
                <w:sz w:val="24"/>
              </w:rPr>
              <w:t>ВВП</w:t>
            </w:r>
            <w:r>
              <w:rPr>
                <w:sz w:val="24"/>
              </w:rPr>
              <w:t xml:space="preserve"> </w:t>
            </w:r>
          </w:p>
        </w:tc>
        <w:tc>
          <w:tcPr>
            <w:tcW w:w="198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1" w:firstLine="0"/>
              <w:jc w:val="center"/>
            </w:pPr>
            <w:r>
              <w:rPr>
                <w:sz w:val="24"/>
              </w:rPr>
              <w:t xml:space="preserve"> </w:t>
            </w:r>
          </w:p>
        </w:tc>
        <w:tc>
          <w:tcPr>
            <w:tcW w:w="227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b/>
                <w:sz w:val="24"/>
              </w:rPr>
              <w:t>8,1</w:t>
            </w:r>
            <w:r>
              <w:rPr>
                <w:sz w:val="24"/>
              </w:rPr>
              <w:t xml:space="preserve"> </w:t>
            </w:r>
          </w:p>
        </w:tc>
        <w:tc>
          <w:tcPr>
            <w:tcW w:w="14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b/>
                <w:sz w:val="24"/>
              </w:rPr>
              <w:t>100</w:t>
            </w:r>
            <w:r>
              <w:rPr>
                <w:sz w:val="24"/>
              </w:rPr>
              <w:t xml:space="preserve"> </w:t>
            </w:r>
          </w:p>
        </w:tc>
      </w:tr>
    </w:tbl>
    <w:p w:rsidR="002C0F56" w:rsidRDefault="00E67C6E">
      <w:pPr>
        <w:spacing w:after="5" w:line="271" w:lineRule="auto"/>
        <w:ind w:left="673" w:hanging="10"/>
        <w:jc w:val="left"/>
      </w:pPr>
      <w:r>
        <w:rPr>
          <w:sz w:val="24"/>
        </w:rPr>
        <w:t>Источник: рассчитано автором на основе данных Госкомстат.</w:t>
      </w:r>
      <w:r>
        <w:rPr>
          <w:b/>
          <w:sz w:val="24"/>
        </w:rPr>
        <w:t xml:space="preserve"> </w:t>
      </w:r>
    </w:p>
    <w:p w:rsidR="002C0F56" w:rsidRDefault="00E67C6E">
      <w:pPr>
        <w:spacing w:after="0"/>
        <w:ind w:left="165" w:right="893"/>
      </w:pPr>
      <w:r>
        <w:t>В целом разработанная модель является достаточно устойчивой с надежными коэффициентами, свидетельствуют о создании модели, при помощи которой можно разрабатывать сценарные условия на краткосрочный прогнозный период и выработке рекомендаций для макроэкономи</w:t>
      </w:r>
      <w:r>
        <w:t xml:space="preserve">ческих политик.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Калиева А.А. </w:t>
      </w:r>
      <w:r>
        <w:rPr>
          <w:b w:val="0"/>
        </w:rPr>
        <w:t xml:space="preserve">Научный руководитель: Жунусова А.Ж. </w:t>
      </w:r>
    </w:p>
    <w:p w:rsidR="002C0F56" w:rsidRDefault="00E67C6E">
      <w:pPr>
        <w:spacing w:after="0" w:line="267" w:lineRule="auto"/>
        <w:ind w:left="905" w:right="860" w:hanging="10"/>
        <w:jc w:val="right"/>
      </w:pPr>
      <w:r>
        <w:rPr>
          <w:i/>
        </w:rPr>
        <w:t xml:space="preserve">Евразийский национальный университет им. Л.Н. Гумилева </w:t>
      </w:r>
    </w:p>
    <w:p w:rsidR="002C0F56" w:rsidRDefault="00E67C6E">
      <w:pPr>
        <w:spacing w:after="29" w:line="259" w:lineRule="auto"/>
        <w:ind w:left="744" w:firstLine="0"/>
        <w:jc w:val="left"/>
      </w:pPr>
      <w:r>
        <w:rPr>
          <w:b/>
        </w:rPr>
        <w:t xml:space="preserve"> </w:t>
      </w:r>
    </w:p>
    <w:p w:rsidR="002C0F56" w:rsidRDefault="00E67C6E">
      <w:pPr>
        <w:pStyle w:val="1"/>
        <w:spacing w:after="15" w:line="271" w:lineRule="auto"/>
        <w:ind w:left="402" w:right="0"/>
        <w:jc w:val="left"/>
      </w:pPr>
      <w:r>
        <w:t xml:space="preserve">КОРПОРАТИВНАЯ СОЦИАЛЬНАЯ ОТВЕТСТВЕННОСТЬ БИЗНЕСА </w:t>
      </w:r>
    </w:p>
    <w:p w:rsidR="002C0F56" w:rsidRDefault="00E67C6E">
      <w:pPr>
        <w:spacing w:after="0" w:line="259" w:lineRule="auto"/>
        <w:ind w:left="744" w:firstLine="0"/>
        <w:jc w:val="left"/>
      </w:pPr>
      <w:r>
        <w:t xml:space="preserve"> </w:t>
      </w:r>
    </w:p>
    <w:p w:rsidR="002C0F56" w:rsidRDefault="00E67C6E">
      <w:pPr>
        <w:spacing w:after="10"/>
        <w:ind w:left="165" w:right="866"/>
      </w:pPr>
      <w:r>
        <w:t>В научной литературе под социальной поддержкой общества бизнесом, является такое понятие, как корпоративная социальная ответственность (далее - КСО). По мнению генерального директора компании Halliburton Том Круикшанк: «Социальная ответственность — широкая</w:t>
      </w:r>
      <w:r>
        <w:t xml:space="preserve"> область, поскольку она может проявляться во многих сферах жизни, начиная с вашего отношения к людям или окружающей среде и заканчивая способом реализации ваших возможностей. Однако, с моей точки зрения, по сути, это означает быть чувствительным к благопол</w:t>
      </w:r>
      <w:r>
        <w:t xml:space="preserve">учию человечества в любой области, на которую вы оказываете влияние». </w:t>
      </w:r>
    </w:p>
    <w:p w:rsidR="002C0F56" w:rsidRDefault="00E67C6E">
      <w:pPr>
        <w:ind w:left="165" w:right="873"/>
      </w:pPr>
      <w:r>
        <w:t>С точки зрения Генри Ганта, несмотря на то, что стимулом существования какого-либо бизнеса является получение прибыли, наиважнейшим фактором, определяющим гармонию, является поддержание</w:t>
      </w:r>
      <w:r>
        <w:t xml:space="preserve"> социальной ответственности бизнеса перед обществом. </w:t>
      </w:r>
    </w:p>
    <w:p w:rsidR="002C0F56" w:rsidRDefault="00E67C6E">
      <w:pPr>
        <w:spacing w:after="0"/>
        <w:ind w:left="165" w:right="869"/>
      </w:pPr>
      <w:r>
        <w:t>На данный момент существуют несколько всемирных корпораций, такие как: Walmart, Exxonmobil, Royal Dutch Shell, Apple, Glencore Samsung Electronics, Amazon, Microsoft; которые превзошли многие государств</w:t>
      </w:r>
      <w:r>
        <w:t>а по мощи и ресурсам необходимые для позитивного влияния на глобальные изменения различных процессов в обществе. Почему такие влиятельные компании все больше задумываются над КСО, потому что это является очень хорошим доходом. В современном мире все чаще п</w:t>
      </w:r>
      <w:r>
        <w:t xml:space="preserve">ри формировании впечатления на бренд и в общем </w:t>
      </w:r>
      <w:r>
        <w:lastRenderedPageBreak/>
        <w:t xml:space="preserve">бизнес люди обращают внимание на социальную эффективность работы организации [1]. </w:t>
      </w:r>
    </w:p>
    <w:p w:rsidR="002C0F56" w:rsidRDefault="00E67C6E">
      <w:pPr>
        <w:spacing w:after="0"/>
        <w:ind w:left="165" w:right="867"/>
      </w:pPr>
      <w:r>
        <w:t>Если в прошлом компании были обязаны не наносить своей деятельностью вреда обществу или окружающей среде, в будущем им придетс</w:t>
      </w:r>
      <w:r>
        <w:t xml:space="preserve">я учиться оказывать положительное влияние. КСО быстро превращается в глобальное ожидание, выражающееся в том, чтобы не только поступать правильно, но и вносить позитивные изменения в конечный результат. </w:t>
      </w:r>
    </w:p>
    <w:p w:rsidR="002C0F56" w:rsidRDefault="00E67C6E">
      <w:pPr>
        <w:spacing w:after="471"/>
        <w:ind w:left="165" w:right="868"/>
      </w:pPr>
      <w:r>
        <w:t>Чтобы максимизировать их положительное влияние на со</w:t>
      </w:r>
      <w:r>
        <w:t>циальные и экологические системы, в которых они действуют, компании должны разработать согласованные стратегии КСО со своей стратегией ведения бизнеса. Это должно быть неотъемлемой частью работы каждого генерального директора и правления. Деятельность комп</w:t>
      </w:r>
      <w:r>
        <w:t xml:space="preserve">аний в области КСО обычно разделяется между тремя видами практики. Соответственно, назначение КСО является важнейшим первым шагом.  </w:t>
      </w:r>
    </w:p>
    <w:p w:rsidR="002C0F56" w:rsidRDefault="00E67C6E">
      <w:pPr>
        <w:spacing w:after="593" w:line="259" w:lineRule="auto"/>
        <w:ind w:left="744" w:firstLine="0"/>
        <w:jc w:val="left"/>
      </w:pPr>
      <w:r>
        <w:rPr>
          <w:noProof/>
        </w:rPr>
        <w:drawing>
          <wp:inline distT="0" distB="0" distL="0" distR="0">
            <wp:extent cx="5516880" cy="1642110"/>
            <wp:effectExtent l="0" t="0" r="0" b="0"/>
            <wp:docPr id="34732" name="Picture 34732"/>
            <wp:cNvGraphicFramePr/>
            <a:graphic xmlns:a="http://schemas.openxmlformats.org/drawingml/2006/main">
              <a:graphicData uri="http://schemas.openxmlformats.org/drawingml/2006/picture">
                <pic:pic xmlns:pic="http://schemas.openxmlformats.org/drawingml/2006/picture">
                  <pic:nvPicPr>
                    <pic:cNvPr id="34732" name="Picture 34732"/>
                    <pic:cNvPicPr/>
                  </pic:nvPicPr>
                  <pic:blipFill>
                    <a:blip r:embed="rId662"/>
                    <a:stretch>
                      <a:fillRect/>
                    </a:stretch>
                  </pic:blipFill>
                  <pic:spPr>
                    <a:xfrm>
                      <a:off x="0" y="0"/>
                      <a:ext cx="5516880" cy="1642110"/>
                    </a:xfrm>
                    <a:prstGeom prst="rect">
                      <a:avLst/>
                    </a:prstGeom>
                  </pic:spPr>
                </pic:pic>
              </a:graphicData>
            </a:graphic>
          </wp:inline>
        </w:drawing>
      </w:r>
    </w:p>
    <w:p w:rsidR="002C0F56" w:rsidRDefault="00E67C6E">
      <w:pPr>
        <w:spacing w:after="0" w:line="259" w:lineRule="auto"/>
        <w:ind w:left="0" w:right="1183" w:firstLine="0"/>
        <w:jc w:val="right"/>
      </w:pPr>
      <w:r>
        <w:t xml:space="preserve"> </w:t>
      </w:r>
    </w:p>
    <w:p w:rsidR="002C0F56" w:rsidRDefault="00E67C6E">
      <w:pPr>
        <w:spacing w:after="0" w:line="259" w:lineRule="auto"/>
        <w:ind w:left="744" w:firstLine="0"/>
        <w:jc w:val="left"/>
      </w:pPr>
      <w:r>
        <w:t xml:space="preserve"> </w:t>
      </w:r>
    </w:p>
    <w:p w:rsidR="002C0F56" w:rsidRDefault="00E67C6E">
      <w:pPr>
        <w:pStyle w:val="4"/>
        <w:ind w:left="1181" w:right="1377"/>
      </w:pPr>
      <w:r>
        <w:t xml:space="preserve">Рис.1. Виды КСО </w:t>
      </w:r>
    </w:p>
    <w:p w:rsidR="002C0F56" w:rsidRDefault="00E67C6E">
      <w:pPr>
        <w:spacing w:after="25" w:line="259" w:lineRule="auto"/>
        <w:ind w:left="744" w:firstLine="0"/>
        <w:jc w:val="left"/>
      </w:pPr>
      <w:r>
        <w:t xml:space="preserve"> </w:t>
      </w:r>
    </w:p>
    <w:p w:rsidR="002C0F56" w:rsidRDefault="00E67C6E">
      <w:pPr>
        <w:numPr>
          <w:ilvl w:val="0"/>
          <w:numId w:val="99"/>
        </w:numPr>
        <w:spacing w:after="12"/>
        <w:ind w:left="955" w:right="302" w:hanging="211"/>
      </w:pPr>
      <w:r>
        <w:t xml:space="preserve">вид Благотворительность. </w:t>
      </w:r>
    </w:p>
    <w:p w:rsidR="002C0F56" w:rsidRDefault="00E67C6E">
      <w:pPr>
        <w:ind w:left="165" w:right="875"/>
      </w:pPr>
      <w:r>
        <w:t xml:space="preserve">Такое КСО не предназначено для получения прибыли или прямого повышения эффективности работы бизнеса. Примерами могут послужить пожертвования денег в различные фонды. </w:t>
      </w:r>
    </w:p>
    <w:p w:rsidR="002C0F56" w:rsidRDefault="00E67C6E">
      <w:pPr>
        <w:numPr>
          <w:ilvl w:val="0"/>
          <w:numId w:val="99"/>
        </w:numPr>
        <w:ind w:left="955" w:right="302" w:hanging="211"/>
      </w:pPr>
      <w:r>
        <w:t xml:space="preserve">вид Повышение операционной эффективности. </w:t>
      </w:r>
    </w:p>
    <w:p w:rsidR="002C0F56" w:rsidRDefault="00E67C6E">
      <w:pPr>
        <w:ind w:left="165" w:right="865"/>
      </w:pPr>
      <w:r>
        <w:t>Такие программы КСО функционируют в рамках сущ</w:t>
      </w:r>
      <w:r>
        <w:t>ествующих бизнесмоделей таким образом, что они могут (но не всегда) увеличивать доходы и снижать затраты. Примеры включают инициативы в области устойчивого развития, которые сокращают использование ресурсов, а также минимизируют количество отходов или выбр</w:t>
      </w:r>
      <w:r>
        <w:t xml:space="preserve">осов, что, в свою очередь, может сократить </w:t>
      </w:r>
      <w:r>
        <w:lastRenderedPageBreak/>
        <w:t xml:space="preserve">расходы; инвестиции в условия работы сотрудников, здравоохранение или образование, которые могут повысить производительность и репутацию компании. </w:t>
      </w:r>
    </w:p>
    <w:p w:rsidR="002C0F56" w:rsidRDefault="00E67C6E">
      <w:pPr>
        <w:numPr>
          <w:ilvl w:val="0"/>
          <w:numId w:val="99"/>
        </w:numPr>
        <w:spacing w:after="12"/>
        <w:ind w:left="955" w:right="302" w:hanging="211"/>
      </w:pPr>
      <w:r>
        <w:t xml:space="preserve">вид Преобразование бизнес-модели. </w:t>
      </w:r>
    </w:p>
    <w:p w:rsidR="002C0F56" w:rsidRDefault="00E67C6E">
      <w:pPr>
        <w:spacing w:after="0"/>
        <w:ind w:left="165" w:right="873"/>
      </w:pPr>
      <w:r>
        <w:t>Здесь создаются новые формы би</w:t>
      </w:r>
      <w:r>
        <w:t>знеса, специально предназначенные для решения социальных или экологических проблем. Повышение эффективности бизнеса - основано на достижении социальных или экологических результатов. Хороший пример - проект «Хактустан Юнилевер Шакти» («расширение прав и во</w:t>
      </w:r>
      <w:r>
        <w:t>зможностей») в Индии. Вместо того, чтобы использовать свою обычную модель распределения оптовиков и розничных продавцов для охвата отдаленных деревень, компания привлекает сельских женщин, предоставляет им доступ к микрофинансовым кредитам и обучает их про</w:t>
      </w:r>
      <w:r>
        <w:t>даже мыла, моющих средств и других продуктов «от двери до двери». В настоящее время в Индии более 65 000 женщин-предпринимателей, что в среднем почти удваивает их семейные доходы, в то же время увеличивая доступ сельских жителей к продуктам гигиены и тем с</w:t>
      </w:r>
      <w:r>
        <w:t>амым способствуя укреплению здоровья населения. Эти социальные выгоды были достигнуты благодаря росту бизнеса для компании: с 2012 года проект Шакти достиг более 100 миллионов долларов продаж. Его успех привел к тому, что Unilever развернула аналогичные пр</w:t>
      </w:r>
      <w:r>
        <w:t xml:space="preserve">ограммы в других частях мира [2]. </w:t>
      </w:r>
    </w:p>
    <w:p w:rsidR="002C0F56" w:rsidRDefault="00E67C6E">
      <w:pPr>
        <w:spacing w:after="0"/>
        <w:ind w:left="165" w:right="865"/>
      </w:pPr>
      <w:r>
        <w:t>Среди стран Центральной Азии Республика Казахстан, пожалуй, является лидером в области КСО. Ведь первые предпосылки для развития социальной ответственности в независимом Казахстане появились еще в середине 1990-х с приход</w:t>
      </w:r>
      <w:r>
        <w:t>ом на рынок иностранных компаний, которые уже тогда демонстрировали свою социальную ответственность. Однако, несмотря на это, еще буквально пять лет назад понятие КСО считалось относительно новым в Казахстане. Сегодня же, осведомленность населения и отечес</w:t>
      </w:r>
      <w:r>
        <w:t xml:space="preserve">твенных компаний об основных принципах социальной ответственности растет. Тем не менее единого понимания концепции КСО в Казахстане пока еще не сформировалось. </w:t>
      </w:r>
    </w:p>
    <w:p w:rsidR="002C0F56" w:rsidRDefault="00E67C6E">
      <w:pPr>
        <w:spacing w:after="1"/>
        <w:ind w:left="165" w:right="873"/>
      </w:pPr>
      <w:r>
        <w:t xml:space="preserve">Хотя государство активно стимулирует бизнес к участию в решении социальных проблем, отечественные компании пока направляют на цели КСО меньше, чем иностранные, и далеко не во всех разработаны специальные программы. </w:t>
      </w:r>
    </w:p>
    <w:p w:rsidR="002C0F56" w:rsidRDefault="00E67C6E">
      <w:pPr>
        <w:spacing w:after="0"/>
        <w:ind w:left="165" w:right="868"/>
      </w:pPr>
      <w:r>
        <w:t>Руководители компаний выделяют три основ</w:t>
      </w:r>
      <w:r>
        <w:t>ных барьера для развития КСО в стране: отсутствие понимания, надежных операторов и денег. Так, многие пока не видят различий между КСО и благотворительностью, другие рассматривают КСО как инструмент давления со стороны государства. Менее половины крупных к</w:t>
      </w:r>
      <w:r>
        <w:t xml:space="preserve">омпаний, согласно результатам опросов, знают о налоговых льготах по затратам на программы КСО. Говорят, о недостаточной роли государства, об </w:t>
      </w:r>
      <w:r>
        <w:lastRenderedPageBreak/>
        <w:t>ограничительном регулировании, о низких экономических стимулах для КСО и недоверии к акиматам, которые могли бы ста</w:t>
      </w:r>
      <w:r>
        <w:t xml:space="preserve">ть операторами социальных инициатив. Но основной проблемой, судя по всему, является дефицит финансирования: сегодня прибыли большинства компаний сократились, поэтому и затраты на программы социальной ответственности заметно снизились. </w:t>
      </w:r>
    </w:p>
    <w:p w:rsidR="002C0F56" w:rsidRDefault="00E67C6E">
      <w:pPr>
        <w:spacing w:after="0"/>
        <w:ind w:left="165" w:right="870"/>
      </w:pPr>
      <w:r>
        <w:t>Государство может сд</w:t>
      </w:r>
      <w:r>
        <w:t>елать многое, чтобы местные компании увеличили свои затраты на КСО, но в условиях финансового кризиса новых концепций, налоговых льгот и административного давления будет явно недостаточно. Нужно, чтобы компании осознали свою выгоду и перестали рассматриват</w:t>
      </w:r>
      <w:r>
        <w:t xml:space="preserve">ь программы социальной ответственности лишь как вычет из собственной прибыли – тогда и вложения повысятся. </w:t>
      </w:r>
    </w:p>
    <w:p w:rsidR="002C0F56" w:rsidRDefault="00E67C6E">
      <w:pPr>
        <w:spacing w:after="3"/>
        <w:ind w:left="165" w:right="870"/>
      </w:pPr>
      <w:r>
        <w:t>Существует обывательский стереотип, что бизнес зарабатывает, причиняя вред обществу – загрязняя окружающую среду, эксплуатируя сотрудников или прибе</w:t>
      </w:r>
      <w:r>
        <w:t>гая к коррупции. Так думают многие до сих пор. Однако практика развитых стран говорит о том, что можно зарабатывать не на создании проблем, а на их решении. Бизнес может заработать на решении социальных проблем – в этом состоит суть нового подхода к социал</w:t>
      </w:r>
      <w:r>
        <w:t xml:space="preserve">ьной ответственности, так называемой концепции разделяемых ценностей, автором которой является знаменитый Майкл Портер из Гарвардской школы бизнеса. </w:t>
      </w:r>
    </w:p>
    <w:p w:rsidR="002C0F56" w:rsidRDefault="00E67C6E">
      <w:pPr>
        <w:spacing w:after="0"/>
        <w:ind w:left="165" w:right="864"/>
      </w:pPr>
      <w:r>
        <w:t>Есть немало способов заработать на благо всем. Это могут быть новые продукты и услуги для социально незащи</w:t>
      </w:r>
      <w:r>
        <w:t>щенных слоев населения, решения ключевых социальных проблем сотрудников и поставщиков, технологии более эффективного использования ресурсов и другие инициативы, которые одновременно повышают прибыль компании и создают ценность для общества. Примеров множес</w:t>
      </w:r>
      <w:r>
        <w:t>тво: доступный автомобиль (Индия), программы обучения фермеров (Бразилия), новая инфраструктура для доступа к рынкам (Африка). Причем в числе пионеров нового подхода – компании из беднейших стран, которые зарабатывают на этом миллионы. Например, Anglo Gold</w:t>
      </w:r>
      <w:r>
        <w:t xml:space="preserve"> Ashanti в ЮАР удалось сэкономить $600 млн за счет реализации программы по борьбе с малярией в регионах присутствия. </w:t>
      </w:r>
    </w:p>
    <w:p w:rsidR="002C0F56" w:rsidRDefault="00E67C6E">
      <w:pPr>
        <w:ind w:left="165" w:right="866"/>
      </w:pPr>
      <w:r>
        <w:t>Как таковых законодательных требований со стороны государства к организации и использованию КСО на предприятии не существует. В Казахстане действует ряд законодательных документов, определяющих лишь общие обязательства бизнеса в экономической, экологическо</w:t>
      </w:r>
      <w:r>
        <w:t xml:space="preserve">й, социальной сферах жизнедеятельности общества.  </w:t>
      </w:r>
    </w:p>
    <w:p w:rsidR="002C0F56" w:rsidRDefault="00E67C6E">
      <w:pPr>
        <w:spacing w:after="0"/>
        <w:ind w:left="165" w:right="873"/>
      </w:pPr>
      <w:r>
        <w:t xml:space="preserve">Основным гарантом соблюдения социальных норм является Конституция Казахстана, в которой закреплены права человека на жизнь, свободу, неприкосновенность достоинства, свободу слова и совести, свободу </w:t>
      </w:r>
      <w:r>
        <w:lastRenderedPageBreak/>
        <w:t>объедин</w:t>
      </w:r>
      <w:r>
        <w:t xml:space="preserve">ений и т.д. (статьи с 12 по 23). В плане корпоративной социальной ответственности стоит отдельно отметить статью 24, в которой указано, что:  </w:t>
      </w:r>
    </w:p>
    <w:p w:rsidR="002C0F56" w:rsidRDefault="00E67C6E">
      <w:pPr>
        <w:numPr>
          <w:ilvl w:val="0"/>
          <w:numId w:val="100"/>
        </w:numPr>
        <w:spacing w:after="11"/>
        <w:ind w:right="873"/>
      </w:pPr>
      <w:r>
        <w:t>«Каждый имеет право на свободу труда, свободный выбор рода деятельности и профессии. Принудительный труд допускае</w:t>
      </w:r>
      <w:r>
        <w:t xml:space="preserve">тся только по приговору суда либо в условиях чрезвычайного или военного положения.  </w:t>
      </w:r>
    </w:p>
    <w:p w:rsidR="002C0F56" w:rsidRDefault="00E67C6E">
      <w:pPr>
        <w:numPr>
          <w:ilvl w:val="0"/>
          <w:numId w:val="100"/>
        </w:numPr>
        <w:ind w:right="873"/>
      </w:pPr>
      <w:r>
        <w:t>Каждый имеет право на условия труда, отвечающие требованиям безопасности и гигиены, на вознаграждение за труд без какой-либо дискриминации, а также на социальную защиту от</w:t>
      </w:r>
      <w:r>
        <w:t xml:space="preserve"> безработицы.  </w:t>
      </w:r>
    </w:p>
    <w:p w:rsidR="002C0F56" w:rsidRDefault="00E67C6E">
      <w:pPr>
        <w:numPr>
          <w:ilvl w:val="0"/>
          <w:numId w:val="100"/>
        </w:numPr>
        <w:spacing w:after="10"/>
        <w:ind w:right="873"/>
      </w:pPr>
      <w:r>
        <w:t xml:space="preserve">Признается право на индивидуальные и коллективные трудовые споры с использованием установленных законом способов их разрешения, включая право на забастовку.  </w:t>
      </w:r>
    </w:p>
    <w:p w:rsidR="002C0F56" w:rsidRDefault="00E67C6E">
      <w:pPr>
        <w:numPr>
          <w:ilvl w:val="0"/>
          <w:numId w:val="100"/>
        </w:numPr>
        <w:spacing w:after="10"/>
        <w:ind w:right="873"/>
      </w:pPr>
      <w:r>
        <w:t>Каждый имеет право на отдых. Работающим по трудовому договору гарантируются устан</w:t>
      </w:r>
      <w:r>
        <w:t xml:space="preserve">овленные законом продолжительность рабочего времени, выходные и праздничные дни, оплачиваемый ежегодный отпуск».  </w:t>
      </w:r>
    </w:p>
    <w:p w:rsidR="002C0F56" w:rsidRDefault="00E67C6E">
      <w:pPr>
        <w:ind w:left="165" w:right="874"/>
      </w:pPr>
      <w:r>
        <w:t>Эти пункты Конституции обозначают основные обязательства бизнеса, которые регулируются также рядом других законодательных документов, диктующ</w:t>
      </w:r>
      <w:r>
        <w:t xml:space="preserve">их формальные обязательства бизнеса перед государством и обществом.  </w:t>
      </w:r>
    </w:p>
    <w:p w:rsidR="002C0F56" w:rsidRDefault="00E67C6E">
      <w:pPr>
        <w:ind w:left="744" w:right="302" w:firstLine="0"/>
      </w:pPr>
      <w:r>
        <w:t xml:space="preserve">Также существуют такие законодательные документы, как: </w:t>
      </w:r>
    </w:p>
    <w:p w:rsidR="002C0F56" w:rsidRDefault="00E67C6E">
      <w:pPr>
        <w:numPr>
          <w:ilvl w:val="0"/>
          <w:numId w:val="101"/>
        </w:numPr>
        <w:ind w:right="873"/>
      </w:pPr>
      <w:r>
        <w:t>Кодекс РК «О налогах и других обязательных платежах в бюджет» (Налоговый кодекс), который содержит нормы по уплате налогов и других обязательных платежей в бюджет и регулирует отношения, возникающие между государством и налогоплательщиком при исполнении на</w:t>
      </w:r>
      <w:r>
        <w:t xml:space="preserve">логовых обязательств.  </w:t>
      </w:r>
    </w:p>
    <w:p w:rsidR="002C0F56" w:rsidRDefault="00E67C6E">
      <w:pPr>
        <w:numPr>
          <w:ilvl w:val="0"/>
          <w:numId w:val="101"/>
        </w:numPr>
        <w:ind w:right="873"/>
      </w:pPr>
      <w:r>
        <w:t>Трудовой кодекс РК направлен на правовое регулирование трудовых отношений и создание необходимых правовых условий для достижения баланса интересов сторон трудовых отношений, экономического роста, повышение эффективности производства</w:t>
      </w:r>
      <w:r>
        <w:t xml:space="preserve"> и благосостояния людей.  </w:t>
      </w:r>
    </w:p>
    <w:p w:rsidR="002C0F56" w:rsidRDefault="00E67C6E">
      <w:pPr>
        <w:numPr>
          <w:ilvl w:val="0"/>
          <w:numId w:val="101"/>
        </w:numPr>
        <w:spacing w:after="2"/>
        <w:ind w:right="873"/>
      </w:pPr>
      <w:r>
        <w:t xml:space="preserve">Экологический кодекс регулирует отношения в использовании и воспроизводстве природных ресурсов при осуществлении хозяйственной и иной деятельности, связанной с использованием природных ресурсов и воздействием на окружающую среду </w:t>
      </w:r>
      <w:r>
        <w:t xml:space="preserve">[3].  </w:t>
      </w:r>
    </w:p>
    <w:p w:rsidR="002C0F56" w:rsidRDefault="00E67C6E">
      <w:pPr>
        <w:ind w:left="165" w:right="870"/>
      </w:pPr>
      <w:r>
        <w:t>На существующий момент основными стимулами разработки и внедрения принципов КСО являются требования руководителя компании, а также власти и нормы законодательства. Важным стимулирующим фактором является «формирование позитивного имиджа». Это говорит</w:t>
      </w:r>
      <w:r>
        <w:t xml:space="preserve"> о понимании необходимости позиционирования своего бизнеса в мировом сообществе, повышении деловой репутации компании. Многие крупные предприниматели рассматривают КСО как инструмент выхода на мировое экономическое пространство.  </w:t>
      </w:r>
    </w:p>
    <w:p w:rsidR="002C0F56" w:rsidRDefault="00E67C6E">
      <w:pPr>
        <w:ind w:left="744" w:right="302" w:firstLine="0"/>
      </w:pPr>
      <w:r>
        <w:t xml:space="preserve">Факторами, которые могут </w:t>
      </w:r>
      <w:r>
        <w:t xml:space="preserve">стимулировать развитие КСО, выступают:  </w:t>
      </w:r>
    </w:p>
    <w:p w:rsidR="002C0F56" w:rsidRDefault="00E67C6E">
      <w:pPr>
        <w:numPr>
          <w:ilvl w:val="0"/>
          <w:numId w:val="102"/>
        </w:numPr>
        <w:ind w:right="302"/>
      </w:pPr>
      <w:r>
        <w:lastRenderedPageBreak/>
        <w:t xml:space="preserve">Необходимость внедрения льготного налогообложения для компаний, которые осуществляют КСО.  </w:t>
      </w:r>
    </w:p>
    <w:p w:rsidR="002C0F56" w:rsidRDefault="00E67C6E">
      <w:pPr>
        <w:numPr>
          <w:ilvl w:val="0"/>
          <w:numId w:val="102"/>
        </w:numPr>
        <w:ind w:right="302"/>
      </w:pPr>
      <w:r>
        <w:t xml:space="preserve">Проведение информационно-просветительской кампании по КСО.  </w:t>
      </w:r>
    </w:p>
    <w:p w:rsidR="002C0F56" w:rsidRDefault="00E67C6E">
      <w:pPr>
        <w:numPr>
          <w:ilvl w:val="0"/>
          <w:numId w:val="102"/>
        </w:numPr>
        <w:ind w:right="302"/>
      </w:pPr>
      <w:r>
        <w:t xml:space="preserve">Принятие Национальной концепции КСО. </w:t>
      </w:r>
    </w:p>
    <w:p w:rsidR="002C0F56" w:rsidRDefault="00E67C6E">
      <w:pPr>
        <w:numPr>
          <w:ilvl w:val="0"/>
          <w:numId w:val="102"/>
        </w:numPr>
        <w:spacing w:after="12"/>
        <w:ind w:right="302"/>
      </w:pPr>
      <w:r>
        <w:t>Устранение административ</w:t>
      </w:r>
      <w:r>
        <w:t xml:space="preserve">ных барьеров. </w:t>
      </w:r>
    </w:p>
    <w:p w:rsidR="002C0F56" w:rsidRDefault="00E67C6E">
      <w:pPr>
        <w:spacing w:after="0"/>
        <w:ind w:left="165" w:right="868"/>
      </w:pPr>
      <w:r>
        <w:t>Как никогда актуальны слова Главы государства Н.А. Назарбаева: «Корпоративная социальная ответственность в современном мире воспринимается не только как благотворительность, но и как эффективная деятельность, повышающая деловую репутацию и к</w:t>
      </w:r>
      <w:r>
        <w:t xml:space="preserve">апитализацию компании. Это добровольный вклад бизнеса в развитие общества, социальной, экономической и экологической сфер. Это осознанные инвестиции бизнеса в будущее» [4].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spacing w:after="12"/>
        <w:ind w:left="744" w:right="302" w:firstLine="0"/>
      </w:pPr>
      <w:r>
        <w:t>1.</w:t>
      </w:r>
      <w:hyperlink r:id="rId663">
        <w:r>
          <w:t>https://forbes.kz/blogs/blogsid_116781/</w:t>
        </w:r>
      </w:hyperlink>
      <w:hyperlink r:id="rId664">
        <w:r>
          <w:t xml:space="preserve"> </w:t>
        </w:r>
      </w:hyperlink>
    </w:p>
    <w:p w:rsidR="002C0F56" w:rsidRDefault="00E67C6E">
      <w:pPr>
        <w:spacing w:after="0"/>
        <w:ind w:left="165" w:right="302"/>
      </w:pPr>
      <w:r>
        <w:t xml:space="preserve">2.http://ngoexpert.kz/upload/files/issledovaniyu_kso_sandj_dlya_fonda_evraziy a__2013.pdf </w:t>
      </w:r>
    </w:p>
    <w:p w:rsidR="002C0F56" w:rsidRDefault="00E67C6E">
      <w:pPr>
        <w:numPr>
          <w:ilvl w:val="0"/>
          <w:numId w:val="103"/>
        </w:numPr>
        <w:spacing w:after="12"/>
        <w:ind w:right="584"/>
      </w:pPr>
      <w:r>
        <w:t xml:space="preserve">zakon. kz/102524-vystuplenie-prezidenta-n.a.-nazarbaeva.html&gt;. </w:t>
      </w:r>
    </w:p>
    <w:p w:rsidR="002C0F56" w:rsidRDefault="00E67C6E">
      <w:pPr>
        <w:numPr>
          <w:ilvl w:val="0"/>
          <w:numId w:val="103"/>
        </w:numPr>
        <w:ind w:right="584"/>
      </w:pPr>
      <w:r>
        <w:t xml:space="preserve">Выступление Президента Н.А. Назарбаева на республиканском Форуме по вопросам социальной ответственности бизнеса (Жезказган, 24 января 2008 года). </w:t>
      </w:r>
    </w:p>
    <w:p w:rsidR="002C0F56" w:rsidRDefault="00E67C6E">
      <w:pPr>
        <w:pStyle w:val="1"/>
        <w:spacing w:after="25" w:line="259" w:lineRule="auto"/>
        <w:ind w:right="856"/>
        <w:jc w:val="right"/>
      </w:pPr>
      <w:r>
        <w:t xml:space="preserve">Каминская Н.А. </w:t>
      </w:r>
      <w:r>
        <w:rPr>
          <w:b w:val="0"/>
        </w:rPr>
        <w:t xml:space="preserve">Научный руководитель: Горбач С.М. </w:t>
      </w:r>
    </w:p>
    <w:p w:rsidR="002C0F56" w:rsidRDefault="00E67C6E">
      <w:pPr>
        <w:spacing w:after="0" w:line="267" w:lineRule="auto"/>
        <w:ind w:left="905" w:right="860" w:hanging="10"/>
        <w:jc w:val="right"/>
      </w:pPr>
      <w:r>
        <w:rPr>
          <w:i/>
        </w:rPr>
        <w:t xml:space="preserve">Барановичский государственный университет </w:t>
      </w:r>
    </w:p>
    <w:p w:rsidR="002C0F56" w:rsidRDefault="00E67C6E">
      <w:pPr>
        <w:spacing w:after="0" w:line="259" w:lineRule="auto"/>
        <w:ind w:left="744" w:firstLine="0"/>
        <w:jc w:val="left"/>
      </w:pPr>
      <w:r>
        <w:rPr>
          <w:i/>
        </w:rPr>
        <w:t xml:space="preserve"> </w:t>
      </w:r>
    </w:p>
    <w:p w:rsidR="002C0F56" w:rsidRDefault="00E67C6E">
      <w:pPr>
        <w:pStyle w:val="1"/>
        <w:ind w:left="700" w:right="1378"/>
      </w:pPr>
      <w:r>
        <w:t>БЕЗРАБОТИЦА В</w:t>
      </w:r>
      <w:r>
        <w:t xml:space="preserve"> РЕСПУБЛИКЕ БЕЛАРУСЬ, АНАЛИЗ И ПУТИ ЕЕ РЕШЕНИЯ </w:t>
      </w:r>
    </w:p>
    <w:p w:rsidR="002C0F56" w:rsidRDefault="00E67C6E">
      <w:pPr>
        <w:spacing w:after="0" w:line="259" w:lineRule="auto"/>
        <w:ind w:left="744" w:firstLine="0"/>
        <w:jc w:val="left"/>
      </w:pPr>
      <w:r>
        <w:rPr>
          <w:b/>
        </w:rPr>
        <w:t xml:space="preserve"> </w:t>
      </w:r>
    </w:p>
    <w:p w:rsidR="002C0F56" w:rsidRDefault="00E67C6E">
      <w:pPr>
        <w:spacing w:after="6"/>
        <w:ind w:left="165" w:right="864"/>
      </w:pPr>
      <w:r>
        <w:t xml:space="preserve">Актуальность темы исследования обусловлена тем, что безработица влечет за собой много серьезных экономических, социальных, политических последствий. Занятость и безработица – макроэкономические показатели, </w:t>
      </w:r>
      <w:r>
        <w:t xml:space="preserve">которые характеризуют уровень и качество жизни населения. Поэтому достижение высокого уровня занятости является одной из основных целей макроэкономической политики любого государства.  </w:t>
      </w:r>
    </w:p>
    <w:p w:rsidR="002C0F56" w:rsidRDefault="00E67C6E">
      <w:pPr>
        <w:spacing w:after="0"/>
        <w:ind w:left="165" w:right="866"/>
      </w:pPr>
      <w:r>
        <w:t>В Республике Беларусь приоритетным направлением деятельности государст</w:t>
      </w:r>
      <w:r>
        <w:t xml:space="preserve">ва является политика занятости, направленная на снижение массовой безработицы, создание дополнительных рабочих мест, обеспечение профессиональной подготовки и переподготовки, поддержание малого и среднего предпринимательства.  </w:t>
      </w:r>
    </w:p>
    <w:p w:rsidR="002C0F56" w:rsidRDefault="00E67C6E">
      <w:pPr>
        <w:spacing w:after="15"/>
        <w:ind w:left="165" w:right="865"/>
      </w:pPr>
      <w:r>
        <w:lastRenderedPageBreak/>
        <w:t>Занятость населения представ</w:t>
      </w:r>
      <w:r>
        <w:t>ляет собой деятельность граждан направлена на удовлетворение потребностей личности или общества, приносящая ее субъекту заработок или доход. Уровень и характер занятости населения – это важные макроэкономические показатели, которые отражают демографические</w:t>
      </w:r>
      <w:r>
        <w:t xml:space="preserve"> и социальные процессы в обществе, отражают экономический статус страны и уровень жизни населения [1, с. 103]. </w:t>
      </w:r>
    </w:p>
    <w:p w:rsidR="002C0F56" w:rsidRDefault="00E67C6E">
      <w:pPr>
        <w:spacing w:after="2"/>
        <w:ind w:left="165" w:right="872"/>
      </w:pPr>
      <w:r>
        <w:t>Рыночная экономика не может существовать без рынка труда, результатом которого является формирование уровня занятости населения. Основной характ</w:t>
      </w:r>
      <w:r>
        <w:t xml:space="preserve">еристикой развития экономики является использования трудовых ресурсов, т.е. рабочей силы.  </w:t>
      </w:r>
    </w:p>
    <w:p w:rsidR="002C0F56" w:rsidRDefault="00E67C6E">
      <w:pPr>
        <w:spacing w:after="2"/>
        <w:ind w:left="165" w:right="874"/>
      </w:pPr>
      <w:r>
        <w:t xml:space="preserve">Регулирование рынка труда, занятости населения в Республике Беларусь осуществляют Министерство труда и социальной защиты и входящие в его структуру Государственная служба занятости, Государственная инспекция труда и Государственная миграционная служба [2, </w:t>
      </w:r>
      <w:r>
        <w:t xml:space="preserve">с. 130].  </w:t>
      </w:r>
    </w:p>
    <w:p w:rsidR="002C0F56" w:rsidRDefault="00E67C6E">
      <w:pPr>
        <w:spacing w:after="11" w:line="270" w:lineRule="auto"/>
        <w:ind w:left="10" w:right="862" w:hanging="10"/>
        <w:jc w:val="right"/>
      </w:pPr>
      <w:r>
        <w:t xml:space="preserve">Уровень зарегистрированной безработицы в Беларуси на 1 декабря 2016 г. </w:t>
      </w:r>
    </w:p>
    <w:p w:rsidR="002C0F56" w:rsidRDefault="00E67C6E">
      <w:pPr>
        <w:spacing w:after="9"/>
        <w:ind w:left="165" w:right="865" w:firstLine="0"/>
      </w:pPr>
      <w:r>
        <w:t>по сравнению с 1 ноября 2016 г. не изменился и составил 0,8% к численности экономически активного населения (соответствующий период 2015 г. - 1%). На 1 декабря 2016 г. числе</w:t>
      </w:r>
      <w:r>
        <w:t xml:space="preserve">нность безработных составляла 35,8 тыс., что на 17,1% меньше чем в 2015 г. Снижение показателей наблюдается на протяжении восьми месяцев. [3] </w:t>
      </w:r>
    </w:p>
    <w:p w:rsidR="002C0F56" w:rsidRDefault="00E67C6E">
      <w:pPr>
        <w:ind w:left="165" w:right="866"/>
      </w:pPr>
      <w:r>
        <w:t>В январе 2017 г. в Беларуси на 4,6 тыс. безработных стало больше. Наибольший уровень наблюдается в Кричевском рай</w:t>
      </w:r>
      <w:r>
        <w:t xml:space="preserve">оне – 1,6% нетрудоустроенных к экономически активному населению. По сравнению с декабрем 2016 г. число нетрудоустроенных в этом районе увеличилось на 31,2% [3]. </w:t>
      </w:r>
    </w:p>
    <w:p w:rsidR="002C0F56" w:rsidRDefault="00E67C6E">
      <w:pPr>
        <w:spacing w:after="11" w:line="270" w:lineRule="auto"/>
        <w:ind w:left="10" w:right="862" w:hanging="10"/>
        <w:jc w:val="right"/>
      </w:pPr>
      <w:r>
        <w:t xml:space="preserve">Уровень зарегистрированной безработицы на конец февраля 2017 г. </w:t>
      </w:r>
    </w:p>
    <w:p w:rsidR="002C0F56" w:rsidRDefault="00E67C6E">
      <w:pPr>
        <w:ind w:left="165" w:right="302" w:firstLine="0"/>
      </w:pPr>
      <w:r>
        <w:t xml:space="preserve">составил 1 процент к численности экономически активного населения (на конец февраля 2016 г. – 1,1 процента) [3] </w:t>
      </w:r>
    </w:p>
    <w:p w:rsidR="002C0F56" w:rsidRDefault="00E67C6E">
      <w:pPr>
        <w:spacing w:after="0"/>
        <w:ind w:left="165" w:right="875"/>
      </w:pPr>
      <w:r>
        <w:t>Спрос на рабочую силу по сравнению с аналогичным периодом прошлого года повысился. На конец февраля 2017 г. в органы по труду, занятости и соци</w:t>
      </w:r>
      <w:r>
        <w:t>альной защите поступили сведения о наличии 40,2 тыс. вакансий, что составило 141,3 процента к аналогичному периоду 2016 года. Потребность в работниках по рабочим профессиям составила 48,8 процента от общего числа вакансий против 47,2 процента на конец февр</w:t>
      </w:r>
      <w:r>
        <w:t xml:space="preserve">аля 2016 года [3]. </w:t>
      </w:r>
    </w:p>
    <w:p w:rsidR="002C0F56" w:rsidRDefault="00E67C6E">
      <w:pPr>
        <w:spacing w:after="0"/>
        <w:ind w:left="165" w:right="873"/>
      </w:pPr>
      <w:r>
        <w:t>Численность безработных, состоящих на учете в органах по труду, занятости и социальной защите, на 1 марта 2017 г. составила 42,8 тыс. человек, что на 16,3 процента меньше, чем на 1 марта 2016 г. Численность безработных меньше, чем колич</w:t>
      </w:r>
      <w:r>
        <w:t xml:space="preserve">ество предложений работы в Гомельской (0,9 безработных на </w:t>
      </w:r>
      <w:r>
        <w:lastRenderedPageBreak/>
        <w:t xml:space="preserve">вакансию), Гродненской и Могилевской областях (0,8 безработных на вакансию), Минске (0,7 безработных на вакансию) [3]. </w:t>
      </w:r>
    </w:p>
    <w:p w:rsidR="002C0F56" w:rsidRDefault="00E67C6E">
      <w:pPr>
        <w:ind w:left="165" w:right="302"/>
      </w:pPr>
      <w:r>
        <w:t xml:space="preserve">В Беларуси среди безработных женщины составляют 34,4%, молодежь в возрасте до </w:t>
      </w:r>
      <w:r>
        <w:t xml:space="preserve">30 лет (включительно) - 23,6%, сельские жители - 16,8% [3]. </w:t>
      </w:r>
    </w:p>
    <w:p w:rsidR="002C0F56" w:rsidRDefault="00E67C6E">
      <w:pPr>
        <w:ind w:left="165" w:right="869"/>
      </w:pPr>
      <w:r>
        <w:t>Регистрация мужчин в качестве безработных в два раза превышает регистрацию безработных женщин. На 1 января 2017 года самый высокий удельный вес безработных мужчин отмечался в Минске и Гродненской</w:t>
      </w:r>
      <w:r>
        <w:t xml:space="preserve"> области (73,6% и 72% соответственно), меньше всего — в Могилевской области (50,3%) </w:t>
      </w:r>
    </w:p>
    <w:p w:rsidR="002C0F56" w:rsidRDefault="00E67C6E">
      <w:pPr>
        <w:spacing w:after="12"/>
        <w:ind w:left="165" w:right="302" w:firstLine="0"/>
      </w:pPr>
      <w:r>
        <w:t xml:space="preserve">[4]. </w:t>
      </w:r>
    </w:p>
    <w:p w:rsidR="002C0F56" w:rsidRDefault="00E67C6E">
      <w:pPr>
        <w:ind w:left="165" w:right="863"/>
      </w:pPr>
      <w:r>
        <w:t>Меньше становится безработных с общим средним и базовым образованием (сейчас их удельный вес — 40%), а безработных с профессионально-техническим образованием — больш</w:t>
      </w:r>
      <w:r>
        <w:t xml:space="preserve">е (32,5%). Среднее специальное образование имеют 14,3% от всех состоящих на учете по безработице, высшее и послевузовское образование — 14,2% [4]. </w:t>
      </w:r>
    </w:p>
    <w:p w:rsidR="002C0F56" w:rsidRDefault="00E67C6E">
      <w:pPr>
        <w:ind w:left="165" w:right="868"/>
      </w:pPr>
      <w:r>
        <w:t>Пособие по безработице, выплачиваемое в Беларуси, ниже прожиточного уровня (размер прожиточного уровня на 1 января 2017 г. составляет 180,1 руб.). Поэтому правительство рассматривает довести до суммы более 150,0 руб., средний размер ежемесячных выплат сост</w:t>
      </w:r>
      <w:r>
        <w:t xml:space="preserve">авляет 19,7 руб. [5] </w:t>
      </w:r>
    </w:p>
    <w:p w:rsidR="002C0F56" w:rsidRDefault="00E67C6E">
      <w:pPr>
        <w:ind w:left="165" w:right="870"/>
      </w:pPr>
      <w:r>
        <w:t xml:space="preserve">По данным Национального статистического комитета Республики Беларусь в организациях в январе 2017 г. численность принятых работников составила 39 тыс., уволенных – 44 тыс. (соотношение принятых работников и уволенных - 83,0%). </w:t>
      </w:r>
    </w:p>
    <w:p w:rsidR="002C0F56" w:rsidRDefault="00E67C6E">
      <w:pPr>
        <w:ind w:left="165" w:right="862"/>
      </w:pPr>
      <w:r>
        <w:t xml:space="preserve"> В том</w:t>
      </w:r>
      <w:r>
        <w:t xml:space="preserve"> числе в разрезе отраслей: сельское, лесное и рыбное хозяйство 5 556 чел. принято, уволено - 6 331 чел. (87,8%); промышленность - 8 242 чел. принято, уволено - 9 261 чел. (89,0%); строительство - 3 252 чел. принято, уволено - 4 355 чел. (74,7%); транспорт </w:t>
      </w:r>
      <w:r>
        <w:t>- 2 037 чел. принято, уволено - 2 324 чел. (87,7%); информация и связь – 837 чел. принято, уволено – 716 чел. (116,9%); образование - 5 024 чел. принято, уволено - 4 512 чел. (111,3%); здравоохранение и социальные услуги - 3 734 чел. принято, уволено - 3 8</w:t>
      </w:r>
      <w:r>
        <w:t xml:space="preserve">09 чел. (98,0%); финансовая и страховая деятельность – 538 чел. принято, уволено – 539 чел. (99,8%). [6] </w:t>
      </w:r>
    </w:p>
    <w:p w:rsidR="002C0F56" w:rsidRDefault="00E67C6E">
      <w:pPr>
        <w:spacing w:after="0"/>
        <w:ind w:left="165" w:right="866"/>
      </w:pPr>
      <w:r>
        <w:t>Снижение численности занятых в экономике в определенной мере обусловлено демографической тенденцией – уменьшением численности населения в трудоспособн</w:t>
      </w:r>
      <w:r>
        <w:t>ом возрасте. В то же время сокращение уровня занятости сопровождается дефицитом кадров, на формирование которого существенное влияние оказывает несбалансированность рынка труда и образовательных услуг, а также отток квалифицированных кадров за пределы респ</w:t>
      </w:r>
      <w:r>
        <w:t xml:space="preserve">ублики. Сохраняется несоответствие между спросом и предложением рабочей силы по профессиональному, квалификационному составу, территориальному размещению свободных рабочих мест и безработных.  </w:t>
      </w:r>
    </w:p>
    <w:p w:rsidR="002C0F56" w:rsidRDefault="00E67C6E">
      <w:pPr>
        <w:ind w:left="165" w:right="862"/>
      </w:pPr>
      <w:r>
        <w:lastRenderedPageBreak/>
        <w:t>На сегодняшний день стоит вопрос о создании гибкого рынка рабо</w:t>
      </w:r>
      <w:r>
        <w:t xml:space="preserve">чей силы, который предполагает проведение ряда мероприятий социальноэкономического, производственного характера, которые помогают адаптироваться предприятиям к изменяющимся условиям хозяйствования.  </w:t>
      </w:r>
    </w:p>
    <w:p w:rsidR="002C0F56" w:rsidRDefault="00E67C6E">
      <w:pPr>
        <w:ind w:left="165" w:right="302"/>
      </w:pPr>
      <w:r>
        <w:t>В Республике Беларусь разработана Государственная програ</w:t>
      </w:r>
      <w:r>
        <w:t xml:space="preserve">мма о социальной защите и содействии занятости населения на 2016 – 2020 годы. </w:t>
      </w:r>
    </w:p>
    <w:p w:rsidR="002C0F56" w:rsidRDefault="00E67C6E">
      <w:pPr>
        <w:spacing w:after="2"/>
        <w:ind w:left="165" w:right="868"/>
      </w:pPr>
      <w:r>
        <w:t>Если рассматривать исследуемую проблему на примере Российской Федерации, то ситуация такова. По итогам обследования в январе 2017 г. численность рабочей силы составила 76,1 млн.</w:t>
      </w:r>
      <w:r>
        <w:t xml:space="preserve"> чел., или 52% от общей численности населения страны, в их числе 71,8 млн. чел. были заняты в экономике и 4,3 млн. чел. не имели занятия, но активно его искали. Численность рабочей силы в возрасте 15-72 лет в январе 2017г. составила 75,9 млн. чел., из них </w:t>
      </w:r>
      <w:r>
        <w:t xml:space="preserve">71,6 млн. чел. классифицировались как занятые экономической деятельностью и 4,3 млн. чел. – как безработные. Уровень безработицы в январе 2017 г. составил 5,6% (без исключения сезонного фактора) [7]. </w:t>
      </w:r>
    </w:p>
    <w:p w:rsidR="002C0F56" w:rsidRDefault="00E67C6E">
      <w:pPr>
        <w:spacing w:after="14"/>
        <w:ind w:left="165" w:right="869"/>
      </w:pPr>
      <w:r>
        <w:t>Численность занятого населения в январе 2017 г. уменьши</w:t>
      </w:r>
      <w:r>
        <w:t>лась по сравнению c декабрем 2016 г. на 1126 тыс. чел., или на 1,5%, по сравнению с январем 2016 г. – увеличилась на 296 тыс. чел., или на 0,4%. Численность безработных в январе 2017 г. по сравнению с декабрем 2016 г. увеличилась на 185 тыс. чел., или на 4</w:t>
      </w:r>
      <w:r>
        <w:t xml:space="preserve">,5%, по сравнению с январем 2016г. – уменьшилась на 140 тыс. чел., или на 3,2% [7]. </w:t>
      </w:r>
    </w:p>
    <w:p w:rsidR="002C0F56" w:rsidRDefault="00E67C6E">
      <w:pPr>
        <w:spacing w:after="13"/>
        <w:ind w:left="165" w:right="866"/>
      </w:pPr>
      <w:r>
        <w:t xml:space="preserve">Среди безработных (по методологии МОТ) доля женщин в январе 2017 г. составила 47,3%, городских жителей – 63,0%, молодежи до 25 лет – 19,8%, лиц, не имеющих опыта трудовой </w:t>
      </w:r>
      <w:r>
        <w:t>деятельности – 23,1%. Уровень безработицы среди сельских жителей (9,1%) превышает уровень безработицы среди городских жителей (4,6%). В январе 2017 г. это превышение составило 2 раза.  В январе 2017 г. среди безработных доля лиц, оставивших прежнее место р</w:t>
      </w:r>
      <w:r>
        <w:t xml:space="preserve">аботы в связи с высвобождением или сокращением численности работников, ликвидацией организации или собственного дела, составила 18,1%, а в связи с увольнением по собственному желанию – 24,4% (в январе 2016 г., соответственно, 20,5% и 24,0%) [7]. </w:t>
      </w:r>
    </w:p>
    <w:p w:rsidR="002C0F56" w:rsidRDefault="00E67C6E">
      <w:pPr>
        <w:spacing w:after="0"/>
        <w:ind w:left="165" w:right="866"/>
      </w:pPr>
      <w:r>
        <w:t>Безработи</w:t>
      </w:r>
      <w:r>
        <w:t>ца была, есть и будет, и поэтому главной задачей государственных органов занятости является не допустить длительной безработицы отдельного человека. Государство должно создавать новые рабочие места, стимулировать малый и средний бизнес, а также организован</w:t>
      </w:r>
      <w:r>
        <w:t>но проводить свою политику в сфере занятости. Выполнение предусмотренных Государственной программой мероприятий будет способствовать улучшению ситуации на рынке рабочей силы, смягчению последствий и предупреждению длительной безработицы, снижению безработи</w:t>
      </w:r>
      <w:r>
        <w:t xml:space="preserve">цы отдельных категорий населения, обеспечению </w:t>
      </w:r>
      <w:r>
        <w:lastRenderedPageBreak/>
        <w:t xml:space="preserve">трудоустройства инвалидов, молодых специалистов, содействовать занятости граждан, в том числе самостоятельной занятости безработных.   </w:t>
      </w:r>
    </w:p>
    <w:p w:rsidR="002C0F56" w:rsidRDefault="00E67C6E">
      <w:pPr>
        <w:spacing w:after="25"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04"/>
        </w:numPr>
        <w:ind w:right="868"/>
      </w:pPr>
      <w:r>
        <w:t xml:space="preserve">Туманова Е.А. Макроэкономика. Элементы продвинутого </w:t>
      </w:r>
      <w:r>
        <w:t xml:space="preserve">подхода: учебник для студентов высших учебных заведений, обучающихся по направлению 521600 "Экономика" / Е. А. Туманова, Н. Л. Шагас. - Москва: Инфра-М, 2011. - 398 с.   </w:t>
      </w:r>
    </w:p>
    <w:p w:rsidR="002C0F56" w:rsidRDefault="00E67C6E">
      <w:pPr>
        <w:numPr>
          <w:ilvl w:val="0"/>
          <w:numId w:val="104"/>
        </w:numPr>
        <w:ind w:right="868"/>
      </w:pPr>
      <w:r>
        <w:t xml:space="preserve">Антонова, Н.Б. Государственное регулирование национальной экономики: курс лекций / Н. Б. Антонова, О. Б. Хорошко; Академия управления при Президенте Республики Беларусь. – Минск: Академия управления при Президенте Республики Беларусь, 2009. – 198 с. </w:t>
      </w:r>
    </w:p>
    <w:p w:rsidR="002C0F56" w:rsidRDefault="00E67C6E">
      <w:pPr>
        <w:numPr>
          <w:ilvl w:val="0"/>
          <w:numId w:val="104"/>
        </w:numPr>
        <w:ind w:right="868"/>
      </w:pPr>
      <w:r>
        <w:t>Ситуа</w:t>
      </w:r>
      <w:r>
        <w:t xml:space="preserve">ция в сфере занятости и безработицы в Республике Беларусь [Электронный ресурс]. - Режим доступа: </w:t>
      </w:r>
      <w:hyperlink r:id="rId665">
        <w:r>
          <w:t>http://mintrud.gov.by/ru/sostojanie/.</w:t>
        </w:r>
      </w:hyperlink>
      <w:hyperlink r:id="rId666">
        <w:r>
          <w:t xml:space="preserve"> </w:t>
        </w:r>
      </w:hyperlink>
      <w:r>
        <w:t>- Дата до</w:t>
      </w:r>
      <w:r>
        <w:t xml:space="preserve">ступа: 01.02.2017. </w:t>
      </w:r>
    </w:p>
    <w:p w:rsidR="002C0F56" w:rsidRDefault="00E67C6E">
      <w:pPr>
        <w:numPr>
          <w:ilvl w:val="0"/>
          <w:numId w:val="104"/>
        </w:numPr>
        <w:ind w:right="868"/>
      </w:pPr>
      <w:r>
        <w:t xml:space="preserve">Портрет среднего официально зарегистрированного белорусского безработного: мужчина, 31 год, уволен по соглашению сторон [Электронный ресурс]. – Режим доступа: </w:t>
      </w:r>
      <w:hyperlink r:id="rId667">
        <w:r>
          <w:t>http://www</w:t>
        </w:r>
        <w:r>
          <w:t>.belaruspartisan.org/economic/368506/</w:t>
        </w:r>
      </w:hyperlink>
      <w:hyperlink r:id="rId668">
        <w:r>
          <w:t>.</w:t>
        </w:r>
      </w:hyperlink>
      <w:r>
        <w:t xml:space="preserve"> – Дата доступа: 22.01.2017.  </w:t>
      </w:r>
    </w:p>
    <w:p w:rsidR="002C0F56" w:rsidRDefault="00E67C6E">
      <w:pPr>
        <w:numPr>
          <w:ilvl w:val="0"/>
          <w:numId w:val="104"/>
        </w:numPr>
        <w:ind w:right="868"/>
      </w:pPr>
      <w:r>
        <w:t xml:space="preserve">Пособие по безработице [Электронный ресурс]. – Режим доступа: </w:t>
      </w:r>
      <w:hyperlink r:id="rId669">
        <w:r>
          <w:t>https://myfin.by/wiki/term/posobie</w:t>
        </w:r>
      </w:hyperlink>
      <w:hyperlink r:id="rId670">
        <w:r>
          <w:t>-</w:t>
        </w:r>
      </w:hyperlink>
      <w:hyperlink r:id="rId671">
        <w:r>
          <w:t>po</w:t>
        </w:r>
      </w:hyperlink>
      <w:hyperlink r:id="rId672">
        <w:r>
          <w:t>-</w:t>
        </w:r>
      </w:hyperlink>
      <w:hyperlink r:id="rId673">
        <w:r>
          <w:t>bezrabotice</w:t>
        </w:r>
      </w:hyperlink>
      <w:hyperlink r:id="rId674">
        <w:r>
          <w:t>/</w:t>
        </w:r>
      </w:hyperlink>
      <w:r>
        <w:t xml:space="preserve">. – Дата доступа: 16.03.2017.  </w:t>
      </w:r>
    </w:p>
    <w:p w:rsidR="002C0F56" w:rsidRDefault="00E67C6E">
      <w:pPr>
        <w:numPr>
          <w:ilvl w:val="0"/>
          <w:numId w:val="104"/>
        </w:numPr>
        <w:ind w:right="868"/>
      </w:pPr>
      <w:r>
        <w:t>Численность принятых и уволенных работников в организациях Республики Бела</w:t>
      </w:r>
      <w:r>
        <w:t xml:space="preserve">русь в январе 2017 г. [Электронный ресурс]. – Режим доступа: </w:t>
      </w:r>
      <w:hyperlink r:id="rId675">
        <w:r>
          <w:t>http://www.belstat.gov.by/ofitsialnaya</w:t>
        </w:r>
      </w:hyperlink>
      <w:hyperlink r:id="rId676">
        <w:r>
          <w:t>-</w:t>
        </w:r>
      </w:hyperlink>
      <w:hyperlink r:id="rId677">
        <w:r>
          <w:t>statistika/solialnaya</w:t>
        </w:r>
      </w:hyperlink>
      <w:hyperlink r:id="rId678">
        <w:r>
          <w:t>-</w:t>
        </w:r>
      </w:hyperlink>
      <w:hyperlink r:id="rId679">
        <w:r>
          <w:t>sfera/trud/operativnaya</w:t>
        </w:r>
      </w:hyperlink>
      <w:hyperlink r:id="rId680"/>
      <w:hyperlink r:id="rId681">
        <w:r>
          <w:t>informatsiya_8/chislennost</w:t>
        </w:r>
      </w:hyperlink>
      <w:hyperlink r:id="rId682">
        <w:r>
          <w:t>-</w:t>
        </w:r>
      </w:hyperlink>
      <w:hyperlink r:id="rId683">
        <w:r>
          <w:t>prinyatykh</w:t>
        </w:r>
      </w:hyperlink>
      <w:hyperlink r:id="rId684">
        <w:r>
          <w:t>-</w:t>
        </w:r>
      </w:hyperlink>
      <w:hyperlink r:id="rId685">
        <w:r>
          <w:t>i</w:t>
        </w:r>
      </w:hyperlink>
      <w:hyperlink r:id="rId686">
        <w:r>
          <w:t>-</w:t>
        </w:r>
      </w:hyperlink>
      <w:hyperlink r:id="rId687">
        <w:r>
          <w:t>uvolennykh</w:t>
        </w:r>
      </w:hyperlink>
      <w:hyperlink r:id="rId688">
        <w:r>
          <w:t>-</w:t>
        </w:r>
      </w:hyperlink>
      <w:hyperlink r:id="rId689">
        <w:r>
          <w:t>rabotnikov</w:t>
        </w:r>
      </w:hyperlink>
      <w:hyperlink r:id="rId690">
        <w:r>
          <w:t>-</w:t>
        </w:r>
      </w:hyperlink>
      <w:hyperlink r:id="rId691">
        <w:r>
          <w:t>v</w:t>
        </w:r>
      </w:hyperlink>
      <w:hyperlink r:id="rId692">
        <w:r>
          <w:t>-</w:t>
        </w:r>
      </w:hyperlink>
      <w:hyperlink r:id="rId693">
        <w:r>
          <w:t>organizatsiyakh</w:t>
        </w:r>
      </w:hyperlink>
      <w:hyperlink r:id="rId694"/>
      <w:hyperlink r:id="rId695">
        <w:r>
          <w:t>respubliki</w:t>
        </w:r>
      </w:hyperlink>
      <w:hyperlink r:id="rId696">
        <w:r>
          <w:t>-</w:t>
        </w:r>
      </w:hyperlink>
      <w:hyperlink r:id="rId697">
        <w:r>
          <w:t>belarus/chislennost</w:t>
        </w:r>
      </w:hyperlink>
      <w:hyperlink r:id="rId698">
        <w:r>
          <w:t>-</w:t>
        </w:r>
      </w:hyperlink>
      <w:hyperlink r:id="rId699">
        <w:r>
          <w:t>prinyatykh</w:t>
        </w:r>
      </w:hyperlink>
      <w:hyperlink r:id="rId700">
        <w:r>
          <w:t>-</w:t>
        </w:r>
      </w:hyperlink>
      <w:hyperlink r:id="rId701">
        <w:r>
          <w:t>i</w:t>
        </w:r>
      </w:hyperlink>
      <w:hyperlink r:id="rId702">
        <w:r>
          <w:t>-</w:t>
        </w:r>
      </w:hyperlink>
      <w:hyperlink r:id="rId703">
        <w:r>
          <w:t>uvolennykh</w:t>
        </w:r>
      </w:hyperlink>
      <w:hyperlink r:id="rId704">
        <w:r>
          <w:t>-</w:t>
        </w:r>
      </w:hyperlink>
      <w:hyperlink r:id="rId705">
        <w:r>
          <w:t>rabotnikov</w:t>
        </w:r>
      </w:hyperlink>
      <w:hyperlink r:id="rId706">
        <w:r>
          <w:t>-</w:t>
        </w:r>
      </w:hyperlink>
      <w:hyperlink r:id="rId707">
        <w:r>
          <w:t>v</w:t>
        </w:r>
      </w:hyperlink>
      <w:hyperlink r:id="rId708"/>
      <w:hyperlink r:id="rId709">
        <w:r>
          <w:t>organizatsiyakh</w:t>
        </w:r>
      </w:hyperlink>
      <w:hyperlink r:id="rId710">
        <w:r>
          <w:t>-</w:t>
        </w:r>
      </w:hyperlink>
      <w:hyperlink r:id="rId711">
        <w:r>
          <w:t>respubliki</w:t>
        </w:r>
      </w:hyperlink>
      <w:hyperlink r:id="rId712">
        <w:r>
          <w:t>-</w:t>
        </w:r>
      </w:hyperlink>
      <w:hyperlink r:id="rId713">
        <w:r>
          <w:t>belarus</w:t>
        </w:r>
      </w:hyperlink>
      <w:hyperlink r:id="rId714">
        <w:r>
          <w:t>-</w:t>
        </w:r>
      </w:hyperlink>
      <w:hyperlink r:id="rId715">
        <w:r>
          <w:t>v</w:t>
        </w:r>
      </w:hyperlink>
      <w:hyperlink r:id="rId716">
        <w:r>
          <w:t>-</w:t>
        </w:r>
      </w:hyperlink>
      <w:hyperlink r:id="rId717">
        <w:r>
          <w:t>yanvare</w:t>
        </w:r>
      </w:hyperlink>
      <w:hyperlink r:id="rId718">
        <w:r>
          <w:t>-</w:t>
        </w:r>
      </w:hyperlink>
      <w:hyperlink r:id="rId719">
        <w:r>
          <w:t>2017</w:t>
        </w:r>
      </w:hyperlink>
      <w:hyperlink r:id="rId720">
        <w:r>
          <w:t>-</w:t>
        </w:r>
      </w:hyperlink>
      <w:hyperlink r:id="rId721">
        <w:r>
          <w:t>g/</w:t>
        </w:r>
      </w:hyperlink>
      <w:hyperlink r:id="rId722">
        <w:r>
          <w:t>.</w:t>
        </w:r>
      </w:hyperlink>
      <w:r>
        <w:t xml:space="preserve"> – Дата доступа: 24.01.2017.  </w:t>
      </w:r>
    </w:p>
    <w:p w:rsidR="002C0F56" w:rsidRDefault="00E67C6E">
      <w:pPr>
        <w:numPr>
          <w:ilvl w:val="0"/>
          <w:numId w:val="104"/>
        </w:numPr>
        <w:spacing w:after="15"/>
        <w:ind w:right="868"/>
      </w:pPr>
      <w:r>
        <w:t xml:space="preserve">Занятость и безработица в Российской Федерации в январе 2017 года [Электронный ресурс]. – Режим доступа: </w:t>
      </w:r>
      <w:hyperlink r:id="rId723">
        <w:r>
          <w:t>http://www.</w:t>
        </w:r>
        <w:r>
          <w:t>gks.ru/bgd/free/B04_03/IssWWW.exe/Stg/d02/57.htm</w:t>
        </w:r>
      </w:hyperlink>
      <w:hyperlink r:id="rId724">
        <w:r>
          <w:t xml:space="preserve"> </w:t>
        </w:r>
      </w:hyperlink>
      <w:r>
        <w:t xml:space="preserve">– Дата доступа: </w:t>
      </w:r>
    </w:p>
    <w:p w:rsidR="002C0F56" w:rsidRDefault="00E67C6E">
      <w:pPr>
        <w:spacing w:after="12"/>
        <w:ind w:left="165" w:right="302" w:firstLine="0"/>
      </w:pPr>
      <w:r>
        <w:t xml:space="preserve">28.01.2017.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pStyle w:val="1"/>
        <w:spacing w:after="25" w:line="259" w:lineRule="auto"/>
        <w:ind w:right="856"/>
        <w:jc w:val="right"/>
      </w:pPr>
      <w:r>
        <w:t xml:space="preserve">Каратун Т.Г. </w:t>
      </w:r>
      <w:r>
        <w:rPr>
          <w:b w:val="0"/>
        </w:rPr>
        <w:t xml:space="preserve">Научный руководитель: Шильченко Т.Н. </w:t>
      </w:r>
    </w:p>
    <w:p w:rsidR="002C0F56" w:rsidRDefault="00E67C6E">
      <w:pPr>
        <w:spacing w:after="0" w:line="267" w:lineRule="auto"/>
        <w:ind w:left="905" w:right="860" w:hanging="10"/>
        <w:jc w:val="right"/>
      </w:pPr>
      <w:r>
        <w:rPr>
          <w:i/>
        </w:rPr>
        <w:t xml:space="preserve">Таганрогский институт управления и экономики </w:t>
      </w:r>
    </w:p>
    <w:p w:rsidR="002C0F56" w:rsidRDefault="00E67C6E">
      <w:pPr>
        <w:spacing w:after="30" w:line="259" w:lineRule="auto"/>
        <w:ind w:left="744" w:firstLine="0"/>
        <w:jc w:val="left"/>
      </w:pPr>
      <w:r>
        <w:rPr>
          <w:b/>
        </w:rPr>
        <w:t xml:space="preserve"> </w:t>
      </w:r>
    </w:p>
    <w:p w:rsidR="002C0F56" w:rsidRDefault="00E67C6E">
      <w:pPr>
        <w:pStyle w:val="1"/>
        <w:spacing w:after="15" w:line="271" w:lineRule="auto"/>
        <w:ind w:left="493" w:right="0"/>
        <w:jc w:val="left"/>
      </w:pPr>
      <w:r>
        <w:lastRenderedPageBreak/>
        <w:t xml:space="preserve">АНАЛИЗ УРОВНЯ БЕЗРАБОТИЦЫ НА РЕГИОНАЛЬНОМ УРОВНЕ </w:t>
      </w:r>
    </w:p>
    <w:p w:rsidR="002C0F56" w:rsidRDefault="00E67C6E">
      <w:pPr>
        <w:spacing w:after="0" w:line="259" w:lineRule="auto"/>
        <w:ind w:left="744" w:firstLine="0"/>
        <w:jc w:val="left"/>
      </w:pPr>
      <w:r>
        <w:t xml:space="preserve"> </w:t>
      </w:r>
    </w:p>
    <w:p w:rsidR="002C0F56" w:rsidRDefault="00E67C6E">
      <w:pPr>
        <w:ind w:left="165" w:right="874"/>
      </w:pPr>
      <w:r>
        <w:t>Безработица представляет собой макроэкономическую проблему, оказывающую наиболее прямое и сильное воздействие на каждого человека. В современных условиях экономического хаоса потеря работы для большинства людей означает снижение жизненного уровня, часто вп</w:t>
      </w:r>
      <w:r>
        <w:t xml:space="preserve">лоть до полной нищеты, и наносит серьезную психологическую травму. [2] </w:t>
      </w:r>
    </w:p>
    <w:p w:rsidR="002C0F56" w:rsidRDefault="00E67C6E">
      <w:pPr>
        <w:spacing w:after="0"/>
        <w:ind w:left="165" w:right="862"/>
      </w:pPr>
      <w:r>
        <w:t xml:space="preserve">Одной из причин, способной дестабилизировать социальноэкономическую ситуацию в регионе является безработица, возникающая в результате дисбаланса рынка труда, когда предложение рабочей </w:t>
      </w:r>
      <w:r>
        <w:t>силы не соответствует по количественным и качественным параметрам потребности в ней. Это снижает эффективность деятельности предприятий и организаций. Также, отсутствие возможности осуществления трудовой деятельности негативно влияет на жизнь самих безрабо</w:t>
      </w:r>
      <w:r>
        <w:t>тных граждан, как с материальной точки зрения, так и с психологической. В связи с этим возникает необходимость регулирования протекающих  процессов, происходящих на рынке труда на государственном уровне управления, с целью достижения баланса между занятост</w:t>
      </w:r>
      <w:r>
        <w:t xml:space="preserve">ью и безработицей, а также устранения или смягчения  отрицательных ее последствий. </w:t>
      </w:r>
    </w:p>
    <w:p w:rsidR="002C0F56" w:rsidRDefault="00E67C6E">
      <w:pPr>
        <w:ind w:left="165" w:right="302"/>
      </w:pPr>
      <w:r>
        <w:t xml:space="preserve">Главное значение для решения данной задачи имеет анализ безработицы, и прогноз основных ее характеристик в динамике. </w:t>
      </w:r>
    </w:p>
    <w:p w:rsidR="002C0F56" w:rsidRDefault="00E67C6E">
      <w:pPr>
        <w:spacing w:after="12"/>
        <w:ind w:left="744" w:right="302" w:firstLine="0"/>
      </w:pPr>
      <w:r>
        <w:t xml:space="preserve">Динамика общей численности безработных представлена в </w:t>
      </w:r>
      <w:r>
        <w:t xml:space="preserve">таблице 1. </w:t>
      </w:r>
    </w:p>
    <w:p w:rsidR="002C0F56" w:rsidRDefault="00E67C6E">
      <w:pPr>
        <w:spacing w:after="0" w:line="259" w:lineRule="auto"/>
        <w:ind w:left="744" w:firstLine="0"/>
        <w:jc w:val="left"/>
      </w:pPr>
      <w:r>
        <w:t xml:space="preserve"> </w:t>
      </w:r>
    </w:p>
    <w:p w:rsidR="002C0F56" w:rsidRDefault="00E67C6E">
      <w:pPr>
        <w:spacing w:after="5" w:line="271" w:lineRule="auto"/>
        <w:ind w:left="672" w:right="396" w:hanging="10"/>
        <w:jc w:val="left"/>
      </w:pPr>
      <w:r>
        <w:rPr>
          <w:i/>
          <w:sz w:val="24"/>
        </w:rPr>
        <w:t xml:space="preserve">Таблица 1 </w:t>
      </w:r>
      <w:r>
        <w:rPr>
          <w:sz w:val="24"/>
        </w:rPr>
        <w:t xml:space="preserve">- </w:t>
      </w:r>
      <w:r>
        <w:rPr>
          <w:b/>
          <w:sz w:val="24"/>
        </w:rPr>
        <w:t xml:space="preserve">Общая численность безработных за период (2010-2014)[3] </w:t>
      </w:r>
    </w:p>
    <w:tbl>
      <w:tblPr>
        <w:tblStyle w:val="TableGrid"/>
        <w:tblW w:w="9470" w:type="dxa"/>
        <w:tblInd w:w="72" w:type="dxa"/>
        <w:tblCellMar>
          <w:top w:w="58" w:type="dxa"/>
          <w:left w:w="108" w:type="dxa"/>
          <w:bottom w:w="0" w:type="dxa"/>
          <w:right w:w="48" w:type="dxa"/>
        </w:tblCellMar>
        <w:tblLook w:val="04A0" w:firstRow="1" w:lastRow="0" w:firstColumn="1" w:lastColumn="0" w:noHBand="0" w:noVBand="1"/>
      </w:tblPr>
      <w:tblGrid>
        <w:gridCol w:w="3330"/>
        <w:gridCol w:w="1267"/>
        <w:gridCol w:w="1270"/>
        <w:gridCol w:w="1188"/>
        <w:gridCol w:w="1195"/>
        <w:gridCol w:w="1220"/>
      </w:tblGrid>
      <w:tr w:rsidR="002C0F56">
        <w:trPr>
          <w:trHeight w:val="286"/>
        </w:trPr>
        <w:tc>
          <w:tcPr>
            <w:tcW w:w="3330"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1" w:firstLine="0"/>
              <w:jc w:val="center"/>
            </w:pPr>
            <w:r>
              <w:rPr>
                <w:sz w:val="24"/>
              </w:rPr>
              <w:t xml:space="preserve">Показатель </w:t>
            </w:r>
          </w:p>
        </w:tc>
        <w:tc>
          <w:tcPr>
            <w:tcW w:w="4920" w:type="dxa"/>
            <w:gridSpan w:val="4"/>
            <w:tcBorders>
              <w:top w:val="single" w:sz="4" w:space="0" w:color="000000"/>
              <w:left w:val="single" w:sz="4" w:space="0" w:color="000000"/>
              <w:bottom w:val="single" w:sz="4" w:space="0" w:color="000000"/>
              <w:right w:val="nil"/>
            </w:tcBorders>
          </w:tcPr>
          <w:p w:rsidR="002C0F56" w:rsidRDefault="00E67C6E">
            <w:pPr>
              <w:spacing w:after="0" w:line="259" w:lineRule="auto"/>
              <w:ind w:left="1157" w:firstLine="0"/>
              <w:jc w:val="center"/>
            </w:pPr>
            <w:r>
              <w:rPr>
                <w:sz w:val="24"/>
              </w:rPr>
              <w:t xml:space="preserve">Период </w:t>
            </w:r>
          </w:p>
        </w:tc>
        <w:tc>
          <w:tcPr>
            <w:tcW w:w="1220"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26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2010г. </w:t>
            </w:r>
          </w:p>
        </w:tc>
        <w:tc>
          <w:tcPr>
            <w:tcW w:w="127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2011г. </w:t>
            </w:r>
          </w:p>
        </w:tc>
        <w:tc>
          <w:tcPr>
            <w:tcW w:w="118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2012г. </w:t>
            </w:r>
          </w:p>
        </w:tc>
        <w:tc>
          <w:tcPr>
            <w:tcW w:w="11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2013г. </w:t>
            </w:r>
          </w:p>
        </w:tc>
        <w:tc>
          <w:tcPr>
            <w:tcW w:w="12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2014г. </w:t>
            </w:r>
          </w:p>
        </w:tc>
      </w:tr>
      <w:tr w:rsidR="002C0F56">
        <w:trPr>
          <w:trHeight w:val="838"/>
        </w:trPr>
        <w:tc>
          <w:tcPr>
            <w:tcW w:w="333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Численность экономически активного населения – всего, тыс.чел. </w:t>
            </w:r>
          </w:p>
        </w:tc>
        <w:tc>
          <w:tcPr>
            <w:tcW w:w="126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2162,5 </w:t>
            </w:r>
          </w:p>
        </w:tc>
        <w:tc>
          <w:tcPr>
            <w:tcW w:w="127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6" w:firstLine="0"/>
              <w:jc w:val="center"/>
            </w:pPr>
            <w:r>
              <w:rPr>
                <w:sz w:val="24"/>
              </w:rPr>
              <w:t xml:space="preserve">2170,1 </w:t>
            </w:r>
          </w:p>
        </w:tc>
        <w:tc>
          <w:tcPr>
            <w:tcW w:w="118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5" w:firstLine="0"/>
              <w:jc w:val="center"/>
            </w:pPr>
            <w:r>
              <w:rPr>
                <w:sz w:val="24"/>
              </w:rPr>
              <w:t xml:space="preserve">2159,7 </w:t>
            </w:r>
          </w:p>
        </w:tc>
        <w:tc>
          <w:tcPr>
            <w:tcW w:w="119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2137,6 </w:t>
            </w:r>
          </w:p>
        </w:tc>
        <w:tc>
          <w:tcPr>
            <w:tcW w:w="122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2142,1 </w:t>
            </w:r>
          </w:p>
        </w:tc>
      </w:tr>
      <w:tr w:rsidR="002C0F56">
        <w:trPr>
          <w:trHeight w:val="562"/>
        </w:trPr>
        <w:tc>
          <w:tcPr>
            <w:tcW w:w="333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Численность безработных – всего, тыс.чел. </w:t>
            </w:r>
          </w:p>
        </w:tc>
        <w:tc>
          <w:tcPr>
            <w:tcW w:w="126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167,1 </w:t>
            </w:r>
          </w:p>
        </w:tc>
        <w:tc>
          <w:tcPr>
            <w:tcW w:w="127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6" w:firstLine="0"/>
              <w:jc w:val="center"/>
            </w:pPr>
            <w:r>
              <w:rPr>
                <w:sz w:val="24"/>
              </w:rPr>
              <w:t xml:space="preserve">159,5 </w:t>
            </w:r>
          </w:p>
        </w:tc>
        <w:tc>
          <w:tcPr>
            <w:tcW w:w="118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5" w:firstLine="0"/>
              <w:jc w:val="center"/>
            </w:pPr>
            <w:r>
              <w:rPr>
                <w:sz w:val="24"/>
              </w:rPr>
              <w:t xml:space="preserve">130,1 </w:t>
            </w:r>
          </w:p>
        </w:tc>
        <w:tc>
          <w:tcPr>
            <w:tcW w:w="119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128,7 </w:t>
            </w:r>
          </w:p>
        </w:tc>
        <w:tc>
          <w:tcPr>
            <w:tcW w:w="122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125,8 </w:t>
            </w:r>
          </w:p>
        </w:tc>
      </w:tr>
      <w:tr w:rsidR="002C0F56">
        <w:trPr>
          <w:trHeight w:val="562"/>
        </w:trPr>
        <w:tc>
          <w:tcPr>
            <w:tcW w:w="333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Уровень общей безработицы, % </w:t>
            </w:r>
          </w:p>
        </w:tc>
        <w:tc>
          <w:tcPr>
            <w:tcW w:w="126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7,7 </w:t>
            </w:r>
          </w:p>
        </w:tc>
        <w:tc>
          <w:tcPr>
            <w:tcW w:w="127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6" w:firstLine="0"/>
              <w:jc w:val="center"/>
            </w:pPr>
            <w:r>
              <w:rPr>
                <w:sz w:val="24"/>
              </w:rPr>
              <w:t xml:space="preserve">7,3 </w:t>
            </w:r>
          </w:p>
        </w:tc>
        <w:tc>
          <w:tcPr>
            <w:tcW w:w="118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5" w:firstLine="0"/>
              <w:jc w:val="center"/>
            </w:pPr>
            <w:r>
              <w:rPr>
                <w:sz w:val="24"/>
              </w:rPr>
              <w:t xml:space="preserve">6,0 </w:t>
            </w:r>
          </w:p>
        </w:tc>
        <w:tc>
          <w:tcPr>
            <w:tcW w:w="119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6,0 </w:t>
            </w:r>
          </w:p>
        </w:tc>
        <w:tc>
          <w:tcPr>
            <w:tcW w:w="122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5,9 </w:t>
            </w:r>
          </w:p>
        </w:tc>
      </w:tr>
      <w:tr w:rsidR="002C0F56">
        <w:trPr>
          <w:trHeight w:val="1114"/>
        </w:trPr>
        <w:tc>
          <w:tcPr>
            <w:tcW w:w="333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pPr>
            <w:r>
              <w:rPr>
                <w:sz w:val="24"/>
              </w:rPr>
              <w:t xml:space="preserve">Численность безработных, зарегистрированных службой занятости, на конец года, тыс.чел. </w:t>
            </w:r>
          </w:p>
        </w:tc>
        <w:tc>
          <w:tcPr>
            <w:tcW w:w="126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28,9 </w:t>
            </w:r>
          </w:p>
        </w:tc>
        <w:tc>
          <w:tcPr>
            <w:tcW w:w="127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6" w:firstLine="0"/>
              <w:jc w:val="center"/>
            </w:pPr>
            <w:r>
              <w:rPr>
                <w:sz w:val="24"/>
              </w:rPr>
              <w:t xml:space="preserve">22,9 </w:t>
            </w:r>
          </w:p>
        </w:tc>
        <w:tc>
          <w:tcPr>
            <w:tcW w:w="118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5" w:firstLine="0"/>
              <w:jc w:val="center"/>
            </w:pPr>
            <w:r>
              <w:rPr>
                <w:sz w:val="24"/>
              </w:rPr>
              <w:t xml:space="preserve">19,0 </w:t>
            </w:r>
          </w:p>
        </w:tc>
        <w:tc>
          <w:tcPr>
            <w:tcW w:w="119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18,0 </w:t>
            </w:r>
          </w:p>
        </w:tc>
        <w:tc>
          <w:tcPr>
            <w:tcW w:w="122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17,6 </w:t>
            </w:r>
          </w:p>
        </w:tc>
      </w:tr>
      <w:tr w:rsidR="002C0F56">
        <w:trPr>
          <w:trHeight w:val="1392"/>
        </w:trPr>
        <w:tc>
          <w:tcPr>
            <w:tcW w:w="333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pPr>
            <w:r>
              <w:rPr>
                <w:sz w:val="24"/>
              </w:rPr>
              <w:lastRenderedPageBreak/>
              <w:t xml:space="preserve">Соотношение численности безработных – всего и численностью безработных, зарегистрированных службой занятости, на конец года. </w:t>
            </w:r>
          </w:p>
        </w:tc>
        <w:tc>
          <w:tcPr>
            <w:tcW w:w="126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5,8 </w:t>
            </w:r>
          </w:p>
        </w:tc>
        <w:tc>
          <w:tcPr>
            <w:tcW w:w="127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6" w:firstLine="0"/>
              <w:jc w:val="center"/>
            </w:pPr>
            <w:r>
              <w:rPr>
                <w:sz w:val="24"/>
              </w:rPr>
              <w:t xml:space="preserve">6,9 </w:t>
            </w:r>
          </w:p>
        </w:tc>
        <w:tc>
          <w:tcPr>
            <w:tcW w:w="118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5" w:firstLine="0"/>
              <w:jc w:val="center"/>
            </w:pPr>
            <w:r>
              <w:rPr>
                <w:sz w:val="24"/>
              </w:rPr>
              <w:t xml:space="preserve">6,8 </w:t>
            </w:r>
          </w:p>
        </w:tc>
        <w:tc>
          <w:tcPr>
            <w:tcW w:w="119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7,2 </w:t>
            </w:r>
          </w:p>
        </w:tc>
        <w:tc>
          <w:tcPr>
            <w:tcW w:w="122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7" w:firstLine="0"/>
              <w:jc w:val="center"/>
            </w:pPr>
            <w:r>
              <w:rPr>
                <w:sz w:val="24"/>
              </w:rPr>
              <w:t xml:space="preserve">7,2 </w:t>
            </w:r>
          </w:p>
        </w:tc>
      </w:tr>
    </w:tbl>
    <w:p w:rsidR="002C0F56" w:rsidRDefault="00E67C6E">
      <w:pPr>
        <w:ind w:left="165" w:right="873"/>
      </w:pPr>
      <w:r>
        <w:t xml:space="preserve"> </w:t>
      </w:r>
      <w:r>
        <w:t>По данным Департамента федеральной государственной службы занятости населения по Ростовской области на конец 2014 года на учете в органах государственной службы занятости состояло 17,6 тыс. не занятых трудовой деятельностью граждан, что в 7,2 раза меньше о</w:t>
      </w:r>
      <w:r>
        <w:t xml:space="preserve">бщей численности безработных по сопоставимому кругу лиц (в трудоспособном возрасте, без учета студентов, учащихся, пенсионеров, отнесенных в соответствии с методологией МОТ к безработным).  </w:t>
      </w:r>
    </w:p>
    <w:p w:rsidR="002C0F56" w:rsidRDefault="00E67C6E">
      <w:pPr>
        <w:spacing w:after="11" w:line="270" w:lineRule="auto"/>
        <w:ind w:left="10" w:right="862" w:hanging="10"/>
        <w:jc w:val="right"/>
      </w:pPr>
      <w:r>
        <w:t xml:space="preserve">Численность экономически активного населения вIV квартале 2014г. </w:t>
      </w:r>
    </w:p>
    <w:p w:rsidR="002C0F56" w:rsidRDefault="00E67C6E">
      <w:pPr>
        <w:spacing w:after="13"/>
        <w:ind w:left="165" w:right="866" w:firstLine="0"/>
      </w:pPr>
      <w:r>
        <w:t>составила по итогам обследования (взяты статистические данные) населения по проблемам занятости 2151,3 тыс.человек, в их числе 2028,3 тыс.человек, или 94,3% экономически активного населения были заняты в экономике и 122,9 тыс.человек (5,7%) не имели занят</w:t>
      </w:r>
      <w:r>
        <w:t xml:space="preserve">ия, но активно его искали и были готовы приступить к работе (в соответствии с методологией Международной Организации Труда они классифицируются как безработные) (Таблица 2). </w:t>
      </w:r>
    </w:p>
    <w:p w:rsidR="002C0F56" w:rsidRDefault="00E67C6E">
      <w:pPr>
        <w:spacing w:after="0" w:line="259" w:lineRule="auto"/>
        <w:ind w:left="744" w:firstLine="0"/>
        <w:jc w:val="left"/>
      </w:pPr>
      <w:r>
        <w:t xml:space="preserve"> </w:t>
      </w:r>
    </w:p>
    <w:p w:rsidR="002C0F56" w:rsidRDefault="00E67C6E">
      <w:pPr>
        <w:spacing w:after="5" w:line="271" w:lineRule="auto"/>
        <w:ind w:left="672" w:right="396" w:hanging="10"/>
        <w:jc w:val="left"/>
      </w:pPr>
      <w:r>
        <w:rPr>
          <w:i/>
          <w:sz w:val="24"/>
        </w:rPr>
        <w:t>Таблица 2</w:t>
      </w:r>
      <w:r>
        <w:rPr>
          <w:sz w:val="24"/>
        </w:rPr>
        <w:t xml:space="preserve"> - </w:t>
      </w:r>
      <w:r>
        <w:rPr>
          <w:b/>
          <w:sz w:val="24"/>
        </w:rPr>
        <w:t>Численность экономически активного населения в 2014 г.[4]</w:t>
      </w:r>
      <w:r>
        <w:rPr>
          <w:sz w:val="24"/>
        </w:rPr>
        <w:t xml:space="preserve"> </w:t>
      </w:r>
    </w:p>
    <w:tbl>
      <w:tblPr>
        <w:tblStyle w:val="TableGrid"/>
        <w:tblW w:w="9460" w:type="dxa"/>
        <w:tblInd w:w="72" w:type="dxa"/>
        <w:tblCellMar>
          <w:top w:w="14" w:type="dxa"/>
          <w:left w:w="0" w:type="dxa"/>
          <w:bottom w:w="0" w:type="dxa"/>
          <w:right w:w="0" w:type="dxa"/>
        </w:tblCellMar>
        <w:tblLook w:val="04A0" w:firstRow="1" w:lastRow="0" w:firstColumn="1" w:lastColumn="0" w:noHBand="0" w:noVBand="1"/>
      </w:tblPr>
      <w:tblGrid>
        <w:gridCol w:w="2496"/>
        <w:gridCol w:w="1416"/>
        <w:gridCol w:w="1234"/>
        <w:gridCol w:w="1436"/>
        <w:gridCol w:w="1321"/>
        <w:gridCol w:w="1557"/>
      </w:tblGrid>
      <w:tr w:rsidR="002C0F56">
        <w:trPr>
          <w:trHeight w:val="286"/>
        </w:trPr>
        <w:tc>
          <w:tcPr>
            <w:tcW w:w="2518"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1" w:firstLine="0"/>
              <w:jc w:val="center"/>
            </w:pPr>
            <w:r>
              <w:rPr>
                <w:b/>
                <w:sz w:val="24"/>
              </w:rPr>
              <w:t xml:space="preserve">Период </w:t>
            </w:r>
          </w:p>
        </w:tc>
        <w:tc>
          <w:tcPr>
            <w:tcW w:w="1419"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78" w:lineRule="auto"/>
              <w:ind w:left="0" w:firstLine="0"/>
              <w:jc w:val="center"/>
            </w:pPr>
            <w:r>
              <w:rPr>
                <w:sz w:val="20"/>
              </w:rPr>
              <w:t xml:space="preserve">Экономически активное  </w:t>
            </w:r>
          </w:p>
          <w:p w:rsidR="002C0F56" w:rsidRDefault="00E67C6E">
            <w:pPr>
              <w:spacing w:after="0" w:line="259" w:lineRule="auto"/>
              <w:ind w:left="125" w:firstLine="0"/>
              <w:jc w:val="center"/>
            </w:pPr>
            <w:r>
              <w:rPr>
                <w:sz w:val="20"/>
              </w:rPr>
              <w:t xml:space="preserve">население,  тыс. чел. </w:t>
            </w:r>
          </w:p>
        </w:tc>
        <w:tc>
          <w:tcPr>
            <w:tcW w:w="2638"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 w:firstLine="0"/>
              <w:jc w:val="center"/>
            </w:pPr>
            <w:r>
              <w:rPr>
                <w:sz w:val="24"/>
              </w:rPr>
              <w:t xml:space="preserve">В том числе </w:t>
            </w:r>
          </w:p>
        </w:tc>
        <w:tc>
          <w:tcPr>
            <w:tcW w:w="1325"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0" w:firstLine="0"/>
              <w:jc w:val="center"/>
            </w:pPr>
            <w:r>
              <w:rPr>
                <w:sz w:val="24"/>
              </w:rPr>
              <w:t xml:space="preserve">Уровень   занятости,  % </w:t>
            </w:r>
          </w:p>
        </w:tc>
        <w:tc>
          <w:tcPr>
            <w:tcW w:w="1561"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Уровень   безработицы % </w:t>
            </w:r>
          </w:p>
        </w:tc>
      </w:tr>
      <w:tr w:rsidR="002C0F56">
        <w:trPr>
          <w:trHeight w:val="643"/>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2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11" w:firstLine="0"/>
              <w:jc w:val="left"/>
            </w:pPr>
            <w:r>
              <w:rPr>
                <w:sz w:val="24"/>
              </w:rPr>
              <w:t xml:space="preserve">занятые </w:t>
            </w:r>
          </w:p>
        </w:tc>
        <w:tc>
          <w:tcPr>
            <w:tcW w:w="140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32" w:right="-27" w:firstLine="0"/>
              <w:jc w:val="left"/>
            </w:pPr>
            <w:r>
              <w:rPr>
                <w:sz w:val="24"/>
              </w:rPr>
              <w:t>безработные</w:t>
            </w: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562"/>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pPr>
            <w:r>
              <w:rPr>
                <w:b/>
                <w:sz w:val="24"/>
              </w:rPr>
              <w:t xml:space="preserve">I квартал (в среднем за месяц)2014 </w:t>
            </w:r>
          </w:p>
        </w:tc>
        <w:tc>
          <w:tcPr>
            <w:tcW w:w="14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2160,3 </w:t>
            </w:r>
          </w:p>
        </w:tc>
        <w:tc>
          <w:tcPr>
            <w:tcW w:w="12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2026,3 </w:t>
            </w:r>
          </w:p>
        </w:tc>
        <w:tc>
          <w:tcPr>
            <w:tcW w:w="140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134,0 </w:t>
            </w:r>
          </w:p>
        </w:tc>
        <w:tc>
          <w:tcPr>
            <w:tcW w:w="132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62,0 </w:t>
            </w:r>
          </w:p>
        </w:tc>
        <w:tc>
          <w:tcPr>
            <w:tcW w:w="1561"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6,2 </w:t>
            </w:r>
          </w:p>
        </w:tc>
      </w:tr>
      <w:tr w:rsidR="002C0F56">
        <w:trPr>
          <w:trHeight w:val="286"/>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февраль-апрель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2199,6 </w:t>
            </w:r>
          </w:p>
        </w:tc>
        <w:tc>
          <w:tcPr>
            <w:tcW w:w="12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2065,8 </w:t>
            </w:r>
          </w:p>
        </w:tc>
        <w:tc>
          <w:tcPr>
            <w:tcW w:w="14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133,9 </w:t>
            </w:r>
          </w:p>
        </w:tc>
        <w:tc>
          <w:tcPr>
            <w:tcW w:w="132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63,3 </w:t>
            </w:r>
          </w:p>
        </w:tc>
        <w:tc>
          <w:tcPr>
            <w:tcW w:w="15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6,1 </w:t>
            </w:r>
          </w:p>
        </w:tc>
      </w:tr>
      <w:tr w:rsidR="002C0F56">
        <w:trPr>
          <w:trHeight w:val="288"/>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март-май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2174,5 </w:t>
            </w:r>
          </w:p>
        </w:tc>
        <w:tc>
          <w:tcPr>
            <w:tcW w:w="12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2044,7 </w:t>
            </w:r>
          </w:p>
        </w:tc>
        <w:tc>
          <w:tcPr>
            <w:tcW w:w="14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129,8 </w:t>
            </w:r>
          </w:p>
        </w:tc>
        <w:tc>
          <w:tcPr>
            <w:tcW w:w="132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62,6 </w:t>
            </w:r>
          </w:p>
        </w:tc>
        <w:tc>
          <w:tcPr>
            <w:tcW w:w="15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6,0 </w:t>
            </w:r>
          </w:p>
        </w:tc>
      </w:tr>
      <w:tr w:rsidR="002C0F56">
        <w:trPr>
          <w:trHeight w:val="838"/>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right="106" w:firstLine="0"/>
            </w:pPr>
            <w:r>
              <w:rPr>
                <w:b/>
                <w:sz w:val="24"/>
              </w:rPr>
              <w:t xml:space="preserve">II квартал (в среднем за месяц) 2014 </w:t>
            </w:r>
          </w:p>
        </w:tc>
        <w:tc>
          <w:tcPr>
            <w:tcW w:w="14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2125,2 </w:t>
            </w:r>
          </w:p>
        </w:tc>
        <w:tc>
          <w:tcPr>
            <w:tcW w:w="12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2000,1 </w:t>
            </w:r>
          </w:p>
        </w:tc>
        <w:tc>
          <w:tcPr>
            <w:tcW w:w="140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125,1 </w:t>
            </w:r>
          </w:p>
        </w:tc>
        <w:tc>
          <w:tcPr>
            <w:tcW w:w="132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61,2 </w:t>
            </w:r>
          </w:p>
        </w:tc>
        <w:tc>
          <w:tcPr>
            <w:tcW w:w="1561"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5,9 </w:t>
            </w:r>
          </w:p>
        </w:tc>
      </w:tr>
      <w:tr w:rsidR="002C0F56">
        <w:trPr>
          <w:trHeight w:val="286"/>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май-июль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2129,1 </w:t>
            </w:r>
          </w:p>
        </w:tc>
        <w:tc>
          <w:tcPr>
            <w:tcW w:w="12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2006,7 </w:t>
            </w:r>
          </w:p>
        </w:tc>
        <w:tc>
          <w:tcPr>
            <w:tcW w:w="14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122,4 </w:t>
            </w:r>
          </w:p>
        </w:tc>
        <w:tc>
          <w:tcPr>
            <w:tcW w:w="132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61,4 </w:t>
            </w:r>
          </w:p>
        </w:tc>
        <w:tc>
          <w:tcPr>
            <w:tcW w:w="15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5,8 </w:t>
            </w:r>
          </w:p>
        </w:tc>
      </w:tr>
      <w:tr w:rsidR="002C0F56">
        <w:trPr>
          <w:trHeight w:val="286"/>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июнь-август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2129,1 </w:t>
            </w:r>
          </w:p>
        </w:tc>
        <w:tc>
          <w:tcPr>
            <w:tcW w:w="12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2005,8 </w:t>
            </w:r>
          </w:p>
        </w:tc>
        <w:tc>
          <w:tcPr>
            <w:tcW w:w="14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123,3 </w:t>
            </w:r>
          </w:p>
        </w:tc>
        <w:tc>
          <w:tcPr>
            <w:tcW w:w="132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61,4 </w:t>
            </w:r>
          </w:p>
        </w:tc>
        <w:tc>
          <w:tcPr>
            <w:tcW w:w="15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5,8 </w:t>
            </w:r>
          </w:p>
        </w:tc>
      </w:tr>
      <w:tr w:rsidR="002C0F56">
        <w:trPr>
          <w:trHeight w:val="838"/>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right="108" w:firstLine="0"/>
            </w:pPr>
            <w:r>
              <w:rPr>
                <w:b/>
                <w:sz w:val="24"/>
              </w:rPr>
              <w:t xml:space="preserve">III квартал (в среднем за месяц) 2014 </w:t>
            </w:r>
          </w:p>
        </w:tc>
        <w:tc>
          <w:tcPr>
            <w:tcW w:w="14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2131,5 </w:t>
            </w:r>
          </w:p>
        </w:tc>
        <w:tc>
          <w:tcPr>
            <w:tcW w:w="12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2010,3 </w:t>
            </w:r>
          </w:p>
        </w:tc>
        <w:tc>
          <w:tcPr>
            <w:tcW w:w="140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121,1 </w:t>
            </w:r>
          </w:p>
        </w:tc>
        <w:tc>
          <w:tcPr>
            <w:tcW w:w="132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61,6 </w:t>
            </w:r>
          </w:p>
        </w:tc>
        <w:tc>
          <w:tcPr>
            <w:tcW w:w="1561"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5,7 </w:t>
            </w:r>
          </w:p>
        </w:tc>
      </w:tr>
      <w:tr w:rsidR="002C0F56">
        <w:trPr>
          <w:trHeight w:val="286"/>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август-октябрь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2138,1 </w:t>
            </w:r>
          </w:p>
        </w:tc>
        <w:tc>
          <w:tcPr>
            <w:tcW w:w="12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2018,7 </w:t>
            </w:r>
          </w:p>
        </w:tc>
        <w:tc>
          <w:tcPr>
            <w:tcW w:w="14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119,4 </w:t>
            </w:r>
          </w:p>
        </w:tc>
        <w:tc>
          <w:tcPr>
            <w:tcW w:w="132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61,8 </w:t>
            </w:r>
          </w:p>
        </w:tc>
        <w:tc>
          <w:tcPr>
            <w:tcW w:w="15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5,6 </w:t>
            </w:r>
          </w:p>
        </w:tc>
      </w:tr>
      <w:tr w:rsidR="002C0F56">
        <w:trPr>
          <w:trHeight w:val="288"/>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сентябрь-ноябрь </w:t>
            </w:r>
          </w:p>
        </w:tc>
        <w:tc>
          <w:tcPr>
            <w:tcW w:w="14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2168,9 </w:t>
            </w:r>
          </w:p>
        </w:tc>
        <w:tc>
          <w:tcPr>
            <w:tcW w:w="12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2047,7 </w:t>
            </w:r>
          </w:p>
        </w:tc>
        <w:tc>
          <w:tcPr>
            <w:tcW w:w="14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121,2 </w:t>
            </w:r>
          </w:p>
        </w:tc>
        <w:tc>
          <w:tcPr>
            <w:tcW w:w="132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62,7 </w:t>
            </w:r>
          </w:p>
        </w:tc>
        <w:tc>
          <w:tcPr>
            <w:tcW w:w="15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5,6 </w:t>
            </w:r>
          </w:p>
        </w:tc>
      </w:tr>
      <w:tr w:rsidR="002C0F56">
        <w:trPr>
          <w:trHeight w:val="838"/>
        </w:trPr>
        <w:tc>
          <w:tcPr>
            <w:tcW w:w="251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right="106" w:firstLine="0"/>
            </w:pPr>
            <w:r>
              <w:rPr>
                <w:b/>
                <w:sz w:val="24"/>
              </w:rPr>
              <w:lastRenderedPageBreak/>
              <w:t xml:space="preserve">IV квартал (в среднем за месяц) 2014 </w:t>
            </w:r>
          </w:p>
        </w:tc>
        <w:tc>
          <w:tcPr>
            <w:tcW w:w="14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2151,3 </w:t>
            </w:r>
          </w:p>
        </w:tc>
        <w:tc>
          <w:tcPr>
            <w:tcW w:w="12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2028,3 </w:t>
            </w:r>
          </w:p>
        </w:tc>
        <w:tc>
          <w:tcPr>
            <w:tcW w:w="140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08" w:firstLine="0"/>
              <w:jc w:val="left"/>
            </w:pPr>
            <w:r>
              <w:rPr>
                <w:b/>
                <w:sz w:val="24"/>
              </w:rPr>
              <w:t xml:space="preserve">122,9 </w:t>
            </w:r>
          </w:p>
        </w:tc>
        <w:tc>
          <w:tcPr>
            <w:tcW w:w="132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62,1 </w:t>
            </w:r>
          </w:p>
        </w:tc>
        <w:tc>
          <w:tcPr>
            <w:tcW w:w="1561"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b/>
                <w:sz w:val="24"/>
              </w:rPr>
              <w:t xml:space="preserve">5,7 </w:t>
            </w:r>
          </w:p>
        </w:tc>
      </w:tr>
    </w:tbl>
    <w:p w:rsidR="002C0F56" w:rsidRDefault="00E67C6E">
      <w:pPr>
        <w:spacing w:after="0" w:line="259" w:lineRule="auto"/>
        <w:ind w:left="744" w:firstLine="0"/>
        <w:jc w:val="left"/>
      </w:pPr>
      <w:r>
        <w:rPr>
          <w:b/>
        </w:rPr>
        <w:t xml:space="preserve"> </w:t>
      </w:r>
    </w:p>
    <w:p w:rsidR="002C0F56" w:rsidRDefault="00E67C6E">
      <w:pPr>
        <w:spacing w:after="15"/>
        <w:ind w:left="165" w:right="870"/>
      </w:pPr>
      <w:r>
        <w:t>Безработные в 2014 году представлены двумя основными, почти равновеликими, группами: молодежью и населением в трудоспособном возрасте. Так, молодежь 15-29 лет составила 51,1 тыс. человек (40,6% от общей численности безработных), граждане в возрасте 30-54 л</w:t>
      </w:r>
      <w:r>
        <w:t xml:space="preserve">ет составили 59,6 тыс. человек (47,4%). На пожилых граждан от 55 до 72 лет приходилось 15,1 тыс. человек (12,0%). Данные представлены в таблице 3.[4] </w:t>
      </w:r>
    </w:p>
    <w:p w:rsidR="002C0F56" w:rsidRDefault="00E67C6E">
      <w:pPr>
        <w:ind w:left="165" w:right="866"/>
      </w:pPr>
      <w:r>
        <w:t>Анализ распределения безработных по пятилетним возрастным группам показывает, что наибольшее число безраб</w:t>
      </w:r>
      <w:r>
        <w:t xml:space="preserve">отных на протяжении 2010-2014 годов приходился на возраст 20-24 лет,  25-29 лет и 30-34 года.  </w:t>
      </w:r>
    </w:p>
    <w:p w:rsidR="002C0F56" w:rsidRDefault="00E67C6E">
      <w:pPr>
        <w:spacing w:after="0" w:line="259" w:lineRule="auto"/>
        <w:ind w:left="744" w:firstLine="0"/>
        <w:jc w:val="left"/>
      </w:pPr>
      <w:r>
        <w:t xml:space="preserve"> </w:t>
      </w:r>
    </w:p>
    <w:p w:rsidR="002C0F56" w:rsidRDefault="00E67C6E">
      <w:pPr>
        <w:spacing w:after="5" w:line="271" w:lineRule="auto"/>
        <w:ind w:left="1460" w:right="396" w:hanging="10"/>
        <w:jc w:val="left"/>
      </w:pPr>
      <w:r>
        <w:rPr>
          <w:i/>
          <w:sz w:val="24"/>
        </w:rPr>
        <w:t>Таблица 3</w:t>
      </w:r>
      <w:r>
        <w:rPr>
          <w:sz w:val="24"/>
        </w:rPr>
        <w:t xml:space="preserve"> - </w:t>
      </w:r>
      <w:r>
        <w:rPr>
          <w:b/>
          <w:sz w:val="24"/>
        </w:rPr>
        <w:t xml:space="preserve">Безработные в возрасте 15-72 лет по  возрастным группам </w:t>
      </w:r>
    </w:p>
    <w:p w:rsidR="002C0F56" w:rsidRDefault="00E67C6E">
      <w:pPr>
        <w:spacing w:after="5" w:line="271" w:lineRule="auto"/>
        <w:ind w:left="4618" w:right="396" w:hanging="3809"/>
        <w:jc w:val="left"/>
      </w:pPr>
      <w:r>
        <w:rPr>
          <w:b/>
          <w:sz w:val="24"/>
        </w:rPr>
        <w:t xml:space="preserve">(по данным обследования населения по проблемам занятости, %) за период 20102014[4] </w:t>
      </w:r>
    </w:p>
    <w:tbl>
      <w:tblPr>
        <w:tblStyle w:val="TableGrid"/>
        <w:tblW w:w="9314" w:type="dxa"/>
        <w:tblInd w:w="180" w:type="dxa"/>
        <w:tblCellMar>
          <w:top w:w="14" w:type="dxa"/>
          <w:left w:w="149" w:type="dxa"/>
          <w:bottom w:w="0" w:type="dxa"/>
          <w:right w:w="46" w:type="dxa"/>
        </w:tblCellMar>
        <w:tblLook w:val="04A0" w:firstRow="1" w:lastRow="0" w:firstColumn="1" w:lastColumn="0" w:noHBand="0" w:noVBand="1"/>
      </w:tblPr>
      <w:tblGrid>
        <w:gridCol w:w="3794"/>
        <w:gridCol w:w="982"/>
        <w:gridCol w:w="1136"/>
        <w:gridCol w:w="1133"/>
        <w:gridCol w:w="1136"/>
        <w:gridCol w:w="1133"/>
      </w:tblGrid>
      <w:tr w:rsidR="002C0F56">
        <w:trPr>
          <w:trHeight w:val="494"/>
        </w:trPr>
        <w:tc>
          <w:tcPr>
            <w:tcW w:w="3795"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104" w:firstLine="0"/>
              <w:jc w:val="center"/>
            </w:pPr>
            <w:r>
              <w:rPr>
                <w:sz w:val="24"/>
              </w:rPr>
              <w:t xml:space="preserve">Возрастные группы </w:t>
            </w:r>
          </w:p>
        </w:tc>
        <w:tc>
          <w:tcPr>
            <w:tcW w:w="982"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136"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133" w:type="dxa"/>
            <w:tcBorders>
              <w:top w:val="single" w:sz="4" w:space="0" w:color="000000"/>
              <w:left w:val="nil"/>
              <w:bottom w:val="single" w:sz="4" w:space="0" w:color="000000"/>
              <w:right w:val="nil"/>
            </w:tcBorders>
            <w:vAlign w:val="center"/>
          </w:tcPr>
          <w:p w:rsidR="002C0F56" w:rsidRDefault="00E67C6E">
            <w:pPr>
              <w:spacing w:after="0" w:line="259" w:lineRule="auto"/>
              <w:ind w:left="0" w:right="60" w:firstLine="0"/>
              <w:jc w:val="right"/>
            </w:pPr>
            <w:r>
              <w:rPr>
                <w:sz w:val="24"/>
              </w:rPr>
              <w:t xml:space="preserve">Период </w:t>
            </w:r>
          </w:p>
        </w:tc>
        <w:tc>
          <w:tcPr>
            <w:tcW w:w="1136"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133"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497"/>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98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2" w:firstLine="0"/>
              <w:jc w:val="left"/>
            </w:pPr>
            <w:r>
              <w:rPr>
                <w:sz w:val="24"/>
              </w:rPr>
              <w:t xml:space="preserve">2010г. </w:t>
            </w:r>
          </w:p>
        </w:tc>
        <w:tc>
          <w:tcPr>
            <w:tcW w:w="11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101" w:firstLine="0"/>
              <w:jc w:val="center"/>
            </w:pPr>
            <w:r>
              <w:rPr>
                <w:sz w:val="24"/>
              </w:rPr>
              <w:t xml:space="preserve">2011г. </w:t>
            </w:r>
          </w:p>
        </w:tc>
        <w:tc>
          <w:tcPr>
            <w:tcW w:w="11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98" w:firstLine="0"/>
              <w:jc w:val="center"/>
            </w:pPr>
            <w:r>
              <w:rPr>
                <w:sz w:val="24"/>
              </w:rPr>
              <w:t xml:space="preserve">2012г. </w:t>
            </w:r>
          </w:p>
        </w:tc>
        <w:tc>
          <w:tcPr>
            <w:tcW w:w="11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101" w:firstLine="0"/>
              <w:jc w:val="center"/>
            </w:pPr>
            <w:r>
              <w:rPr>
                <w:sz w:val="24"/>
              </w:rPr>
              <w:t xml:space="preserve">2013г. </w:t>
            </w:r>
          </w:p>
        </w:tc>
        <w:tc>
          <w:tcPr>
            <w:tcW w:w="11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103" w:firstLine="0"/>
              <w:jc w:val="center"/>
            </w:pPr>
            <w:r>
              <w:rPr>
                <w:sz w:val="24"/>
              </w:rPr>
              <w:t xml:space="preserve">2014г. </w:t>
            </w:r>
          </w:p>
        </w:tc>
      </w:tr>
      <w:tr w:rsidR="002C0F56">
        <w:trPr>
          <w:trHeight w:val="562"/>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Всего,в том числе по возрастным группам, лет: </w:t>
            </w:r>
          </w:p>
        </w:tc>
        <w:tc>
          <w:tcPr>
            <w:tcW w:w="98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100,0 </w:t>
            </w:r>
          </w:p>
        </w:tc>
        <w:tc>
          <w:tcPr>
            <w:tcW w:w="11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9" w:firstLine="0"/>
              <w:jc w:val="left"/>
            </w:pPr>
            <w:r>
              <w:rPr>
                <w:sz w:val="24"/>
              </w:rPr>
              <w:t xml:space="preserve">100,0 </w:t>
            </w:r>
          </w:p>
        </w:tc>
        <w:tc>
          <w:tcPr>
            <w:tcW w:w="11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9" w:firstLine="0"/>
              <w:jc w:val="left"/>
            </w:pPr>
            <w:r>
              <w:rPr>
                <w:sz w:val="24"/>
              </w:rPr>
              <w:t xml:space="preserve">100,0 </w:t>
            </w:r>
          </w:p>
        </w:tc>
        <w:tc>
          <w:tcPr>
            <w:tcW w:w="11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9" w:firstLine="0"/>
              <w:jc w:val="left"/>
            </w:pPr>
            <w:r>
              <w:rPr>
                <w:sz w:val="24"/>
              </w:rPr>
              <w:t xml:space="preserve">100,0 </w:t>
            </w:r>
          </w:p>
        </w:tc>
        <w:tc>
          <w:tcPr>
            <w:tcW w:w="11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77" w:firstLine="0"/>
              <w:jc w:val="left"/>
            </w:pPr>
            <w:r>
              <w:rPr>
                <w:sz w:val="24"/>
              </w:rPr>
              <w:t xml:space="preserve">100,0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99" w:firstLine="0"/>
              <w:jc w:val="center"/>
            </w:pPr>
            <w:r>
              <w:rPr>
                <w:sz w:val="24"/>
              </w:rPr>
              <w:t xml:space="preserve">до 20 лет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0" w:firstLine="0"/>
              <w:jc w:val="left"/>
            </w:pPr>
            <w:r>
              <w:rPr>
                <w:sz w:val="24"/>
              </w:rPr>
              <w:t xml:space="preserve">5,7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6,4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6,5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4,2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4,5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20 – 24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 w:firstLine="0"/>
              <w:jc w:val="left"/>
            </w:pPr>
            <w:r>
              <w:rPr>
                <w:sz w:val="24"/>
              </w:rPr>
              <w:t xml:space="preserve">21,0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21,3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21,3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20,7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20,7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25 – 29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 w:firstLine="0"/>
              <w:jc w:val="left"/>
            </w:pPr>
            <w:r>
              <w:rPr>
                <w:sz w:val="24"/>
              </w:rPr>
              <w:t xml:space="preserve">14,5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13,4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17,8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15,9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15,4 </w:t>
            </w:r>
          </w:p>
        </w:tc>
      </w:tr>
      <w:tr w:rsidR="002C0F56">
        <w:trPr>
          <w:trHeight w:val="288"/>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30 – 34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 w:firstLine="0"/>
              <w:jc w:val="left"/>
            </w:pPr>
            <w:r>
              <w:rPr>
                <w:sz w:val="24"/>
              </w:rPr>
              <w:t xml:space="preserve">11,4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12,4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12,7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12,0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12,2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35 – 39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0" w:firstLine="0"/>
              <w:jc w:val="left"/>
            </w:pPr>
            <w:r>
              <w:rPr>
                <w:sz w:val="24"/>
              </w:rPr>
              <w:t xml:space="preserve">8,8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10,2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7,9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10,3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10,4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40 – 44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0" w:firstLine="0"/>
              <w:jc w:val="left"/>
            </w:pPr>
            <w:r>
              <w:rPr>
                <w:sz w:val="24"/>
              </w:rPr>
              <w:t xml:space="preserve">8,4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7,6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8,2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7,9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7,5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45 – 49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 w:firstLine="0"/>
              <w:jc w:val="left"/>
            </w:pPr>
            <w:r>
              <w:rPr>
                <w:sz w:val="24"/>
              </w:rPr>
              <w:t xml:space="preserve">10,6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8,1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8,1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6,4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6,3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50 – 54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0" w:firstLine="0"/>
              <w:jc w:val="left"/>
            </w:pPr>
            <w:r>
              <w:rPr>
                <w:sz w:val="24"/>
              </w:rPr>
              <w:t xml:space="preserve">10,8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10,2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7,8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10,5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11,0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55 – 59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0" w:firstLine="0"/>
              <w:jc w:val="left"/>
            </w:pPr>
            <w:r>
              <w:rPr>
                <w:sz w:val="24"/>
              </w:rPr>
              <w:t xml:space="preserve">5,6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7,0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5,7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7,1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7,5 </w:t>
            </w:r>
          </w:p>
        </w:tc>
      </w:tr>
      <w:tr w:rsidR="002C0F56">
        <w:trPr>
          <w:trHeight w:val="288"/>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60 – 64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0" w:firstLine="0"/>
              <w:jc w:val="left"/>
            </w:pPr>
            <w:r>
              <w:rPr>
                <w:sz w:val="24"/>
              </w:rPr>
              <w:t xml:space="preserve">2,4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2,8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3,1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4,0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4,0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65 – 72 </w:t>
            </w:r>
          </w:p>
        </w:tc>
        <w:tc>
          <w:tcPr>
            <w:tcW w:w="98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0" w:firstLine="0"/>
              <w:jc w:val="left"/>
            </w:pPr>
            <w:r>
              <w:rPr>
                <w:sz w:val="24"/>
              </w:rPr>
              <w:t xml:space="preserve">0,7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0,4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0" w:firstLine="0"/>
              <w:jc w:val="center"/>
            </w:pPr>
            <w:r>
              <w:rPr>
                <w:sz w:val="24"/>
              </w:rP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3" w:firstLine="0"/>
              <w:jc w:val="center"/>
            </w:pPr>
            <w:r>
              <w:rPr>
                <w:sz w:val="24"/>
              </w:rPr>
              <w:t xml:space="preserve">1,0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0,5 </w:t>
            </w:r>
          </w:p>
        </w:tc>
      </w:tr>
    </w:tbl>
    <w:p w:rsidR="002C0F56" w:rsidRDefault="00E67C6E">
      <w:pPr>
        <w:spacing w:after="25" w:line="259" w:lineRule="auto"/>
        <w:ind w:left="744" w:firstLine="0"/>
        <w:jc w:val="left"/>
      </w:pPr>
      <w:r>
        <w:t xml:space="preserve"> </w:t>
      </w:r>
    </w:p>
    <w:p w:rsidR="002C0F56" w:rsidRDefault="00E67C6E">
      <w:pPr>
        <w:ind w:left="165" w:right="867"/>
      </w:pPr>
      <w:r>
        <w:t xml:space="preserve"> </w:t>
      </w:r>
      <w:r>
        <w:t xml:space="preserve">За исключением последней пятилетней группы, в указанных возрастах, как и в целом по безработным, наблюдалась тенденция сокращения численности безработных. Доля численности молодежной группы от 20 до 24 лет уменьшилась в 2014 году по сравнению с 2010 годом </w:t>
      </w:r>
      <w:r>
        <w:t xml:space="preserve">на 0,3 п.п., преимущественно за счет юношей, доля которых сократилась на 2,7 п.п.. Удельный вес безработных девушек также стал меньше (на 1,5 п.п.). Доля </w:t>
      </w:r>
      <w:r>
        <w:lastRenderedPageBreak/>
        <w:t>возрастной группы от 25 до 29 лет возросла на 0,9 п.п., что обусловлено увеличением соответствующей во</w:t>
      </w:r>
      <w:r>
        <w:t xml:space="preserve">зрастной группы безработных молодых людей на 2,7 п.п. на фоне роста удельного веса молодых женщин (на 2,1 п.п.). </w:t>
      </w:r>
    </w:p>
    <w:p w:rsidR="002C0F56" w:rsidRDefault="00E67C6E">
      <w:pPr>
        <w:spacing w:after="15" w:line="268" w:lineRule="auto"/>
        <w:ind w:left="10" w:right="708" w:hanging="10"/>
        <w:jc w:val="center"/>
      </w:pPr>
      <w:r>
        <w:t xml:space="preserve">Наблюдается существенный приток в безработицу граждан в возрасте: </w:t>
      </w:r>
    </w:p>
    <w:p w:rsidR="002C0F56" w:rsidRDefault="00E67C6E">
      <w:pPr>
        <w:ind w:left="165" w:right="875"/>
      </w:pPr>
      <w:r>
        <w:t>- от 30 до 34 лет повысилось на 0,8 п.п. за счет мужчин, приток которых уве</w:t>
      </w:r>
      <w:r>
        <w:t xml:space="preserve">личился на 0,9 п.п., в то время как  доля женщин, напротив, снизилась (на  0,1 п.п.) </w:t>
      </w:r>
    </w:p>
    <w:p w:rsidR="002C0F56" w:rsidRDefault="00E67C6E">
      <w:pPr>
        <w:ind w:left="165" w:right="868"/>
      </w:pPr>
      <w:r>
        <w:t>-от 35 до 39 лет. Так, доля безработных от 35 до 39 лет в 2014 году по сравнению с 2010 годом повысилась на 1,6 п.п., соответственно среди мужчин – на 2,8 п.п., среди жен</w:t>
      </w:r>
      <w:r>
        <w:t xml:space="preserve">щин – на 5,1 п.п. </w:t>
      </w:r>
    </w:p>
    <w:p w:rsidR="002C0F56" w:rsidRDefault="00E67C6E">
      <w:pPr>
        <w:spacing w:after="9"/>
        <w:ind w:left="165" w:right="874"/>
      </w:pPr>
      <w:r>
        <w:t xml:space="preserve">Возрастной контингент безработных от 55 до 59 лет повысился на 1,9п.п., от 60 до 64 лет на 1,6 п.п. при более существенном увеличении доли ищущих работу женщин (на 5,3 п.п.) и менее значительном -  у мужчин – на </w:t>
      </w:r>
      <w:r>
        <w:rPr>
          <w:b/>
        </w:rPr>
        <w:t xml:space="preserve"> </w:t>
      </w:r>
    </w:p>
    <w:p w:rsidR="002C0F56" w:rsidRDefault="00E67C6E">
      <w:pPr>
        <w:ind w:left="165" w:right="874"/>
      </w:pPr>
      <w:r>
        <w:t xml:space="preserve">Удельный вес численности безработных в возрасте от 40 до 44 лет за указанное время уменьшился на 0,9 п.п. вследствие увеличения доли безработных мужчин на 4,3 п.п. при одновременном ее уменьшении среди женщин на 0,4 п.п.  </w:t>
      </w:r>
    </w:p>
    <w:p w:rsidR="002C0F56" w:rsidRDefault="00E67C6E">
      <w:pPr>
        <w:ind w:left="165" w:right="873"/>
      </w:pPr>
      <w:r>
        <w:t>Вместе с тем наблюдается сокращен</w:t>
      </w:r>
      <w:r>
        <w:t xml:space="preserve">ие на 4,1 п.п. доли безработных в возрасте от 45 до 54 лет, в большей степени среди женщин (на 7,3 п.п.), при более умеренном уменьшении присутствия безработных мужчин (на 3,3 п.п.). </w:t>
      </w:r>
    </w:p>
    <w:p w:rsidR="002C0F56" w:rsidRDefault="00E67C6E">
      <w:pPr>
        <w:spacing w:after="10"/>
        <w:ind w:left="165" w:right="865"/>
      </w:pPr>
      <w:r>
        <w:t>Анализ динамики по продолжительности поиска работы в 2010-</w:t>
      </w:r>
      <w:r>
        <w:t>2014гг. по данным обследования населения по проблемам занятости показывает, что лишь немногим удается трудоустроиться быстро – в течение первого месяца поиска работы. В 2014 году на таковых приходилось 12,6 процента. Основная же масса безработных, а это 42</w:t>
      </w:r>
      <w:r>
        <w:t xml:space="preserve">,3 процента, искала место работы от 1 месяца до полугода.  </w:t>
      </w:r>
    </w:p>
    <w:p w:rsidR="002C0F56" w:rsidRDefault="00E67C6E">
      <w:pPr>
        <w:spacing w:after="10"/>
        <w:ind w:left="165" w:right="874"/>
      </w:pPr>
      <w:r>
        <w:t xml:space="preserve">Достаточно распространенной в Ростовской области остается застойная безработица. Так, в 2014 году в составе безработных 25,0 процента трудоустраивались 12 месяцев и более.  </w:t>
      </w:r>
    </w:p>
    <w:p w:rsidR="002C0F56" w:rsidRDefault="00E67C6E">
      <w:pPr>
        <w:ind w:left="165" w:right="302"/>
      </w:pPr>
      <w:r>
        <w:t>Среднее время поиска р</w:t>
      </w:r>
      <w:r>
        <w:t xml:space="preserve">аботы безработными в 2014 году по Ростовской области составило 7 месяцев, что соответствует уровню предыдущего года.  </w:t>
      </w:r>
    </w:p>
    <w:p w:rsidR="002C0F56" w:rsidRDefault="00E67C6E">
      <w:pPr>
        <w:ind w:left="165" w:right="870"/>
      </w:pPr>
      <w:r>
        <w:t>Сопоставление средней продолжительности поиска работы у мужчин и женщин в 2010-2014 году показывает, что мужчины трудоустраивались быстре</w:t>
      </w:r>
      <w:r>
        <w:t xml:space="preserve">е женщин на протяжении всего анализируемого периода, а в 2014 году был достигнут максимальный разрыв в 1,4 месяца. </w:t>
      </w:r>
    </w:p>
    <w:p w:rsidR="002C0F56" w:rsidRDefault="00E67C6E">
      <w:pPr>
        <w:spacing w:after="5" w:line="271" w:lineRule="auto"/>
        <w:ind w:left="4428" w:right="396" w:hanging="3766"/>
        <w:jc w:val="left"/>
      </w:pPr>
      <w:r>
        <w:rPr>
          <w:i/>
          <w:sz w:val="24"/>
        </w:rPr>
        <w:t>Таблица 4 -</w:t>
      </w:r>
      <w:r>
        <w:rPr>
          <w:sz w:val="24"/>
        </w:rPr>
        <w:t xml:space="preserve"> </w:t>
      </w:r>
      <w:r>
        <w:rPr>
          <w:b/>
          <w:sz w:val="24"/>
        </w:rPr>
        <w:t>Распределение численности безработных по продолжительности поиска работы[4]</w:t>
      </w:r>
      <w:r>
        <w:rPr>
          <w:sz w:val="24"/>
        </w:rPr>
        <w:t xml:space="preserve"> </w:t>
      </w:r>
    </w:p>
    <w:tbl>
      <w:tblPr>
        <w:tblStyle w:val="TableGrid"/>
        <w:tblW w:w="9458" w:type="dxa"/>
        <w:tblInd w:w="180" w:type="dxa"/>
        <w:tblCellMar>
          <w:top w:w="14" w:type="dxa"/>
          <w:left w:w="187" w:type="dxa"/>
          <w:bottom w:w="0" w:type="dxa"/>
          <w:right w:w="115" w:type="dxa"/>
        </w:tblCellMar>
        <w:tblLook w:val="04A0" w:firstRow="1" w:lastRow="0" w:firstColumn="1" w:lastColumn="0" w:noHBand="0" w:noVBand="1"/>
      </w:tblPr>
      <w:tblGrid>
        <w:gridCol w:w="3796"/>
        <w:gridCol w:w="1126"/>
        <w:gridCol w:w="1133"/>
        <w:gridCol w:w="1135"/>
        <w:gridCol w:w="1133"/>
        <w:gridCol w:w="1135"/>
      </w:tblGrid>
      <w:tr w:rsidR="002C0F56">
        <w:trPr>
          <w:trHeight w:val="286"/>
        </w:trPr>
        <w:tc>
          <w:tcPr>
            <w:tcW w:w="3795"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9" w:firstLine="0"/>
              <w:jc w:val="center"/>
            </w:pPr>
            <w:r>
              <w:rPr>
                <w:sz w:val="24"/>
              </w:rPr>
              <w:t xml:space="preserve">Показатель </w:t>
            </w:r>
          </w:p>
        </w:tc>
        <w:tc>
          <w:tcPr>
            <w:tcW w:w="1126"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133"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135" w:type="dxa"/>
            <w:tcBorders>
              <w:top w:val="single" w:sz="4" w:space="0" w:color="000000"/>
              <w:left w:val="nil"/>
              <w:bottom w:val="single" w:sz="4" w:space="0" w:color="000000"/>
              <w:right w:val="nil"/>
            </w:tcBorders>
          </w:tcPr>
          <w:p w:rsidR="002C0F56" w:rsidRDefault="00E67C6E">
            <w:pPr>
              <w:spacing w:after="0" w:line="259" w:lineRule="auto"/>
              <w:ind w:left="0" w:firstLine="0"/>
              <w:jc w:val="left"/>
            </w:pPr>
            <w:r>
              <w:rPr>
                <w:sz w:val="24"/>
              </w:rPr>
              <w:t xml:space="preserve">Период </w:t>
            </w:r>
          </w:p>
        </w:tc>
        <w:tc>
          <w:tcPr>
            <w:tcW w:w="1133"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135"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4" w:firstLine="0"/>
              <w:jc w:val="center"/>
            </w:pPr>
            <w:r>
              <w:rPr>
                <w:sz w:val="24"/>
              </w:rPr>
              <w:t xml:space="preserve">2010г.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2" w:firstLine="0"/>
              <w:jc w:val="center"/>
            </w:pPr>
            <w:r>
              <w:rPr>
                <w:sz w:val="24"/>
              </w:rPr>
              <w:t xml:space="preserve">2011г.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0" w:firstLine="0"/>
              <w:jc w:val="center"/>
            </w:pPr>
            <w:r>
              <w:rPr>
                <w:sz w:val="24"/>
              </w:rPr>
              <w:t xml:space="preserve">2012г.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3" w:firstLine="0"/>
              <w:jc w:val="center"/>
            </w:pPr>
            <w:r>
              <w:rPr>
                <w:sz w:val="24"/>
              </w:rPr>
              <w:t xml:space="preserve">2013г.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0" w:firstLine="0"/>
              <w:jc w:val="center"/>
            </w:pPr>
            <w:r>
              <w:rPr>
                <w:sz w:val="24"/>
              </w:rPr>
              <w:t xml:space="preserve">2014г. </w:t>
            </w:r>
          </w:p>
        </w:tc>
      </w:tr>
      <w:tr w:rsidR="002C0F56">
        <w:trPr>
          <w:trHeight w:val="562"/>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40" w:right="510" w:firstLine="0"/>
              <w:jc w:val="center"/>
            </w:pPr>
            <w:r>
              <w:rPr>
                <w:sz w:val="24"/>
              </w:rPr>
              <w:lastRenderedPageBreak/>
              <w:t xml:space="preserve">Всего, в том числе ищут работу </w:t>
            </w:r>
          </w:p>
        </w:tc>
        <w:tc>
          <w:tcPr>
            <w:tcW w:w="112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4" w:firstLine="0"/>
              <w:jc w:val="left"/>
            </w:pPr>
            <w:r>
              <w:rPr>
                <w:sz w:val="24"/>
              </w:rPr>
              <w:t xml:space="preserve">100,0 </w:t>
            </w:r>
          </w:p>
        </w:tc>
        <w:tc>
          <w:tcPr>
            <w:tcW w:w="11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8" w:firstLine="0"/>
              <w:jc w:val="left"/>
            </w:pPr>
            <w:r>
              <w:rPr>
                <w:sz w:val="24"/>
              </w:rPr>
              <w:t xml:space="preserve">100,0 </w:t>
            </w:r>
          </w:p>
        </w:tc>
        <w:tc>
          <w:tcPr>
            <w:tcW w:w="113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41" w:firstLine="0"/>
              <w:jc w:val="left"/>
            </w:pPr>
            <w:r>
              <w:rPr>
                <w:sz w:val="24"/>
              </w:rPr>
              <w:t xml:space="preserve">100,0 </w:t>
            </w:r>
          </w:p>
        </w:tc>
        <w:tc>
          <w:tcPr>
            <w:tcW w:w="1133"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8" w:firstLine="0"/>
              <w:jc w:val="left"/>
            </w:pPr>
            <w:r>
              <w:rPr>
                <w:sz w:val="24"/>
              </w:rPr>
              <w:t xml:space="preserve">100,0 </w:t>
            </w:r>
          </w:p>
        </w:tc>
        <w:tc>
          <w:tcPr>
            <w:tcW w:w="113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41" w:firstLine="0"/>
              <w:jc w:val="left"/>
            </w:pPr>
            <w:r>
              <w:rPr>
                <w:sz w:val="24"/>
              </w:rPr>
              <w:t xml:space="preserve">100,0 </w:t>
            </w:r>
          </w:p>
        </w:tc>
      </w:tr>
      <w:tr w:rsidR="002C0F56">
        <w:trPr>
          <w:trHeight w:val="288"/>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9" w:firstLine="0"/>
              <w:jc w:val="center"/>
            </w:pPr>
            <w:r>
              <w:rPr>
                <w:sz w:val="24"/>
              </w:rPr>
              <w:t xml:space="preserve">до 1 месяца </w:t>
            </w: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6" w:firstLine="0"/>
              <w:jc w:val="center"/>
            </w:pPr>
            <w:r>
              <w:rPr>
                <w:sz w:val="24"/>
              </w:rPr>
              <w:t xml:space="preserve">18,1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12,3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14,4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12,8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12,6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2" w:firstLine="0"/>
              <w:jc w:val="center"/>
            </w:pPr>
            <w:r>
              <w:rPr>
                <w:sz w:val="24"/>
              </w:rPr>
              <w:t xml:space="preserve">от 1 до 3 месяцев </w:t>
            </w: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6" w:firstLine="0"/>
              <w:jc w:val="center"/>
            </w:pPr>
            <w:r>
              <w:rPr>
                <w:sz w:val="24"/>
              </w:rPr>
              <w:t xml:space="preserve">20,6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23,7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22,7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22,9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26,0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2" w:firstLine="0"/>
              <w:jc w:val="center"/>
            </w:pPr>
            <w:r>
              <w:rPr>
                <w:sz w:val="24"/>
              </w:rPr>
              <w:t xml:space="preserve">от 3 до 6 месяцев </w:t>
            </w: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6" w:firstLine="0"/>
              <w:jc w:val="center"/>
            </w:pPr>
            <w:r>
              <w:rPr>
                <w:sz w:val="24"/>
              </w:rPr>
              <w:t xml:space="preserve">23,3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16,1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19,2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18,5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16,3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2" w:firstLine="0"/>
              <w:jc w:val="center"/>
            </w:pPr>
            <w:r>
              <w:rPr>
                <w:sz w:val="24"/>
              </w:rPr>
              <w:t xml:space="preserve">от 6 до 9 месяцев </w:t>
            </w: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6" w:firstLine="0"/>
              <w:jc w:val="center"/>
            </w:pPr>
            <w:r>
              <w:rPr>
                <w:sz w:val="24"/>
              </w:rPr>
              <w:t xml:space="preserve">7,7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8,0</w:t>
            </w:r>
            <w:r>
              <w:rPr>
                <w:sz w:val="24"/>
              </w:rPr>
              <w:t xml:space="preserve">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6,4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10,1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10,1 </w:t>
            </w:r>
          </w:p>
        </w:tc>
      </w:tr>
      <w:tr w:rsidR="002C0F56">
        <w:trPr>
          <w:trHeight w:val="286"/>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2" w:firstLine="0"/>
              <w:jc w:val="center"/>
            </w:pPr>
            <w:r>
              <w:rPr>
                <w:sz w:val="24"/>
              </w:rPr>
              <w:t xml:space="preserve">от 9 до 12 месяцев </w:t>
            </w: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6" w:firstLine="0"/>
              <w:jc w:val="center"/>
            </w:pPr>
            <w:r>
              <w:rPr>
                <w:sz w:val="24"/>
              </w:rPr>
              <w:t xml:space="preserve">7,5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9,9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9,2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9,7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10,0 </w:t>
            </w:r>
          </w:p>
        </w:tc>
      </w:tr>
      <w:tr w:rsidR="002C0F56">
        <w:trPr>
          <w:trHeight w:val="288"/>
        </w:trPr>
        <w:tc>
          <w:tcPr>
            <w:tcW w:w="379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71" w:firstLine="0"/>
              <w:jc w:val="center"/>
            </w:pPr>
            <w:r>
              <w:rPr>
                <w:sz w:val="24"/>
              </w:rPr>
              <w:t xml:space="preserve">более 1 года </w:t>
            </w:r>
          </w:p>
        </w:tc>
        <w:tc>
          <w:tcPr>
            <w:tcW w:w="1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6" w:firstLine="0"/>
              <w:jc w:val="center"/>
            </w:pPr>
            <w:r>
              <w:rPr>
                <w:sz w:val="24"/>
              </w:rPr>
              <w:t xml:space="preserve">22,8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30,0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28,0 </w:t>
            </w:r>
          </w:p>
        </w:tc>
        <w:tc>
          <w:tcPr>
            <w:tcW w:w="11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4" w:firstLine="0"/>
              <w:jc w:val="center"/>
            </w:pPr>
            <w:r>
              <w:rPr>
                <w:sz w:val="24"/>
              </w:rPr>
              <w:t xml:space="preserve">25,9 </w:t>
            </w:r>
          </w:p>
        </w:tc>
        <w:tc>
          <w:tcPr>
            <w:tcW w:w="11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11" w:firstLine="0"/>
              <w:jc w:val="center"/>
            </w:pPr>
            <w:r>
              <w:rPr>
                <w:sz w:val="24"/>
              </w:rPr>
              <w:t xml:space="preserve">25,0 </w:t>
            </w:r>
          </w:p>
        </w:tc>
      </w:tr>
    </w:tbl>
    <w:p w:rsidR="002C0F56" w:rsidRDefault="00E67C6E">
      <w:pPr>
        <w:spacing w:after="25" w:line="259" w:lineRule="auto"/>
        <w:ind w:left="744" w:firstLine="0"/>
        <w:jc w:val="left"/>
      </w:pPr>
      <w:r>
        <w:t xml:space="preserve"> </w:t>
      </w:r>
    </w:p>
    <w:p w:rsidR="002C0F56" w:rsidRDefault="00E67C6E">
      <w:pPr>
        <w:spacing w:after="5"/>
        <w:ind w:left="165" w:right="868"/>
      </w:pPr>
      <w:r>
        <w:t xml:space="preserve"> Как показывают данные  материала населения по проблемам занятости, большинство безработных граждан, </w:t>
      </w:r>
      <w:r>
        <w:t>прервавших трудовую деятельность, в поисках нового места работы рассчитывают на помощь родственников, друзей, знакомых. Свыше четверти безработных (28,8%) воспользовались услугами. В числе безработных мужчин, не работавших ранее, удельный вес молодежи сост</w:t>
      </w:r>
      <w:r>
        <w:t xml:space="preserve">авил 77,5 процента, среди женщин – 84,1 процента. </w:t>
      </w:r>
    </w:p>
    <w:p w:rsidR="002C0F56" w:rsidRDefault="00E67C6E">
      <w:pPr>
        <w:ind w:left="165" w:right="302"/>
      </w:pPr>
      <w:r>
        <w:t xml:space="preserve">У безработных горожан доля таковых достигла 95,6 процента, в сельской местности – 70,3 процента. </w:t>
      </w:r>
    </w:p>
    <w:p w:rsidR="002C0F56" w:rsidRDefault="00E67C6E">
      <w:pPr>
        <w:ind w:left="165" w:right="867"/>
      </w:pPr>
      <w:r>
        <w:t>Иерархия способов трудоустройства у не работавших ранее лиц такая же, как и у бывших работников. На первом месте - личные связи (68%). На втором - услуги государственной службы занятости (28,1%). Непосредственно к администрации предприятий и организаций об</w:t>
      </w:r>
      <w:r>
        <w:t xml:space="preserve">ратилось 25,2 процента ищущих работу граждан, без трудовых навыков. Около трети использовали  средства массовой информации – 32,9 процента.  </w:t>
      </w:r>
    </w:p>
    <w:p w:rsidR="002C0F56" w:rsidRDefault="00E67C6E">
      <w:pPr>
        <w:spacing w:after="2"/>
        <w:ind w:left="165" w:right="871"/>
      </w:pPr>
      <w:r>
        <w:t>Общая ситуация на рынке труда Ростовской области в 2014 году характеризовалась сокращением среднесписочной численн</w:t>
      </w:r>
      <w:r>
        <w:t xml:space="preserve">ости работников крупных и средних организаций, при этом наметилась тенденция к некоторому ускорению этого процесса. </w:t>
      </w:r>
    </w:p>
    <w:p w:rsidR="002C0F56" w:rsidRDefault="00E67C6E">
      <w:pPr>
        <w:ind w:left="165" w:right="302"/>
      </w:pPr>
      <w:r>
        <w:t xml:space="preserve">Среди  негативных  тенденций, проявившихся в конце 2014 года необходимо выделить следующие: </w:t>
      </w:r>
    </w:p>
    <w:p w:rsidR="002C0F56" w:rsidRDefault="00E67C6E">
      <w:pPr>
        <w:ind w:left="744" w:right="302" w:firstLine="0"/>
      </w:pPr>
      <w:r>
        <w:t>повышение уровня безработицы и ухудшение струк</w:t>
      </w:r>
      <w:r>
        <w:t xml:space="preserve">туры занятости; увеличение дифференциации денежных доходов. </w:t>
      </w:r>
    </w:p>
    <w:p w:rsidR="002C0F56" w:rsidRDefault="00E67C6E">
      <w:pPr>
        <w:spacing w:after="22" w:line="259" w:lineRule="auto"/>
        <w:ind w:left="0" w:right="55" w:firstLine="0"/>
        <w:jc w:val="center"/>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105"/>
        </w:numPr>
        <w:ind w:right="582"/>
      </w:pPr>
      <w:r>
        <w:t xml:space="preserve">Алиев И. Горелов Н.А. Ильина Л.О. – Экономика труда. Учебник. –М.:, ЮРАЙТ, 2011; </w:t>
      </w:r>
    </w:p>
    <w:p w:rsidR="002C0F56" w:rsidRDefault="00E67C6E">
      <w:pPr>
        <w:numPr>
          <w:ilvl w:val="0"/>
          <w:numId w:val="105"/>
        </w:numPr>
        <w:ind w:right="582"/>
      </w:pPr>
      <w:r>
        <w:t>Басовский Л.Е., Басовская Е.Н. Макроэкономика: учебник. – М.:, ИНФРА-М, 2012; 3.</w:t>
      </w:r>
      <w:r>
        <w:rPr>
          <w:rFonts w:ascii="Arial" w:eastAsia="Arial" w:hAnsi="Arial" w:cs="Arial"/>
        </w:rPr>
        <w:t xml:space="preserve"> </w:t>
      </w:r>
      <w:r>
        <w:t>Жулина Е.Г</w:t>
      </w:r>
      <w:r>
        <w:t xml:space="preserve">. – Экономика труда, учебное пособие. –М.:, ЭКСМО, 2010. </w:t>
      </w:r>
    </w:p>
    <w:p w:rsidR="002C0F56" w:rsidRDefault="00E67C6E">
      <w:pPr>
        <w:ind w:left="165" w:right="302" w:firstLine="0"/>
      </w:pPr>
      <w:r>
        <w:t xml:space="preserve">-  60 с; </w:t>
      </w:r>
    </w:p>
    <w:p w:rsidR="002C0F56" w:rsidRDefault="00E67C6E">
      <w:pPr>
        <w:ind w:left="165" w:right="302"/>
      </w:pPr>
      <w:r>
        <w:lastRenderedPageBreak/>
        <w:t>4.</w:t>
      </w:r>
      <w:r>
        <w:rPr>
          <w:rFonts w:ascii="Arial" w:eastAsia="Arial" w:hAnsi="Arial" w:cs="Arial"/>
        </w:rPr>
        <w:t xml:space="preserve"> </w:t>
      </w:r>
      <w:r>
        <w:t xml:space="preserve">Социально-экономическое положение Ростовской области за январьдекабрь 2014 года, Ростовстат, -: Ростов-на-Дону, 2015, - 194-198 с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0" w:line="267" w:lineRule="auto"/>
        <w:ind w:left="1745" w:right="860" w:firstLine="188"/>
        <w:jc w:val="right"/>
      </w:pPr>
      <w:r>
        <w:t xml:space="preserve">Карпачева Е.И.  </w:t>
      </w:r>
      <w:r>
        <w:rPr>
          <w:b w:val="0"/>
        </w:rPr>
        <w:t xml:space="preserve">Научный руководитель: Козак А.А., к.э.н., доц.  </w:t>
      </w:r>
    </w:p>
    <w:p w:rsidR="002C0F56" w:rsidRDefault="00E67C6E">
      <w:pPr>
        <w:spacing w:after="0" w:line="267" w:lineRule="auto"/>
        <w:ind w:left="1745" w:right="860" w:firstLine="188"/>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 xml:space="preserve">Михаила Туган-Барановского </w:t>
      </w:r>
    </w:p>
    <w:p w:rsidR="002C0F56" w:rsidRDefault="00E67C6E">
      <w:pPr>
        <w:spacing w:after="30" w:line="259" w:lineRule="auto"/>
        <w:ind w:left="744" w:firstLine="0"/>
        <w:jc w:val="left"/>
      </w:pPr>
      <w:r>
        <w:rPr>
          <w:b/>
        </w:rPr>
        <w:t xml:space="preserve"> </w:t>
      </w:r>
    </w:p>
    <w:p w:rsidR="002C0F56" w:rsidRDefault="00E67C6E">
      <w:pPr>
        <w:pStyle w:val="1"/>
        <w:ind w:right="688"/>
      </w:pPr>
      <w:r>
        <w:t xml:space="preserve">КРЕДИТНОЕ ДОНОРСТВО: ОСОБЕННОСТИ, ПРЕИМУЩЕСТВА, НЕДОСТАТКИ </w:t>
      </w:r>
    </w:p>
    <w:p w:rsidR="002C0F56" w:rsidRDefault="00E67C6E">
      <w:pPr>
        <w:spacing w:after="0" w:line="259" w:lineRule="auto"/>
        <w:ind w:left="744" w:firstLine="0"/>
        <w:jc w:val="left"/>
      </w:pPr>
      <w:r>
        <w:t xml:space="preserve"> </w:t>
      </w:r>
    </w:p>
    <w:p w:rsidR="002C0F56" w:rsidRDefault="00E67C6E">
      <w:pPr>
        <w:spacing w:after="0"/>
        <w:ind w:left="165" w:right="873"/>
      </w:pPr>
      <w:r>
        <w:t>Мы живём в условиях открытой экономики, но часто люди</w:t>
      </w:r>
      <w:r>
        <w:t>, ищущие и изучающие возможности получения кредита, сталкиваются с огромных количеством самых разнообразных кредитных предложений. На сегодняшний день существует огромное количество форм и видов кредитования, но не всегда человек может оформить кредит в ба</w:t>
      </w:r>
      <w:r>
        <w:t xml:space="preserve">нке по причине плохой кредитной истории. Поэтому поиск наиболее выгодного предложения для такого случая остается актуальным и сегодня. </w:t>
      </w:r>
    </w:p>
    <w:p w:rsidR="002C0F56" w:rsidRDefault="00E67C6E">
      <w:pPr>
        <w:ind w:left="165" w:right="302"/>
      </w:pPr>
      <w:r>
        <w:t xml:space="preserve">Исследованиями в этой области занимались Филина Ф., Верховод А., Багмут Т., Козий С., Толмачев А. </w:t>
      </w:r>
    </w:p>
    <w:p w:rsidR="002C0F56" w:rsidRDefault="00E67C6E">
      <w:pPr>
        <w:ind w:left="165" w:right="302"/>
      </w:pPr>
      <w:r>
        <w:t>Целью работы является</w:t>
      </w:r>
      <w:r>
        <w:t xml:space="preserve"> изучение альтернатив классического кредитования такого, как донорский кредит. </w:t>
      </w:r>
    </w:p>
    <w:p w:rsidR="002C0F56" w:rsidRDefault="00E67C6E">
      <w:pPr>
        <w:spacing w:after="0"/>
        <w:ind w:left="165" w:right="870"/>
      </w:pPr>
      <w:r>
        <w:t xml:space="preserve"> Донорский кредит – </w:t>
      </w:r>
      <w:r>
        <w:t xml:space="preserve">это тот же частный заем, но только намного дороже. Схемы получения кредитов набрали невиданные обороты, банки стали все чаще отказывать в одобрении заявок. Однако, это не снижает спрос на кредиты. Если посреднические услуги, например, брокерские, известны </w:t>
      </w:r>
      <w:r>
        <w:t>уже давно, то вот кредитное донорство появилось относительно недавно. Суть донорского кредитования состоит в том, что их предоставляют люди или компании, которые имеют в резерве определенную сумму оборотных средств, или же получают их при необходимости в о</w:t>
      </w:r>
      <w:r>
        <w:t xml:space="preserve">дном из партнерских банков. То есть, кредитный донор, это не посредник между банком и заемщиком, а звено, которое, по сути, просто является «перекупщиком».[1] </w:t>
      </w:r>
    </w:p>
    <w:p w:rsidR="002C0F56" w:rsidRDefault="00E67C6E">
      <w:pPr>
        <w:spacing w:after="5"/>
        <w:ind w:left="165" w:right="872"/>
      </w:pPr>
      <w:r>
        <w:t>Доноры дают возможность получить займ клиентам с плохой кредитной историей, судимым, с низким оф</w:t>
      </w:r>
      <w:r>
        <w:t xml:space="preserve">ициальным доходом и проч. Делают они это, конечно же, не безвозмездно. За такое удобство клиент переплачивает большую сумму, раза в 2-3 превышающую полученный кредит. Даже несмотря на это, </w:t>
      </w:r>
      <w:r>
        <w:lastRenderedPageBreak/>
        <w:t>услуги кредитных доноров востребованы на рынке, хотя и являются нез</w:t>
      </w:r>
      <w:r>
        <w:t xml:space="preserve">аконными. </w:t>
      </w:r>
    </w:p>
    <w:p w:rsidR="002C0F56" w:rsidRDefault="00E67C6E">
      <w:pPr>
        <w:ind w:left="165" w:right="302"/>
      </w:pPr>
      <w:r>
        <w:t xml:space="preserve">Существует два варианта заключения сделки с кредитным донором: его можно найти самостоятельно или обратиться в специализированную </w:t>
      </w:r>
    </w:p>
    <w:p w:rsidR="002C0F56" w:rsidRDefault="00E67C6E">
      <w:pPr>
        <w:spacing w:after="12"/>
        <w:ind w:left="165" w:right="302" w:firstLine="0"/>
      </w:pPr>
      <w:r>
        <w:t xml:space="preserve">организацию.[2]  </w:t>
      </w:r>
    </w:p>
    <w:p w:rsidR="002C0F56" w:rsidRDefault="00E67C6E">
      <w:pPr>
        <w:spacing w:after="7"/>
        <w:ind w:left="165" w:right="871"/>
      </w:pPr>
      <w:r>
        <w:t>Конечно же, в разных организациях, существует своя система распределения прибыли и работы с заемщиками, поэтому однозначно невозможно как-то их обобщить. Но, все же принцип действия одинаковы. Для получения займа или кредита, клиент оформляет заявку, с сум</w:t>
      </w:r>
      <w:r>
        <w:t xml:space="preserve">мой, которую он хочет получить. Далее, начинают работать доноры: они получают необходимую сумму денег в одном из банков партнеров. При этом, срок донорского кредита для заемщика будет меньшим, чем тот срок, на который доноры одолжили деньги в банке. </w:t>
      </w:r>
    </w:p>
    <w:p w:rsidR="002C0F56" w:rsidRDefault="00E67C6E">
      <w:pPr>
        <w:spacing w:after="0"/>
        <w:ind w:left="165" w:right="870"/>
      </w:pPr>
      <w:r>
        <w:t>Орган</w:t>
      </w:r>
      <w:r>
        <w:t>изации кредитного донорства полностью защищены действующим законодательством, причем во многих странах мира. Под деятельность организации идеально подведена юридическая база, и люди, зарабатывающие на кредитном донорстве, целиком и полностью обеспечивают с</w:t>
      </w:r>
      <w:r>
        <w:t xml:space="preserve">ебе вполне законную финансовую безопасность. Все договора оформляются у нотариусов, и предусматривают все возможные варианты развития дальнейших событий и отношений с заемщиками. </w:t>
      </w:r>
    </w:p>
    <w:p w:rsidR="002C0F56" w:rsidRDefault="00E67C6E">
      <w:pPr>
        <w:spacing w:after="3"/>
        <w:ind w:left="165" w:right="874"/>
      </w:pPr>
      <w:r>
        <w:t>Вариант с самостоятельным поиском хорош тем, что человеку не придется оплачи</w:t>
      </w:r>
      <w:r>
        <w:t xml:space="preserve">вать услуги посредника, а значит, он сэкономит средства. Вот только такой способ подходит не каждому, потому как поиски кредитного донора могут занять много времени, которого у человека может и не быть.[2] </w:t>
      </w:r>
    </w:p>
    <w:p w:rsidR="002C0F56" w:rsidRDefault="00E67C6E">
      <w:pPr>
        <w:spacing w:after="4"/>
        <w:ind w:left="165" w:right="867"/>
      </w:pPr>
      <w:r>
        <w:t>У рассматриваемой формы кредитования есть свои пр</w:t>
      </w:r>
      <w:r>
        <w:t xml:space="preserve">еимущества и недостатки. Воспользовавшись услугами такого подставного лица, человек может скрыть наличие у него кредитных обязательств. Такой вариант получения заемных средств подходит в случае, если человек не желает, чтобы про кредит узнал работодатель, </w:t>
      </w:r>
      <w:r>
        <w:t>друзья или родственники. С помощью кредитного донора кредит можно оформить в любом возрасте, а не только в 2565 лет, как это обычно бывает в банках. Для лиц от 18 и пенсионеров старше 65 лет, такой вариант кредитования оказывается очень выгодным и удобным.</w:t>
      </w:r>
      <w:r>
        <w:t xml:space="preserve">         Подобным образом получить заемные средства сможет человек с небольшими доходами или вовсе без заработной платы, а так же с плохой историей заемщика. В таком случае банк не будет проверять его платежеспособность и историю, так как даже не будет зна</w:t>
      </w:r>
      <w:r>
        <w:t xml:space="preserve">ть, что кредитные средства переданы подставным лицом иному человеку, и именно этот человек будет расплачиваться с кредитными долгами.[3] </w:t>
      </w:r>
    </w:p>
    <w:p w:rsidR="002C0F56" w:rsidRDefault="00E67C6E">
      <w:pPr>
        <w:spacing w:after="5"/>
        <w:ind w:left="165" w:right="869"/>
      </w:pPr>
      <w:r>
        <w:t>Необходимо отметить и недостатки такие, как факт переплаты по донорскому займу, и в отличии от банковского она будет з</w:t>
      </w:r>
      <w:r>
        <w:t xml:space="preserve">начительно больше. </w:t>
      </w:r>
      <w:r>
        <w:lastRenderedPageBreak/>
        <w:t>Так, заемщику требуется получить 15 тысяч долларов на период 12 месяцев. В таком случае, кроме одноразовой выплаты вознаграждения донору в размере около 30%, еще необходимо погашать проценты за пользование кредитом, и не забывать ежемеся</w:t>
      </w:r>
      <w:r>
        <w:t xml:space="preserve">чно в установленные сроки вносить обязательный платеж. </w:t>
      </w:r>
    </w:p>
    <w:p w:rsidR="002C0F56" w:rsidRDefault="00E67C6E">
      <w:pPr>
        <w:spacing w:after="10"/>
        <w:ind w:left="165" w:right="866"/>
      </w:pPr>
      <w:r>
        <w:t>Среди российских заемщиков такой способ получения кредита пока еще не пользуется популярностью. Единственный источник поиска кредитных доноров — это интернет. В сети есть масса объявлений, где предлаг</w:t>
      </w:r>
      <w:r>
        <w:t xml:space="preserve">ают подобные услуги по всей России. Однако, 99% из этих объявлений подаются мошенниками.  </w:t>
      </w:r>
    </w:p>
    <w:p w:rsidR="002C0F56" w:rsidRDefault="00E67C6E">
      <w:pPr>
        <w:spacing w:after="0"/>
        <w:ind w:left="165" w:right="872"/>
      </w:pPr>
      <w:r>
        <w:t>Несмотря на все вышеперечисленное  кредитное донорство в России под запретом. Более того, такое деяние расценивается как мошенничество и преследуется по закону в соо</w:t>
      </w:r>
      <w:r>
        <w:t xml:space="preserve">тветствии со ст.159 УК РФ. При этом пострадают в случае раскрытия все стороны сделки (заказчик, донор, организация по подбору и т.д.). </w:t>
      </w:r>
    </w:p>
    <w:p w:rsidR="002C0F56" w:rsidRDefault="00E67C6E">
      <w:pPr>
        <w:spacing w:after="0"/>
        <w:ind w:left="165" w:right="870"/>
      </w:pPr>
      <w:r>
        <w:t>Термин «кредитное донорство» для многих людей еще в новинку, несмотря на то, что в современном мире эта услуга широко ра</w:t>
      </w:r>
      <w:r>
        <w:t xml:space="preserve">спространена. Донорство является переуступкой кредита, причем незащищенной стороной выступает как раз сам заемщик. По этой причине перспективы развития кредитного донорства весьма туманны. </w:t>
      </w:r>
    </w:p>
    <w:p w:rsidR="002C0F56" w:rsidRDefault="00E67C6E">
      <w:pPr>
        <w:spacing w:after="27"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744" w:right="302" w:firstLine="0"/>
      </w:pPr>
      <w:r>
        <w:t xml:space="preserve">1. Олег Иванович Лаврушин «Деньги. Кредит. Банки» - Под редакцией </w:t>
      </w:r>
    </w:p>
    <w:p w:rsidR="002C0F56" w:rsidRDefault="00E67C6E">
      <w:pPr>
        <w:ind w:left="165" w:right="302" w:firstLine="0"/>
      </w:pPr>
      <w:r>
        <w:t xml:space="preserve">О.И. Лаврушина.- Издание второе, переработанное и дополненное/ МОСКВА, </w:t>
      </w:r>
    </w:p>
    <w:p w:rsidR="002C0F56" w:rsidRDefault="00E67C6E">
      <w:pPr>
        <w:spacing w:after="15"/>
        <w:ind w:left="165" w:right="302" w:firstLine="0"/>
      </w:pPr>
      <w:r>
        <w:t xml:space="preserve">«ФИНАНСЫ И СТАТИСТИКА» 2002. </w:t>
      </w:r>
    </w:p>
    <w:p w:rsidR="002C0F56" w:rsidRDefault="00E67C6E">
      <w:pPr>
        <w:ind w:left="165" w:right="302"/>
      </w:pPr>
      <w:r>
        <w:t>2.[Электронный ресурс]- Режим доступа - http://votbankrot.ru/lichnyefinansy/upravlenie-</w:t>
      </w:r>
      <w:r>
        <w:t xml:space="preserve">kreditami/donorskij-bez-pereplaty.html </w:t>
      </w:r>
    </w:p>
    <w:p w:rsidR="002C0F56" w:rsidRDefault="00E67C6E">
      <w:pPr>
        <w:tabs>
          <w:tab w:val="center" w:pos="850"/>
          <w:tab w:val="center" w:pos="2287"/>
          <w:tab w:val="center" w:pos="4109"/>
          <w:tab w:val="center" w:pos="5473"/>
          <w:tab w:val="center" w:pos="6817"/>
          <w:tab w:val="center" w:pos="7810"/>
          <w:tab w:val="center" w:pos="9075"/>
        </w:tabs>
        <w:spacing w:after="12"/>
        <w:ind w:left="0" w:firstLine="0"/>
        <w:jc w:val="left"/>
      </w:pPr>
      <w:r>
        <w:rPr>
          <w:rFonts w:ascii="Calibri" w:eastAsia="Calibri" w:hAnsi="Calibri" w:cs="Calibri"/>
          <w:sz w:val="22"/>
        </w:rPr>
        <w:tab/>
      </w:r>
      <w:r>
        <w:t xml:space="preserve">3. </w:t>
      </w:r>
      <w:r>
        <w:tab/>
        <w:t xml:space="preserve">[Электронный </w:t>
      </w:r>
      <w:r>
        <w:tab/>
        <w:t xml:space="preserve">ресурс]- </w:t>
      </w:r>
      <w:r>
        <w:tab/>
        <w:t xml:space="preserve">Режим </w:t>
      </w:r>
      <w:r>
        <w:tab/>
        <w:t xml:space="preserve">доступа </w:t>
      </w:r>
      <w:r>
        <w:tab/>
        <w:t xml:space="preserve">- </w:t>
      </w:r>
      <w:r>
        <w:tab/>
        <w:t>https://sosed-</w:t>
      </w:r>
    </w:p>
    <w:p w:rsidR="002C0F56" w:rsidRDefault="00E67C6E">
      <w:pPr>
        <w:spacing w:after="12"/>
        <w:ind w:left="165" w:right="302" w:firstLine="0"/>
      </w:pPr>
      <w:r>
        <w:t xml:space="preserve">domosed.ru/donorskij-kredit/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Карпов А.Ю. </w:t>
      </w:r>
      <w:r>
        <w:rPr>
          <w:b w:val="0"/>
        </w:rPr>
        <w:t xml:space="preserve">Научный руководитель: Лосева О.В. </w:t>
      </w:r>
    </w:p>
    <w:p w:rsidR="002C0F56" w:rsidRDefault="00E67C6E">
      <w:pPr>
        <w:spacing w:after="0" w:line="267" w:lineRule="auto"/>
        <w:ind w:left="905" w:right="860" w:hanging="10"/>
        <w:jc w:val="right"/>
      </w:pPr>
      <w:r>
        <w:rPr>
          <w:i/>
        </w:rPr>
        <w:t xml:space="preserve">Липецкий государственный технический университет </w:t>
      </w:r>
    </w:p>
    <w:p w:rsidR="002C0F56" w:rsidRDefault="00E67C6E">
      <w:pPr>
        <w:spacing w:after="32" w:line="259" w:lineRule="auto"/>
        <w:ind w:left="744" w:firstLine="0"/>
        <w:jc w:val="left"/>
      </w:pPr>
      <w:r>
        <w:t xml:space="preserve"> </w:t>
      </w:r>
    </w:p>
    <w:p w:rsidR="002C0F56" w:rsidRDefault="00E67C6E">
      <w:pPr>
        <w:pStyle w:val="1"/>
        <w:spacing w:after="15" w:line="271" w:lineRule="auto"/>
        <w:ind w:left="507" w:right="0"/>
        <w:jc w:val="left"/>
      </w:pPr>
      <w:r>
        <w:t xml:space="preserve">РИСК МЕНЕДЖМЕНТ В УСЛОВИЯХ САНКЦИОННОГО РЕЖИМА   </w:t>
      </w:r>
    </w:p>
    <w:p w:rsidR="002C0F56" w:rsidRDefault="00E67C6E">
      <w:pPr>
        <w:spacing w:after="0"/>
        <w:ind w:left="165" w:right="302"/>
      </w:pPr>
      <w:r>
        <w:t>На сегодняшний день российская экономика находится в нестабильном положении, что, прежде всего, связано с санкциями со стороны США и Западной Европы, введенные в марте 2014 года. Подобные меры воздействия з</w:t>
      </w:r>
      <w:r>
        <w:t xml:space="preserve">атрагивают все сферы жизни общества, но особое влияние они оказывают на управление российских предприятий  </w:t>
      </w:r>
    </w:p>
    <w:p w:rsidR="002C0F56" w:rsidRDefault="00E67C6E">
      <w:pPr>
        <w:spacing w:after="0"/>
        <w:ind w:left="165" w:right="869"/>
      </w:pPr>
      <w:r>
        <w:lastRenderedPageBreak/>
        <w:t>В текущем экономическом положении особую важность приобретает проблема грамотного использования ресурсов в производстве на предприятиях. Задача усло</w:t>
      </w:r>
      <w:r>
        <w:t xml:space="preserve">жняется нестабильностью российского рынка ресурсов, который во многом зависит от зарубежного импорта. Наблюдается заметное снижение объема импорта в связи с введением ответных санкций со стороны России. Это привело к повышению цен на импортное сырье, что, </w:t>
      </w:r>
      <w:r>
        <w:t xml:space="preserve">в свою очередь, влечет за собой повышение затрат на производство, в связи с чем предприниматели вынуждены искать более дешевые аналоги. </w:t>
      </w:r>
    </w:p>
    <w:p w:rsidR="002C0F56" w:rsidRDefault="00E67C6E">
      <w:pPr>
        <w:spacing w:after="0"/>
        <w:ind w:left="165" w:right="865"/>
      </w:pPr>
      <w:r>
        <w:t>Еще одна проблема заключается в том, что многие российские компании сотрудничают с зарубежными партнерами и имеют совме</w:t>
      </w:r>
      <w:r>
        <w:t>стные проекты. Однако в сложившимся санкционном режиме многие из них отказываются выполнять свои договорные обязательства:   так, американская нефтяная компания Exxon разорвала сотрудничество с "Роснефтью" и отказалась принять участие в проекте по добыче н</w:t>
      </w:r>
      <w:r>
        <w:t xml:space="preserve">ефти в Красном море. В результате этого "Роснефть" понесла огромные убытки, так как технологическое оснащение России не позволяет разрабатывать новые месторождения.  </w:t>
      </w:r>
    </w:p>
    <w:p w:rsidR="002C0F56" w:rsidRDefault="00E67C6E">
      <w:pPr>
        <w:spacing w:after="10"/>
        <w:ind w:left="165" w:right="868"/>
      </w:pPr>
      <w:r>
        <w:t>Наряду со сложностями, возникающими при сотрудничестве с зарубежными компаниями, иностран</w:t>
      </w:r>
      <w:r>
        <w:t xml:space="preserve">ные инвесторы отказываются спонсировать проекты российских предприятий из-за возможных финансовых потерь. В результате российские фирмы лишаются потенциальных финансовых вливаний, которые помогли бы вывести производство на новый технологический уровень, а </w:t>
      </w:r>
      <w:r>
        <w:t xml:space="preserve">также в целом положительно сказались бы и на экономическом росте России. </w:t>
      </w:r>
    </w:p>
    <w:p w:rsidR="002C0F56" w:rsidRDefault="00E67C6E">
      <w:pPr>
        <w:spacing w:after="7"/>
        <w:ind w:left="165" w:right="866"/>
      </w:pPr>
      <w:r>
        <w:t>Для смягчения негативного влияния санкций на экономику предприятия используют методы риск менеджмента. Их применяют при управленческом процессе на любом предприятии, а риск-инструмен</w:t>
      </w:r>
      <w:r>
        <w:t>тарий зависит от отрасли организации, территории расположения,  от законодательства той или иной страны и многих других факторов. Таким образом, риск менеджемент — это процесс принятия и выполнения управленческих решений, направленных на снижение вероятнос</w:t>
      </w:r>
      <w:r>
        <w:t xml:space="preserve">ти возникновения неблагоприятного результата и минимизацию возможных потерь, вызванных его реализацией. [1] </w:t>
      </w:r>
    </w:p>
    <w:p w:rsidR="002C0F56" w:rsidRDefault="00E67C6E">
      <w:pPr>
        <w:ind w:left="165" w:right="873"/>
      </w:pPr>
      <w:r>
        <w:t>Основной целью данного раздела менеджмента является повышение конкурентноспособности предприятий на рынке с минимизацией рисков, а также выбор наиб</w:t>
      </w:r>
      <w:r>
        <w:t xml:space="preserve">олее эффективного пути развития.  </w:t>
      </w:r>
    </w:p>
    <w:p w:rsidR="002C0F56" w:rsidRDefault="00E67C6E">
      <w:pPr>
        <w:ind w:left="744" w:right="302" w:firstLine="0"/>
      </w:pPr>
      <w:r>
        <w:t xml:space="preserve">В связи с этим выделяют следующие методы риск менеджмента:  </w:t>
      </w:r>
    </w:p>
    <w:p w:rsidR="002C0F56" w:rsidRDefault="00E67C6E">
      <w:pPr>
        <w:numPr>
          <w:ilvl w:val="0"/>
          <w:numId w:val="106"/>
        </w:numPr>
        <w:ind w:right="872"/>
      </w:pPr>
      <w:r>
        <w:t xml:space="preserve">Метод минимизации потерь. Позволяет уменьшить величину ущерба, принесенного в результате внезапного или неизбежного наступления риска.  </w:t>
      </w:r>
    </w:p>
    <w:p w:rsidR="002C0F56" w:rsidRDefault="00E67C6E">
      <w:pPr>
        <w:numPr>
          <w:ilvl w:val="0"/>
          <w:numId w:val="106"/>
        </w:numPr>
        <w:spacing w:after="15"/>
        <w:ind w:right="872"/>
      </w:pPr>
      <w:r>
        <w:t xml:space="preserve">Метод учреждения. Позволяет эффективно минимизировать возможные риски посредством профилактических мер. Наиболее эффективным методом этой группы является стратегическое планирование. Суть </w:t>
      </w:r>
      <w:r>
        <w:lastRenderedPageBreak/>
        <w:t>стратегического планирования состоит в том, чтобы предотвратить боль</w:t>
      </w:r>
      <w:r>
        <w:t xml:space="preserve">шую часть потенциального риска, а также предугадать последствия при его возникновении.  </w:t>
      </w:r>
    </w:p>
    <w:p w:rsidR="002C0F56" w:rsidRDefault="00E67C6E">
      <w:pPr>
        <w:numPr>
          <w:ilvl w:val="0"/>
          <w:numId w:val="106"/>
        </w:numPr>
        <w:ind w:right="872"/>
      </w:pPr>
      <w:r>
        <w:t>Метод уклонения от риска. Заключается в отказе установления сотрудничества с потенциальными партнерами. Руководители предприятий предпочитают не заключать сомнительные</w:t>
      </w:r>
      <w:r>
        <w:t xml:space="preserve"> договоры и рискованные сделки и в общем не расширять круг партнеров, что сказывается на объеме и качестве поставок производства.  </w:t>
      </w:r>
    </w:p>
    <w:p w:rsidR="002C0F56" w:rsidRDefault="00E67C6E">
      <w:pPr>
        <w:numPr>
          <w:ilvl w:val="0"/>
          <w:numId w:val="106"/>
        </w:numPr>
        <w:ind w:right="872"/>
      </w:pPr>
      <w:r>
        <w:t>Метод локализации. Состоит в идентификации источника риска с помощью выявления наиболее опасного участка или этапа производс</w:t>
      </w:r>
      <w:r>
        <w:t xml:space="preserve">тва и его предотвращения превентивными мерами. Данный метод часто применяется в крупных компаниях при внедрении новых видов продукции.  </w:t>
      </w:r>
    </w:p>
    <w:p w:rsidR="002C0F56" w:rsidRDefault="00E67C6E">
      <w:pPr>
        <w:numPr>
          <w:ilvl w:val="0"/>
          <w:numId w:val="106"/>
        </w:numPr>
        <w:spacing w:after="2"/>
        <w:ind w:right="872"/>
      </w:pPr>
      <w:r>
        <w:t>Метод диссипации риска. Представляет собой распределение общего риска между всеми участниками, заинтересованными в успе</w:t>
      </w:r>
      <w:r>
        <w:t xml:space="preserve">хе общего дела. Исходя из этого метода, организации создают ассоциации, концерны, а также могут покупать друг у друга акции [2]. </w:t>
      </w:r>
    </w:p>
    <w:p w:rsidR="002C0F56" w:rsidRDefault="00E67C6E">
      <w:pPr>
        <w:ind w:left="165" w:right="874"/>
      </w:pPr>
      <w:r>
        <w:t>Данные методы особенны по своему составу и их применение зависит прежде всего от определенного вида риска. В связи с этим выде</w:t>
      </w:r>
      <w:r>
        <w:t xml:space="preserve">ляют следующие виды рисков:  </w:t>
      </w:r>
    </w:p>
    <w:p w:rsidR="002C0F56" w:rsidRDefault="00E67C6E">
      <w:pPr>
        <w:numPr>
          <w:ilvl w:val="0"/>
          <w:numId w:val="107"/>
        </w:numPr>
        <w:ind w:right="873"/>
      </w:pPr>
      <w:r>
        <w:t>Политический риск. Связан, прежде всего, с изменениями в курсе правительства и изменениями в приоритетных направлениях его деятельности. Данный вид риска оказывает огромное влияние на деятельность предприятия и является фундам</w:t>
      </w:r>
      <w:r>
        <w:t xml:space="preserve">ентом для развития других рисков.  </w:t>
      </w:r>
    </w:p>
    <w:p w:rsidR="002C0F56" w:rsidRDefault="00E67C6E">
      <w:pPr>
        <w:numPr>
          <w:ilvl w:val="0"/>
          <w:numId w:val="107"/>
        </w:numPr>
        <w:ind w:right="873"/>
      </w:pPr>
      <w:r>
        <w:t xml:space="preserve">Технический риск. Данный вид определяется степенью организации производства, проведением регулярной профилактики оборудования, а также своевременной заменой устаревшего на более технологичное.  </w:t>
      </w:r>
    </w:p>
    <w:p w:rsidR="002C0F56" w:rsidRDefault="00E67C6E">
      <w:pPr>
        <w:numPr>
          <w:ilvl w:val="0"/>
          <w:numId w:val="107"/>
        </w:numPr>
        <w:ind w:right="873"/>
      </w:pPr>
      <w:r>
        <w:t>Производственный риск. Да</w:t>
      </w:r>
      <w:r>
        <w:t xml:space="preserve">нный риск характеризуется неграмотным использованием сырья, введением новых методов производства, ростом себестоимости, неправильным планированием рабочего времени и т.д.  </w:t>
      </w:r>
    </w:p>
    <w:p w:rsidR="002C0F56" w:rsidRDefault="00E67C6E">
      <w:pPr>
        <w:numPr>
          <w:ilvl w:val="0"/>
          <w:numId w:val="107"/>
        </w:numPr>
        <w:ind w:right="873"/>
      </w:pPr>
      <w:r>
        <w:t>Финансовый риск. Под финансовым понимается риск, возникающий при осуществлении пред</w:t>
      </w:r>
      <w:r>
        <w:t xml:space="preserve">принимательской деятельности или заключении сделок, исходя из того, что в финансовом предпринимательстве в роли товара выступают либо валюта, либо ценные бумаги.  </w:t>
      </w:r>
    </w:p>
    <w:p w:rsidR="002C0F56" w:rsidRDefault="00E67C6E">
      <w:pPr>
        <w:numPr>
          <w:ilvl w:val="0"/>
          <w:numId w:val="107"/>
        </w:numPr>
        <w:ind w:right="873"/>
      </w:pPr>
      <w:r>
        <w:t>Отраслевой риск. Этот риск характеризуется степенью изменения экономического состояния отрас</w:t>
      </w:r>
      <w:r>
        <w:t xml:space="preserve">ли.  </w:t>
      </w:r>
    </w:p>
    <w:p w:rsidR="002C0F56" w:rsidRDefault="00E67C6E">
      <w:pPr>
        <w:numPr>
          <w:ilvl w:val="0"/>
          <w:numId w:val="107"/>
        </w:numPr>
        <w:ind w:right="873"/>
      </w:pPr>
      <w:r>
        <w:t xml:space="preserve">Инновационный риск. Возникает в результате вложения средств в производство новых товаров и услуг [2]. </w:t>
      </w:r>
    </w:p>
    <w:p w:rsidR="002C0F56" w:rsidRDefault="00E67C6E">
      <w:pPr>
        <w:ind w:left="165" w:right="302"/>
      </w:pPr>
      <w:r>
        <w:lastRenderedPageBreak/>
        <w:t xml:space="preserve">На предприятии в случае возникновения рисков следует придерживаться следующих ключевых этапов решения сложившегося кризиса:  </w:t>
      </w:r>
    </w:p>
    <w:p w:rsidR="002C0F56" w:rsidRDefault="00E67C6E">
      <w:pPr>
        <w:numPr>
          <w:ilvl w:val="0"/>
          <w:numId w:val="108"/>
        </w:numPr>
        <w:ind w:right="302"/>
      </w:pPr>
      <w:r>
        <w:t>Необходимо выявить ри</w:t>
      </w:r>
      <w:r>
        <w:t xml:space="preserve">ск, а также оценить его масштабы и последствия.  </w:t>
      </w:r>
    </w:p>
    <w:p w:rsidR="002C0F56" w:rsidRDefault="00E67C6E">
      <w:pPr>
        <w:numPr>
          <w:ilvl w:val="0"/>
          <w:numId w:val="108"/>
        </w:numPr>
        <w:ind w:right="302"/>
      </w:pPr>
      <w:r>
        <w:t xml:space="preserve">Разработать риск-стратегию со снижением вероятности возникновения риска, а также минимизацией его последствий.  </w:t>
      </w:r>
    </w:p>
    <w:p w:rsidR="002C0F56" w:rsidRDefault="00E67C6E">
      <w:pPr>
        <w:numPr>
          <w:ilvl w:val="0"/>
          <w:numId w:val="108"/>
        </w:numPr>
        <w:ind w:right="302"/>
      </w:pPr>
      <w:r>
        <w:t xml:space="preserve">Выбрать методы влияния на возникший риск.  </w:t>
      </w:r>
    </w:p>
    <w:p w:rsidR="002C0F56" w:rsidRDefault="00E67C6E">
      <w:pPr>
        <w:numPr>
          <w:ilvl w:val="0"/>
          <w:numId w:val="108"/>
        </w:numPr>
        <w:ind w:right="302"/>
      </w:pPr>
      <w:r>
        <w:t xml:space="preserve">Непосредственно управлять риском.  </w:t>
      </w:r>
    </w:p>
    <w:p w:rsidR="002C0F56" w:rsidRDefault="00E67C6E">
      <w:pPr>
        <w:numPr>
          <w:ilvl w:val="0"/>
          <w:numId w:val="108"/>
        </w:numPr>
        <w:ind w:right="302"/>
      </w:pPr>
      <w:r>
        <w:t xml:space="preserve">Оценить достигнутые результаты, а также при вытекающих проблемах скорректировать стратегию влияния на риск. </w:t>
      </w:r>
    </w:p>
    <w:p w:rsidR="002C0F56" w:rsidRDefault="00E67C6E">
      <w:pPr>
        <w:spacing w:after="2"/>
        <w:ind w:left="165" w:right="867"/>
      </w:pPr>
      <w:r>
        <w:t>Подводя итог, хотелось бы сказать, что санкции - это тоже риски, которые возникают стихийно и непредсказуемо. В свою очередь они включают все вышеп</w:t>
      </w:r>
      <w:r>
        <w:t>еречислинные виды рисков, поэтому особое внимание следует уделить качественному управлению на предприятии. Ведь именно от эффективного использования методов предотвращения возникшего кризиса можно не только сократить убытки организации, но также вывести ее</w:t>
      </w:r>
      <w:r>
        <w:t xml:space="preserve"> на новый уровень экономического роста. </w:t>
      </w:r>
    </w:p>
    <w:p w:rsidR="002C0F56" w:rsidRDefault="00E67C6E">
      <w:pPr>
        <w:spacing w:after="25"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165" w:right="302"/>
      </w:pPr>
      <w:r>
        <w:t xml:space="preserve">1.Определение риск менеджмента // http://dic.academic.ru/dic.nsf/ruwiki/443222 (дата обращения: 23.04.2017). </w:t>
      </w:r>
    </w:p>
    <w:p w:rsidR="002C0F56" w:rsidRDefault="00E67C6E">
      <w:pPr>
        <w:ind w:left="165" w:right="302"/>
      </w:pPr>
      <w:r>
        <w:t>2. Риск менеджмент // http://center-yf.ru/data/Menedzheru/Risk</w:t>
      </w:r>
      <w:r>
        <w:t xml:space="preserve">menedzhment.php (дата обращения: 23.04.2017).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spacing w:after="25" w:line="259" w:lineRule="auto"/>
        <w:ind w:left="10" w:right="856" w:hanging="10"/>
        <w:jc w:val="right"/>
      </w:pPr>
      <w:r>
        <w:rPr>
          <w:b/>
        </w:rPr>
        <w:t xml:space="preserve">Карпук Н.В. </w:t>
      </w:r>
    </w:p>
    <w:p w:rsidR="002C0F56" w:rsidRDefault="00E67C6E">
      <w:pPr>
        <w:spacing w:after="11" w:line="270" w:lineRule="auto"/>
        <w:ind w:left="10" w:right="862" w:hanging="10"/>
        <w:jc w:val="right"/>
      </w:pPr>
      <w:r>
        <w:t xml:space="preserve">Научный руководитель: Добрыдень Н.В. </w:t>
      </w:r>
    </w:p>
    <w:p w:rsidR="002C0F56" w:rsidRDefault="00E67C6E">
      <w:pPr>
        <w:spacing w:after="0" w:line="267" w:lineRule="auto"/>
        <w:ind w:left="905" w:right="860" w:hanging="10"/>
        <w:jc w:val="right"/>
      </w:pPr>
      <w:r>
        <w:rPr>
          <w:i/>
        </w:rPr>
        <w:t xml:space="preserve">Полесский государственный университет </w:t>
      </w:r>
    </w:p>
    <w:p w:rsidR="002C0F56" w:rsidRDefault="00E67C6E">
      <w:pPr>
        <w:spacing w:after="0" w:line="259" w:lineRule="auto"/>
        <w:ind w:left="744" w:firstLine="0"/>
        <w:jc w:val="left"/>
      </w:pPr>
      <w:r>
        <w:t xml:space="preserve"> </w:t>
      </w:r>
    </w:p>
    <w:p w:rsidR="002C0F56" w:rsidRDefault="00E67C6E">
      <w:pPr>
        <w:pStyle w:val="1"/>
        <w:spacing w:after="15" w:line="271" w:lineRule="auto"/>
        <w:ind w:left="334" w:right="0"/>
        <w:jc w:val="left"/>
      </w:pPr>
      <w:r>
        <w:t xml:space="preserve">РЫНОК ТРУДА: СТАНОВЛЕНИЕ И ФОРМИРОВАНИЕ В УСЛОВИЯХ </w:t>
      </w:r>
    </w:p>
    <w:p w:rsidR="002C0F56" w:rsidRDefault="00E67C6E">
      <w:pPr>
        <w:pStyle w:val="1"/>
        <w:ind w:left="700" w:right="1376"/>
      </w:pPr>
      <w:r>
        <w:t xml:space="preserve">ТРАНСФОРМАЦИОННОЙ ЭКОНОМИКИ </w:t>
      </w:r>
    </w:p>
    <w:p w:rsidR="002C0F56" w:rsidRDefault="00E67C6E">
      <w:pPr>
        <w:spacing w:after="0" w:line="259" w:lineRule="auto"/>
        <w:ind w:left="744" w:firstLine="0"/>
        <w:jc w:val="left"/>
      </w:pPr>
      <w:r>
        <w:t xml:space="preserve"> </w:t>
      </w:r>
    </w:p>
    <w:p w:rsidR="002C0F56" w:rsidRDefault="00E67C6E">
      <w:pPr>
        <w:ind w:left="165" w:right="866"/>
      </w:pPr>
      <w:r>
        <w:t xml:space="preserve">Рынок труда является основной частью современной экономики. Рынок труда можно характеризовать как систему организаций, институтов и учреждений государственного сектора, общественных объединений (профсоюзов и др.), решающих проблемы воспроизводства рабочей </w:t>
      </w:r>
      <w:r>
        <w:t xml:space="preserve">силы, использования труда. </w:t>
      </w:r>
    </w:p>
    <w:p w:rsidR="002C0F56" w:rsidRDefault="00E67C6E">
      <w:pPr>
        <w:spacing w:after="1"/>
        <w:ind w:left="165" w:right="872"/>
      </w:pPr>
      <w:r>
        <w:lastRenderedPageBreak/>
        <w:t xml:space="preserve">Рынок труда – это экономическая среда, в которой в результате конкуренции между экономическими агентами через механизм спроса и предложения устанавливается определенный объем занятости и уровень оплаты труда.  </w:t>
      </w:r>
    </w:p>
    <w:p w:rsidR="002C0F56" w:rsidRDefault="00E67C6E">
      <w:pPr>
        <w:ind w:left="165" w:right="302"/>
      </w:pPr>
      <w:r>
        <w:t>Проблемы формиров</w:t>
      </w:r>
      <w:r>
        <w:t xml:space="preserve">ания рынка труда и  развития его институтов являются очень актуальной темой на сегодняшний день.  </w:t>
      </w:r>
    </w:p>
    <w:p w:rsidR="002C0F56" w:rsidRDefault="00E67C6E">
      <w:pPr>
        <w:ind w:left="165" w:right="867"/>
      </w:pPr>
      <w:r>
        <w:t>В условиях переходной экономики становление рынка труда является сложной задачей, поскольку от того, как функционирует этот рынок, зависит эффективность испо</w:t>
      </w:r>
      <w:r>
        <w:t xml:space="preserve">льзования главного ресурса общества – рабочей силы, устойчивость социальных структур, процессов и отношений. </w:t>
      </w:r>
    </w:p>
    <w:p w:rsidR="002C0F56" w:rsidRDefault="00E67C6E">
      <w:pPr>
        <w:ind w:left="165" w:right="302"/>
      </w:pPr>
      <w:r>
        <w:t xml:space="preserve">Для начала рассмотрим экономически активное население нашей страны, которое состоит из занятых и безработных граждан Республики Беларусь. </w:t>
      </w:r>
    </w:p>
    <w:p w:rsidR="002C0F56" w:rsidRDefault="00E67C6E">
      <w:pPr>
        <w:spacing w:after="10"/>
        <w:ind w:left="165" w:right="874" w:firstLine="0"/>
      </w:pPr>
      <w:r>
        <w:t>Экономи</w:t>
      </w:r>
      <w:r>
        <w:t xml:space="preserve">чески активное население -  население страны, которое имеет или хочет и потенциально может иметь самостоятельный источник средств существования. </w:t>
      </w:r>
    </w:p>
    <w:p w:rsidR="002C0F56" w:rsidRDefault="00E67C6E">
      <w:pPr>
        <w:spacing w:after="0"/>
        <w:ind w:left="165" w:right="863"/>
      </w:pPr>
      <w:r>
        <w:t>Проанализируем численность экономически активного населения за последние 3 года. Данный показатель в 2013 году</w:t>
      </w:r>
      <w:r>
        <w:t xml:space="preserve"> составил 4 601,8 тыс. человек, в 2014 году численность снизилась на 0,6% и составила 4 572,8 тыс. человек, а в 2015 году можно увидеть уменьшение показателя на 0,8%, который равен 4 537,3 тыс. человек. Проанализировав данные цифры, можно отметить, что наб</w:t>
      </w:r>
      <w:r>
        <w:t>людается снижение экономически активного населения за счет того, что в Республике Беларусь высокая смертность и низкая рождаемость. Такое сочетание рождаемости и смертности в отсутствие войн и других катаклизм, означает увеличение числа пожилых в общей мас</w:t>
      </w:r>
      <w:r>
        <w:t xml:space="preserve">се населения. Это, в свою очередь, ведет к старению нации и порождает новые проблемы, в частности экономические. </w:t>
      </w:r>
    </w:p>
    <w:p w:rsidR="002C0F56" w:rsidRDefault="00E67C6E">
      <w:pPr>
        <w:ind w:left="165" w:right="302"/>
      </w:pPr>
      <w:r>
        <w:t xml:space="preserve">Также, следует проанализировать такие показатели как занятое и безработное население. </w:t>
      </w:r>
    </w:p>
    <w:p w:rsidR="002C0F56" w:rsidRDefault="00E67C6E">
      <w:pPr>
        <w:ind w:left="165" w:right="864"/>
      </w:pPr>
      <w:r>
        <w:t>К населению в трудоспособном возрасте относятся мужчины</w:t>
      </w:r>
      <w:r>
        <w:t xml:space="preserve"> 16-62 лет, женщины 16-57 лет. Данный показатель зависит от самоопределения человека. Некоторые группы людей могут быть не полностью отнесены к экономически активному населению (например, студенты или пенсионеры). </w:t>
      </w:r>
    </w:p>
    <w:p w:rsidR="002C0F56" w:rsidRDefault="00E67C6E">
      <w:pPr>
        <w:ind w:left="165" w:right="871"/>
      </w:pPr>
      <w:r>
        <w:t>Занятость - это одна из значимых характер</w:t>
      </w:r>
      <w:r>
        <w:t xml:space="preserve">истик экономики, благополучия народа. Уровень занятости является важным макроэкономическим показателем. Но занятость – это не только экономическое явление. Она обусловлена демографическими процессами, выступает частью социальной политики. </w:t>
      </w:r>
    </w:p>
    <w:p w:rsidR="002C0F56" w:rsidRDefault="00E67C6E">
      <w:pPr>
        <w:ind w:left="165" w:right="866"/>
      </w:pPr>
      <w:r>
        <w:t>Численность занятого населения в 2013 году равнялась 4 578,4 тыс. человек, в 2014 году этот показатель снизился на 0,6% и составил 4 550,5 тыс. человек. В 2015 году наблюдалась та же тенденция снижения. Численность занятого населения составила 4 496,0 тыс.</w:t>
      </w:r>
      <w:r>
        <w:t xml:space="preserve"> человек в 2015 году, что по сравнению с 2014 годом на 1,2% меньше. Проведя анализ, можно придти к выводу, что численность </w:t>
      </w:r>
      <w:r>
        <w:lastRenderedPageBreak/>
        <w:t>занятого населения от всей численности экономически активного населения снизилась за анализируемый период, что привело к росту безраб</w:t>
      </w:r>
      <w:r>
        <w:t xml:space="preserve">отицы и снижению экономического роста страны. </w:t>
      </w:r>
    </w:p>
    <w:p w:rsidR="002C0F56" w:rsidRDefault="00E67C6E">
      <w:pPr>
        <w:spacing w:after="15"/>
        <w:ind w:left="165" w:right="866"/>
      </w:pPr>
      <w:r>
        <w:t>Рассмотрим еще одну составляющую экономически активного населения – безработных. Безработица – это явление в экономике, при котором часть трудоспособного населения, желающая работать на условиях трудового, гра</w:t>
      </w:r>
      <w:r>
        <w:t xml:space="preserve">жданско-правового договоров или заниматься предпринимательской деятельностью, деятельностью по оказанию услуг в сфере агроэкотуризма, ремесленной деятельностью, не может применить свою рабочую силу. </w:t>
      </w:r>
    </w:p>
    <w:p w:rsidR="002C0F56" w:rsidRDefault="00E67C6E">
      <w:pPr>
        <w:ind w:left="165" w:right="873"/>
      </w:pPr>
      <w:r>
        <w:t>Безработица возникает по различным причинам, среди котор</w:t>
      </w:r>
      <w:r>
        <w:t xml:space="preserve">ых такие причины, как избыток населения, недостаточный совокупный спрос на товары и факторы производства, отклонение равновесных цен и заработка от стабильного рынка и стабильных цен, технологический прогресс и другие. </w:t>
      </w:r>
    </w:p>
    <w:p w:rsidR="002C0F56" w:rsidRDefault="00E67C6E">
      <w:pPr>
        <w:spacing w:after="0"/>
        <w:ind w:left="165" w:right="866"/>
      </w:pPr>
      <w:r>
        <w:t>Важным показателем, который характер</w:t>
      </w:r>
      <w:r>
        <w:t>изует безработицу, является её уровень. Он рассчитывается как отношение количества безработных к общей численности экономически активного населения и выражается в процентах. Рассмотрим уровень зарегистрированной безработицы в Республике Беларусь за последн</w:t>
      </w:r>
      <w:r>
        <w:t xml:space="preserve">ие три года. </w:t>
      </w:r>
    </w:p>
    <w:p w:rsidR="002C0F56" w:rsidRDefault="00E67C6E">
      <w:pPr>
        <w:spacing w:after="0"/>
        <w:ind w:left="165" w:right="873"/>
      </w:pPr>
      <w:r>
        <w:t xml:space="preserve">Уровень безработицы в 2013 и 2014 годах составил 0,5%. А в 2015 году этот показатель равен 1%, что на 0,5 процентных пункта выше, чем в предыдущем году. Стоит отметить также, что в 2016 году уровень зарегистрированной безработицы снизился до </w:t>
      </w:r>
      <w:r>
        <w:t xml:space="preserve">0,8% [1]. Но мы должны учитывать, что это только официально зарегистрированная безработица. </w:t>
      </w:r>
    </w:p>
    <w:p w:rsidR="002C0F56" w:rsidRDefault="00E67C6E">
      <w:pPr>
        <w:spacing w:after="0"/>
        <w:ind w:left="165" w:right="864"/>
      </w:pPr>
      <w:r>
        <w:t>Таким образом, стоит отметить, что углубление экономического кризиса, сокращение объемов капиталовложений негативно отразилось на занятости населения и значительно</w:t>
      </w:r>
      <w:r>
        <w:t xml:space="preserve"> увеличило число безработных и работающих в режиме вынужденной неполной занятости в Республике Беларусь. Ситуация на рынке труда Республики Беларусь несколько парадоксальна. Проведенный анализ ситуации рынка труда позволил выявить существенные проблемы. </w:t>
      </w:r>
    </w:p>
    <w:p w:rsidR="002C0F56" w:rsidRDefault="00E67C6E">
      <w:pPr>
        <w:spacing w:after="2"/>
        <w:ind w:left="165" w:right="870"/>
      </w:pPr>
      <w:r>
        <w:t>С</w:t>
      </w:r>
      <w:r>
        <w:t xml:space="preserve">крытая безработица и неполная занятость превратились в одну из важнейших проблем в современном обществе. В настоящее время одной из ключевых задач государственного регулирования является преобразование скрытой безработицы в полную эффективную занятость. </w:t>
      </w:r>
    </w:p>
    <w:p w:rsidR="002C0F56" w:rsidRDefault="00E67C6E">
      <w:pPr>
        <w:spacing w:after="10"/>
        <w:ind w:left="165" w:right="873"/>
      </w:pPr>
      <w:r>
        <w:t>Н</w:t>
      </w:r>
      <w:r>
        <w:t xml:space="preserve">емаловажной задачей остается решение проблем подготовки и переподготовки кадров. Проводятся все возможные мероприятия по данному направлению. </w:t>
      </w:r>
    </w:p>
    <w:p w:rsidR="002C0F56" w:rsidRDefault="00E67C6E">
      <w:pPr>
        <w:spacing w:after="0"/>
        <w:ind w:left="165" w:right="871"/>
      </w:pPr>
      <w:r>
        <w:t>Проблема низкой мобильности может быть решена за счет снижения административного давления, направленного на сохра</w:t>
      </w:r>
      <w:r>
        <w:t xml:space="preserve">нение избыточной занятости, в том числе при привлечении иностранных инвесторов. Но это </w:t>
      </w:r>
      <w:r>
        <w:lastRenderedPageBreak/>
        <w:t xml:space="preserve">требует создания адекватной системы социальной защиты безработных, что подразумевает увеличение пособия по безработице до уровня бюджета прожиточного минимума. </w:t>
      </w:r>
    </w:p>
    <w:p w:rsidR="002C0F56" w:rsidRDefault="00E67C6E">
      <w:pPr>
        <w:ind w:left="165" w:right="867"/>
      </w:pPr>
      <w:r>
        <w:t>Обязател</w:t>
      </w:r>
      <w:r>
        <w:t>ьное распределение выпускников вузов позволяет частично снизить уровень безработицы среди молодежи, но также это еще один источник искажений в структуре занятости, так как распределение осуществляется в первую очередь на государственные предприятия [2, с.1</w:t>
      </w:r>
      <w:r>
        <w:t xml:space="preserve">76]. </w:t>
      </w:r>
    </w:p>
    <w:p w:rsidR="002C0F56" w:rsidRDefault="00E67C6E">
      <w:pPr>
        <w:spacing w:after="0"/>
        <w:ind w:left="165" w:right="871"/>
      </w:pPr>
      <w:r>
        <w:t>Таким образом, либерализация рынка труда необходима для улучшения эффективности функционирования экономики Беларуси. Однако возможности реформ ограничены низкой социальной защитой потенциально уязвимых к безработице групп населения при причине наличи</w:t>
      </w:r>
      <w:r>
        <w:t xml:space="preserve">я системы краткосрочных трудовых договоров и отсутствия адекватного пособия по безработице. </w:t>
      </w:r>
    </w:p>
    <w:p w:rsidR="002C0F56" w:rsidRDefault="00E67C6E">
      <w:pPr>
        <w:spacing w:after="3"/>
        <w:ind w:left="165" w:right="868"/>
      </w:pPr>
      <w:r>
        <w:t>В настоящее время утверждена государственная программа о социальной защите и содействии занятости населения на 2016-2020 годы. Данная программа состоит из пяти под</w:t>
      </w:r>
      <w:r>
        <w:t xml:space="preserve">программ: «Содействие занятости населения»; «Охрана труда»; «Предупреждение инвалидности и реабилитация инвалидов»; «Безбарьерная среда жизнедеятельности инвалидов и физически ослабленных лиц»; «Социальная интеграция инвалидов и пожилых граждан». </w:t>
      </w:r>
    </w:p>
    <w:p w:rsidR="002C0F56" w:rsidRDefault="00E67C6E">
      <w:pPr>
        <w:spacing w:after="0"/>
        <w:ind w:left="165" w:right="869"/>
      </w:pPr>
      <w:r>
        <w:t>Цель Гос</w:t>
      </w:r>
      <w:r>
        <w:t>ударственной программы – развитие системы социальной защиты населения посредством повышения эффективности политики занятости населения, улучшения условий охраны труда, создания безбарьерной среды жизнедеятельности, обеспечения социальной интеграции инвалид</w:t>
      </w:r>
      <w:r>
        <w:t xml:space="preserve">ов и пожилых граждан [3]. </w:t>
      </w:r>
    </w:p>
    <w:p w:rsidR="002C0F56" w:rsidRDefault="00E67C6E">
      <w:pPr>
        <w:spacing w:after="0"/>
        <w:ind w:left="165" w:right="872"/>
      </w:pPr>
      <w:r>
        <w:t>Таким образом, политика государства в области занятости основывается на принципах обеспечения равных возможностей всем трудоспособным гражданам в реализации права на труд, предоставлении социальных гарантий и компенсаций безработным, обеспечении мер, напра</w:t>
      </w:r>
      <w:r>
        <w:t xml:space="preserve">вленных на предотвращение безработицы и т.д. </w:t>
      </w:r>
    </w:p>
    <w:p w:rsidR="002C0F56" w:rsidRDefault="00E67C6E">
      <w:pPr>
        <w:spacing w:after="0"/>
        <w:ind w:left="165" w:right="871"/>
      </w:pPr>
      <w:r>
        <w:t>Подводя итог, следует сказать, что государство должно уделять особое внимание проблемам рынка труда. Ориентация государственной политики в области регулирования занятости и заработной платы, отслеживание процес</w:t>
      </w:r>
      <w:r>
        <w:t xml:space="preserve">сов в сфере труда, прогноз их развития должны быть направлены, прежде всего, на предупреждение возникновения кризисных ситуаций, смягчение напряженности на рынке труда.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Клименко И.В. </w:t>
      </w:r>
      <w:r>
        <w:rPr>
          <w:b w:val="0"/>
        </w:rPr>
        <w:t xml:space="preserve">Научный руководитель: Ващенко Л.А., к.э.н., доц.   </w:t>
      </w:r>
    </w:p>
    <w:p w:rsidR="002C0F56" w:rsidRDefault="00E67C6E">
      <w:pPr>
        <w:spacing w:after="0" w:line="267" w:lineRule="auto"/>
        <w:ind w:left="1755" w:right="860" w:hanging="10"/>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 xml:space="preserve">Михаила Туган-Барановского </w:t>
      </w:r>
    </w:p>
    <w:p w:rsidR="002C0F56" w:rsidRDefault="00E67C6E">
      <w:pPr>
        <w:spacing w:after="30" w:line="259" w:lineRule="auto"/>
        <w:ind w:left="744" w:firstLine="0"/>
        <w:jc w:val="left"/>
      </w:pPr>
      <w:r>
        <w:lastRenderedPageBreak/>
        <w:t xml:space="preserve"> </w:t>
      </w:r>
    </w:p>
    <w:p w:rsidR="002C0F56" w:rsidRDefault="00E67C6E">
      <w:pPr>
        <w:pStyle w:val="1"/>
        <w:ind w:left="700" w:right="1380"/>
      </w:pPr>
      <w:r>
        <w:t xml:space="preserve">АНАЛИЗ РЫНКА АВТОМОБИЛЕЙ В РОССИИ </w:t>
      </w:r>
    </w:p>
    <w:p w:rsidR="002C0F56" w:rsidRDefault="00E67C6E">
      <w:pPr>
        <w:spacing w:after="0" w:line="259" w:lineRule="auto"/>
        <w:ind w:left="744" w:firstLine="0"/>
        <w:jc w:val="left"/>
      </w:pPr>
      <w:r>
        <w:t xml:space="preserve"> </w:t>
      </w:r>
    </w:p>
    <w:p w:rsidR="002C0F56" w:rsidRDefault="00E67C6E">
      <w:pPr>
        <w:ind w:left="165" w:right="867"/>
      </w:pPr>
      <w:r>
        <w:t xml:space="preserve">Статья посвящена анализу развития  современного автомобильного рынка России, основными ориентирами автомобильного рынка – это  </w:t>
      </w:r>
      <w:r>
        <w:t>повышение качества отечественных автомобилей и снижение их стоимости на фоне экспансии иностранных автомобилей. Кроме этого главное обращать внимание на продажу автомобилей  по рейтингу и качеству. Главная цель улучшения продажи любой марки автомобилей. Сд</w:t>
      </w:r>
      <w:r>
        <w:t xml:space="preserve">елать сравнительную характеристику.   </w:t>
      </w:r>
    </w:p>
    <w:p w:rsidR="002C0F56" w:rsidRDefault="00E67C6E">
      <w:pPr>
        <w:ind w:left="165" w:right="302"/>
      </w:pPr>
      <w:r>
        <w:rPr>
          <w:b/>
        </w:rPr>
        <w:t>Ключевые слова:</w:t>
      </w:r>
      <w:r>
        <w:t xml:space="preserve"> анализ, рынок, спрос, предложение, автомобили, цена, тарифы, развитие,  автодилеры,  рынок б/у автомобилей,  </w:t>
      </w:r>
    </w:p>
    <w:p w:rsidR="002C0F56" w:rsidRDefault="00E67C6E">
      <w:pPr>
        <w:spacing w:after="2"/>
        <w:ind w:left="165" w:right="873"/>
      </w:pPr>
      <w:r>
        <w:t>Анализируя рынок транспортных средств, вначале необходимо определить ключевые внешнеэкономические и макроэкономические факторы влияния на предложения на данном рынке, затем определить факторы спроса, динамики продаж, конкуренции и ценообразования в 2017 го</w:t>
      </w:r>
      <w:r>
        <w:t xml:space="preserve">ду в России.  </w:t>
      </w:r>
    </w:p>
    <w:p w:rsidR="002C0F56" w:rsidRDefault="00E67C6E">
      <w:pPr>
        <w:spacing w:after="0"/>
        <w:ind w:left="165" w:right="868"/>
      </w:pPr>
      <w:r>
        <w:t>Ситуацию на автомобильном рынке трудно назвать устойчивой и прогнозируемой. Продажи автомобилей зависят от многих факторов, причем внешнеэкономических. Прогноз развития авторынка также сложно осуществляем. В статье не проведен анализ инфляци</w:t>
      </w:r>
      <w:r>
        <w:t xml:space="preserve">и, которая значительно влияет на ценообразование, уровень доходов населения, отражающий их покупательскую способность. Эти факторы также являются существенными в проведении анализа авторынка.  </w:t>
      </w:r>
    </w:p>
    <w:p w:rsidR="002C0F56" w:rsidRDefault="00E67C6E">
      <w:pPr>
        <w:spacing w:after="7"/>
        <w:ind w:left="165" w:right="866"/>
      </w:pPr>
      <w:r>
        <w:t>В наступившем 2017 году по прогнозам автомобильный рынок стран</w:t>
      </w:r>
      <w:r>
        <w:t xml:space="preserve">ы имеет потенциал завершить 4-летнее снижение и вернуться к росту. Общий объем продаж в 2017 году ожидается на уровне 1.48 млн. автомобилей, что будет на 4% выше результата 2016 года. В 2017 году общий объем финансирования поддержки спроса на авто технику </w:t>
      </w:r>
      <w:r>
        <w:t xml:space="preserve">в России составит 62,3 млрд. рублей.  Исходя данным 2017 года автомобили  стали дороже: Mitsubishi L200 - 3,1-9,2%, Lexus ES 200 - 0,9 Х50 - 0,8%, Solano (Comfort) - 0,8%, Solano (Luxury) - 1,5 </w:t>
      </w:r>
    </w:p>
    <w:p w:rsidR="002C0F56" w:rsidRDefault="00E67C6E">
      <w:pPr>
        <w:spacing w:after="0"/>
        <w:ind w:left="165" w:right="869"/>
      </w:pPr>
      <w:r>
        <w:t>С учетом 2016 года, более 70% предложения российского авто ры</w:t>
      </w:r>
      <w:r>
        <w:t>нка обеспечивается зарубежными автомобильными компаниями, курс валют будет определяющим фактором ценовой политике отрасли. Так вот, согласно их данным, за первые шесть месяцев 2016 года по всей стране было продано 672 140 новых автомобилей. Это на 14,1% ме</w:t>
      </w:r>
      <w:r>
        <w:t xml:space="preserve">ньше, чем было зафиксировано в 2015 году. В 2017 году общий объем финансирования поддержки спроса на авто технику в России составит 62,3 млрд. рублей.[1] </w:t>
      </w:r>
    </w:p>
    <w:p w:rsidR="002C0F56" w:rsidRDefault="00E67C6E">
      <w:pPr>
        <w:spacing w:after="15"/>
        <w:ind w:left="165" w:right="867"/>
      </w:pPr>
      <w:r>
        <w:t>Анализируя все данные, эксперты аналитического агентства «АВТОСТАТ» составили рейтинг самых продаваем</w:t>
      </w:r>
      <w:r>
        <w:t xml:space="preserve">ых новых универсалов в России по итогам января – февраля 2017 года. При этом здесь мы учитываем классические </w:t>
      </w:r>
      <w:r>
        <w:lastRenderedPageBreak/>
        <w:t>универсалы и универсалы повышенной вместимости. Соответственно</w:t>
      </w:r>
      <w:hyperlink r:id="rId725">
        <w:r>
          <w:t xml:space="preserve"> </w:t>
        </w:r>
      </w:hyperlink>
      <w:hyperlink r:id="rId726">
        <w:r>
          <w:t>кроссоверы</w:t>
        </w:r>
      </w:hyperlink>
      <w:hyperlink r:id="rId727">
        <w:r>
          <w:t xml:space="preserve"> </w:t>
        </w:r>
      </w:hyperlink>
      <w:hyperlink r:id="rId728">
        <w:r>
          <w:t>и</w:t>
        </w:r>
      </w:hyperlink>
      <w:hyperlink r:id="rId729">
        <w:r>
          <w:t xml:space="preserve"> </w:t>
        </w:r>
      </w:hyperlink>
      <w:hyperlink r:id="rId730">
        <w:r>
          <w:t>внедорожники,</w:t>
        </w:r>
      </w:hyperlink>
      <w:r>
        <w:t xml:space="preserve"> тоже имеющие тип кузова «универсал», сюда не попадают.[2] </w:t>
      </w:r>
    </w:p>
    <w:p w:rsidR="002C0F56" w:rsidRDefault="00E67C6E">
      <w:pPr>
        <w:ind w:left="165" w:right="867"/>
      </w:pPr>
      <w:r>
        <w:t>Возглавляет этот рейтинг LADA Largus, показатель которого за отчетный период составил почти 3,5 тыс. В 2016 году самым покупаемым ст</w:t>
      </w:r>
      <w:r>
        <w:t xml:space="preserve">ал Hyundai Solaris. Россияне почувствовали, что эта иномарка сделана как раз для российских  дорог и купили 90380 таких авто. </w:t>
      </w:r>
    </w:p>
    <w:p w:rsidR="002C0F56" w:rsidRDefault="00E67C6E">
      <w:pPr>
        <w:spacing w:after="12"/>
        <w:ind w:left="165" w:right="867"/>
      </w:pPr>
      <w:r>
        <w:t xml:space="preserve"> Второе место занимает – универсал LADA Kalina который в настоящее время является самым доступным в этом сегменте рынка. Замыкает</w:t>
      </w:r>
      <w:r>
        <w:t xml:space="preserve"> тройку лидеров</w:t>
      </w:r>
      <w:hyperlink r:id="rId731">
        <w:r>
          <w:t xml:space="preserve"> </w:t>
        </w:r>
      </w:hyperlink>
      <w:hyperlink r:id="rId732">
        <w:r>
          <w:t>KIA</w:t>
        </w:r>
      </w:hyperlink>
      <w:hyperlink r:id="rId733">
        <w:r>
          <w:t xml:space="preserve"> </w:t>
        </w:r>
      </w:hyperlink>
      <w:hyperlink r:id="rId734">
        <w:r>
          <w:t>Cee’d</w:t>
        </w:r>
      </w:hyperlink>
      <w:hyperlink r:id="rId735">
        <w:r>
          <w:t xml:space="preserve"> </w:t>
        </w:r>
      </w:hyperlink>
      <w:r>
        <w:t xml:space="preserve">продажи которого выросли на 16,9%. АвтоВАЗа Lada Granta автомобиль и  лидировал в 2015 году, хотя и сравнительно недавно появился на </w:t>
      </w:r>
    </w:p>
    <w:tbl>
      <w:tblPr>
        <w:tblStyle w:val="TableGrid"/>
        <w:tblW w:w="9684" w:type="dxa"/>
        <w:tblInd w:w="151" w:type="dxa"/>
        <w:tblCellMar>
          <w:top w:w="11" w:type="dxa"/>
          <w:left w:w="26" w:type="dxa"/>
          <w:bottom w:w="0" w:type="dxa"/>
          <w:right w:w="0" w:type="dxa"/>
        </w:tblCellMar>
        <w:tblLook w:val="04A0" w:firstRow="1" w:lastRow="0" w:firstColumn="1" w:lastColumn="0" w:noHBand="0" w:noVBand="1"/>
      </w:tblPr>
      <w:tblGrid>
        <w:gridCol w:w="8985"/>
        <w:gridCol w:w="699"/>
      </w:tblGrid>
      <w:tr w:rsidR="002C0F56">
        <w:trPr>
          <w:trHeight w:val="324"/>
        </w:trPr>
        <w:tc>
          <w:tcPr>
            <w:tcW w:w="8985" w:type="dxa"/>
            <w:tcBorders>
              <w:top w:val="nil"/>
              <w:left w:val="nil"/>
              <w:bottom w:val="nil"/>
              <w:right w:val="single" w:sz="28" w:space="0" w:color="C0C0C0"/>
            </w:tcBorders>
          </w:tcPr>
          <w:p w:rsidR="002C0F56" w:rsidRDefault="00E67C6E">
            <w:pPr>
              <w:spacing w:after="0" w:line="259" w:lineRule="auto"/>
              <w:ind w:left="3" w:right="-27" w:firstLine="0"/>
            </w:pPr>
            <w:r>
              <w:t>авто рынке.  В 2016 году приобре</w:t>
            </w:r>
            <w:r>
              <w:t>тено 87726 авто АвтоВАЗа Lada Vesta.</w:t>
            </w:r>
          </w:p>
        </w:tc>
        <w:tc>
          <w:tcPr>
            <w:tcW w:w="698" w:type="dxa"/>
            <w:tcBorders>
              <w:top w:val="nil"/>
              <w:left w:val="single" w:sz="28" w:space="0" w:color="C0C0C0"/>
              <w:bottom w:val="nil"/>
              <w:right w:val="nil"/>
            </w:tcBorders>
            <w:shd w:val="clear" w:color="auto" w:fill="FFFFFF"/>
          </w:tcPr>
          <w:p w:rsidR="002C0F56" w:rsidRDefault="00E67C6E">
            <w:pPr>
              <w:spacing w:after="0" w:line="259" w:lineRule="auto"/>
              <w:ind w:left="0" w:firstLine="0"/>
            </w:pPr>
            <w:r>
              <w:t xml:space="preserve"> 2016</w:t>
            </w:r>
          </w:p>
        </w:tc>
      </w:tr>
      <w:tr w:rsidR="002C0F56">
        <w:trPr>
          <w:trHeight w:val="322"/>
        </w:trPr>
        <w:tc>
          <w:tcPr>
            <w:tcW w:w="9684" w:type="dxa"/>
            <w:gridSpan w:val="2"/>
            <w:tcBorders>
              <w:top w:val="nil"/>
              <w:left w:val="nil"/>
              <w:bottom w:val="nil"/>
              <w:right w:val="nil"/>
            </w:tcBorders>
            <w:shd w:val="clear" w:color="auto" w:fill="FFFFFF"/>
          </w:tcPr>
          <w:p w:rsidR="002C0F56" w:rsidRDefault="00E67C6E">
            <w:pPr>
              <w:spacing w:after="0" w:line="259" w:lineRule="auto"/>
              <w:ind w:left="3" w:firstLine="0"/>
              <w:jc w:val="left"/>
            </w:pPr>
            <w:r>
              <w:t xml:space="preserve">года  Его приобрели 55174 человек.  </w:t>
            </w:r>
          </w:p>
        </w:tc>
      </w:tr>
    </w:tbl>
    <w:p w:rsidR="002C0F56" w:rsidRDefault="00E67C6E">
      <w:pPr>
        <w:ind w:left="165" w:right="873"/>
      </w:pPr>
      <w:r>
        <w:t xml:space="preserve">На четвертом месте располагается Ford Focus. В первой пятерке оказывается и Subaru Outback. В ТОП-10 российского рынка универсалов также попали: Hyundai i40, </w:t>
      </w:r>
      <w:hyperlink r:id="rId736">
        <w:r>
          <w:t xml:space="preserve"> </w:t>
        </w:r>
      </w:hyperlink>
      <w:hyperlink r:id="rId737">
        <w:r>
          <w:t>Skoda</w:t>
        </w:r>
      </w:hyperlink>
      <w:hyperlink r:id="rId738">
        <w:r>
          <w:t xml:space="preserve"> </w:t>
        </w:r>
      </w:hyperlink>
      <w:hyperlink r:id="rId739">
        <w:r>
          <w:t>Octavia</w:t>
        </w:r>
      </w:hyperlink>
      <w:hyperlink r:id="rId740">
        <w:r>
          <w:t xml:space="preserve"> </w:t>
        </w:r>
      </w:hyperlink>
      <w:r>
        <w:t xml:space="preserve">.[4] </w:t>
      </w:r>
    </w:p>
    <w:p w:rsidR="002C0F56" w:rsidRDefault="00E67C6E">
      <w:pPr>
        <w:spacing w:after="0"/>
        <w:ind w:left="165" w:right="873"/>
      </w:pPr>
      <w:r>
        <w:t>Можно сделать вывод  о том что,  в 2017 году первое место занимает LADA Largus, но в 2016 году она занимала последнее место из 10 самых крупных автомобилей года. И проданных авто на 2016 году было</w:t>
      </w:r>
      <w:r>
        <w:t xml:space="preserve"> всего лишь 29341.[3] </w:t>
      </w:r>
    </w:p>
    <w:p w:rsidR="002C0F56" w:rsidRDefault="00E67C6E">
      <w:pPr>
        <w:ind w:left="165" w:right="302"/>
      </w:pPr>
      <w:r>
        <w:t xml:space="preserve">Многие автодилеры сейчас закрывают свои центры. Это связано с высокой долей кредитов в их капитале, снижением продаж новых автомобилей. </w:t>
      </w:r>
    </w:p>
    <w:p w:rsidR="002C0F56" w:rsidRDefault="00E67C6E">
      <w:pPr>
        <w:spacing w:after="0"/>
        <w:ind w:left="165" w:right="868" w:firstLine="0"/>
      </w:pPr>
      <w:r>
        <w:t>Западные коллеги остаются на плаву по той простой причине, что они торгуют еще и подержанными автомобилями. Если рассматривать рынок б/у автомобилей, то здесь ситуация кажется более благоприятной. В 2017 году цены на подержанные машины, скорее всего остают</w:t>
      </w:r>
      <w:r>
        <w:t>ся  на прежнем уровне. Можно сказать что, прогнозируется  небольшой спад цен на такие авто. В первую очередь, это связано с тем, что спрос на подобную продукцию несколько уменьшился. Рынок б/у автомобилей в 2017 году имеет лучшие перспективы, а прогноз в д</w:t>
      </w:r>
      <w:r>
        <w:t>анной сфере имеет тенденции к росту.</w:t>
      </w:r>
      <w:r>
        <w:rPr>
          <w:b/>
        </w:rPr>
        <w:t xml:space="preserve"> </w:t>
      </w:r>
    </w:p>
    <w:p w:rsidR="002C0F56" w:rsidRDefault="00E67C6E">
      <w:pPr>
        <w:spacing w:after="1"/>
        <w:ind w:left="165" w:right="864"/>
      </w:pPr>
      <w:r>
        <w:t xml:space="preserve">Toyota возглавила мировой рейтинг популярности по поисковым запросам в Google в 2016 году. Чаще всего Toyota  искали в 74 из 193 стран, попавших в список. Самые эффективные дилеры в России работают в компании Hyundai. </w:t>
      </w:r>
      <w:r>
        <w:t xml:space="preserve">Каждый дилерский центр продаёт в среднем 73 автомобиля в месяц. Далее следуют Toyota - 71, KIA - 69, Lada - 63, Renualt - 53. Хуже всех продавать получается у Smart и SsangYong - по 2 автомобиля в месяц.[5]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spacing w:after="0"/>
        <w:ind w:left="165" w:right="873"/>
      </w:pPr>
      <w:r>
        <w:lastRenderedPageBreak/>
        <w:t>1.Подборнова Е.С. Развитие</w:t>
      </w:r>
      <w:r>
        <w:t xml:space="preserve"> методических подходов оценки конкурентоспособности / Е.С. Подборнова, Н.М. Тюкавкин // Общественные науки. -2011. - № 6. - С. 386-393. </w:t>
      </w:r>
    </w:p>
    <w:p w:rsidR="002C0F56" w:rsidRDefault="00E67C6E">
      <w:pPr>
        <w:numPr>
          <w:ilvl w:val="0"/>
          <w:numId w:val="109"/>
        </w:numPr>
        <w:spacing w:after="12"/>
        <w:ind w:left="1094" w:right="302" w:hanging="350"/>
      </w:pPr>
      <w:hyperlink r:id="rId741">
        <w:r>
          <w:t>https://www.autostat.ru/editorial_column/28697/</w:t>
        </w:r>
      </w:hyperlink>
      <w:hyperlink r:id="rId742">
        <w:r>
          <w:t>.</w:t>
        </w:r>
      </w:hyperlink>
      <w:r>
        <w:t xml:space="preserve">  </w:t>
      </w:r>
    </w:p>
    <w:p w:rsidR="002C0F56" w:rsidRDefault="00E67C6E">
      <w:pPr>
        <w:numPr>
          <w:ilvl w:val="0"/>
          <w:numId w:val="109"/>
        </w:numPr>
        <w:spacing w:after="12"/>
        <w:ind w:left="1094" w:right="302" w:hanging="350"/>
      </w:pPr>
      <w:r>
        <w:t xml:space="preserve">https://www.autostat.ru/infographics/28564/.  </w:t>
      </w:r>
    </w:p>
    <w:p w:rsidR="002C0F56" w:rsidRDefault="00E67C6E">
      <w:pPr>
        <w:numPr>
          <w:ilvl w:val="0"/>
          <w:numId w:val="109"/>
        </w:numPr>
        <w:spacing w:after="12"/>
        <w:ind w:left="1094" w:right="302" w:hanging="350"/>
      </w:pPr>
      <w:hyperlink r:id="rId743">
        <w:r>
          <w:t>http://autodrop.ru/autonews/1184</w:t>
        </w:r>
      </w:hyperlink>
      <w:hyperlink r:id="rId744">
        <w:r>
          <w:t>-</w:t>
        </w:r>
      </w:hyperlink>
      <w:hyperlink r:id="rId745">
        <w:r>
          <w:t>ceny</w:t>
        </w:r>
      </w:hyperlink>
      <w:hyperlink r:id="rId746">
        <w:r>
          <w:t>-</w:t>
        </w:r>
      </w:hyperlink>
      <w:hyperlink r:id="rId747">
        <w:r>
          <w:t>na</w:t>
        </w:r>
      </w:hyperlink>
      <w:hyperlink r:id="rId748">
        <w:r>
          <w:t>-</w:t>
        </w:r>
      </w:hyperlink>
      <w:hyperlink r:id="rId749">
        <w:r>
          <w:t>avto</w:t>
        </w:r>
      </w:hyperlink>
      <w:hyperlink r:id="rId750">
        <w:r>
          <w:t>-</w:t>
        </w:r>
      </w:hyperlink>
      <w:hyperlink r:id="rId751">
        <w:r>
          <w:t>2017.html</w:t>
        </w:r>
      </w:hyperlink>
      <w:hyperlink r:id="rId752">
        <w:r>
          <w:t>.</w:t>
        </w:r>
      </w:hyperlink>
      <w:r>
        <w:t xml:space="preserve"> </w:t>
      </w:r>
    </w:p>
    <w:p w:rsidR="002C0F56" w:rsidRDefault="00E67C6E">
      <w:pPr>
        <w:numPr>
          <w:ilvl w:val="0"/>
          <w:numId w:val="109"/>
        </w:numPr>
        <w:spacing w:after="12"/>
        <w:ind w:left="1094" w:right="302" w:hanging="350"/>
      </w:pPr>
      <w:hyperlink r:id="rId753">
        <w:r>
          <w:t>https://www.autostat.ru/infographics/279</w:t>
        </w:r>
        <w:r>
          <w:t>89/</w:t>
        </w:r>
      </w:hyperlink>
      <w:hyperlink r:id="rId754">
        <w:r>
          <w:t>.</w:t>
        </w:r>
      </w:hyperlink>
      <w:r>
        <w:t xml:space="preserve">  </w:t>
      </w:r>
    </w:p>
    <w:p w:rsidR="002C0F56" w:rsidRDefault="00E67C6E">
      <w:pPr>
        <w:spacing w:after="0" w:line="259" w:lineRule="auto"/>
        <w:ind w:left="180" w:firstLine="0"/>
        <w:jc w:val="left"/>
      </w:pPr>
      <w:r>
        <w:t xml:space="preserve"> </w:t>
      </w:r>
    </w:p>
    <w:p w:rsidR="002C0F56" w:rsidRDefault="00E67C6E">
      <w:pPr>
        <w:spacing w:after="22" w:line="259" w:lineRule="auto"/>
        <w:ind w:left="180" w:firstLine="0"/>
        <w:jc w:val="left"/>
      </w:pPr>
      <w:r>
        <w:t xml:space="preserve"> </w:t>
      </w:r>
    </w:p>
    <w:p w:rsidR="002C0F56" w:rsidRDefault="00E67C6E">
      <w:pPr>
        <w:pStyle w:val="1"/>
        <w:spacing w:after="25" w:line="259" w:lineRule="auto"/>
        <w:ind w:right="856"/>
        <w:jc w:val="right"/>
      </w:pPr>
      <w:r>
        <w:t xml:space="preserve">Ковтун А.Д. </w:t>
      </w:r>
      <w:r>
        <w:rPr>
          <w:b w:val="0"/>
        </w:rPr>
        <w:t xml:space="preserve">Научный руководитель Золотая Л.В. </w:t>
      </w:r>
    </w:p>
    <w:p w:rsidR="002C0F56" w:rsidRDefault="00E67C6E">
      <w:pPr>
        <w:spacing w:after="0" w:line="267" w:lineRule="auto"/>
        <w:ind w:left="905" w:right="860" w:hanging="10"/>
        <w:jc w:val="right"/>
      </w:pPr>
      <w:r>
        <w:rPr>
          <w:i/>
        </w:rPr>
        <w:t xml:space="preserve">Макеевская общеобразовательная школа I-III ступеней №18 </w:t>
      </w:r>
    </w:p>
    <w:p w:rsidR="002C0F56" w:rsidRDefault="00E67C6E">
      <w:pPr>
        <w:spacing w:after="30" w:line="259" w:lineRule="auto"/>
        <w:ind w:left="744" w:firstLine="0"/>
        <w:jc w:val="left"/>
      </w:pPr>
      <w:r>
        <w:t xml:space="preserve"> </w:t>
      </w:r>
    </w:p>
    <w:p w:rsidR="002C0F56" w:rsidRDefault="00E67C6E">
      <w:pPr>
        <w:pStyle w:val="1"/>
        <w:ind w:left="700" w:right="1378"/>
      </w:pPr>
      <w:r>
        <w:t xml:space="preserve">МЕНЕДЖМЕНТ В СОВРЕМЕННОЙ ОРГАНИЗАЦИИ </w:t>
      </w:r>
    </w:p>
    <w:p w:rsidR="002C0F56" w:rsidRDefault="00E67C6E">
      <w:pPr>
        <w:spacing w:after="25" w:line="259" w:lineRule="auto"/>
        <w:ind w:left="744" w:firstLine="0"/>
        <w:jc w:val="left"/>
      </w:pPr>
      <w:r>
        <w:t xml:space="preserve"> </w:t>
      </w:r>
    </w:p>
    <w:p w:rsidR="002C0F56" w:rsidRDefault="00E67C6E">
      <w:pPr>
        <w:spacing w:after="11" w:line="270" w:lineRule="auto"/>
        <w:ind w:left="10" w:right="862" w:hanging="10"/>
        <w:jc w:val="right"/>
      </w:pPr>
      <w:r>
        <w:t xml:space="preserve">«Стратегия определяет структуру» </w:t>
      </w:r>
    </w:p>
    <w:p w:rsidR="002C0F56" w:rsidRDefault="00E67C6E">
      <w:pPr>
        <w:spacing w:after="0" w:line="267" w:lineRule="auto"/>
        <w:ind w:left="905" w:right="860" w:hanging="10"/>
        <w:jc w:val="right"/>
      </w:pPr>
      <w:r>
        <w:rPr>
          <w:i/>
        </w:rPr>
        <w:t xml:space="preserve">А. Чардлер </w:t>
      </w:r>
    </w:p>
    <w:p w:rsidR="002C0F56" w:rsidRDefault="00E67C6E">
      <w:pPr>
        <w:spacing w:after="0" w:line="259" w:lineRule="auto"/>
        <w:ind w:left="744" w:firstLine="0"/>
        <w:jc w:val="left"/>
      </w:pPr>
      <w:r>
        <w:rPr>
          <w:b/>
        </w:rPr>
        <w:t xml:space="preserve"> </w:t>
      </w:r>
    </w:p>
    <w:p w:rsidR="002C0F56" w:rsidRDefault="00E67C6E">
      <w:pPr>
        <w:spacing w:after="0"/>
        <w:ind w:left="165" w:right="866"/>
      </w:pPr>
      <w:r>
        <w:t>Деятельность предприятия в рыночной экономике нуждается в эффективных управленческих решениях, которые бы обеспечивали на предприятии организованный порядок и эффективный труд рабочих по созданию продукции. Предпринимательский успех зависит н</w:t>
      </w:r>
      <w:r>
        <w:t>е только от экономических возможностей предприятия, но и от искусства сплочения всего коллектива на достижение поставленных целей и умения организовать реализацию товаров, действенное управление персоналом, финансами, производственными мощностями. Обеспечи</w:t>
      </w:r>
      <w:r>
        <w:t>ть всё это призван особый вид управленческой деятельности, который называется менеджментом, (англ. «management») означает «умение владеть», но чем? Обстоятельствами, ситуацией, людьми,  их эмоциями и амбициями? Возможно, это власть над умственными способно</w:t>
      </w:r>
      <w:r>
        <w:t>стями, возможностями и собственными силами?  Итак, это простое английское слово включает в себя весь спектр человеческих возможностей: коммуникабельность, гибкость, креативность, ум, стрессоустойчивость, лояльность, слаженную коллективную работу, умение об</w:t>
      </w:r>
      <w:r>
        <w:t>щаться, организацию рабочего процесса и т.д. Согласитесь это довольно емкое и многогранное слово, которое занимает не малую роль в жизни современного предприятия и работающих на нем людей. Менеджмент – это деятельность по координации работы сотрудников и с</w:t>
      </w:r>
      <w:r>
        <w:t xml:space="preserve">труктурных подразделений предприятия. </w:t>
      </w:r>
    </w:p>
    <w:p w:rsidR="002C0F56" w:rsidRDefault="00E67C6E">
      <w:pPr>
        <w:spacing w:after="0"/>
        <w:ind w:left="165" w:right="868"/>
      </w:pPr>
      <w:r>
        <w:t xml:space="preserve">На предприятии существуют разные уровни управленческой деятельности: стратегический и операционный. Если стратегический менеджмент </w:t>
      </w:r>
      <w:r>
        <w:lastRenderedPageBreak/>
        <w:t>предусматривает прогнозирование путей, способов и результатов её достижения с учётом р</w:t>
      </w:r>
      <w:r>
        <w:t xml:space="preserve">азнообразных факторов и разработку стратегического плана развития предприятия, то операционный менеджмент определяет содержание практической деятельности на предприятии по реализации этой разработанной стратегии предприятия. </w:t>
      </w:r>
    </w:p>
    <w:p w:rsidR="002C0F56" w:rsidRDefault="00E67C6E">
      <w:pPr>
        <w:spacing w:after="10"/>
        <w:ind w:left="165" w:right="868"/>
      </w:pPr>
      <w:r>
        <w:t xml:space="preserve">Управлению подлежат все сферы </w:t>
      </w:r>
      <w:r>
        <w:t xml:space="preserve">и направления деятельности предприятия, т. е. обеспечение и согласование различных трудовых операций для достижения общей цели. </w:t>
      </w:r>
    </w:p>
    <w:p w:rsidR="002C0F56" w:rsidRDefault="00E67C6E">
      <w:pPr>
        <w:ind w:left="165" w:right="872"/>
      </w:pPr>
      <w:r>
        <w:t>Управление является важнейшей функцией собственника средств производства, ибо последний определяет в силу своего социального статуса что, как и сколько производить, как расходовать материальные, финансовые и трудовые ресурсы для минимизации затрат и получе</w:t>
      </w:r>
      <w:r>
        <w:t xml:space="preserve">ния максимального результата. </w:t>
      </w:r>
    </w:p>
    <w:p w:rsidR="002C0F56" w:rsidRDefault="00E67C6E">
      <w:pPr>
        <w:spacing w:after="0"/>
        <w:ind w:left="165" w:right="866"/>
      </w:pPr>
      <w:r>
        <w:t>На практике управление реализует специальная категория людей – менеджеры, выполняющие следующие функции управления: планирование, подготовку и принятие управленческого решения; организацию процесса реализации принятых решений</w:t>
      </w:r>
      <w:r>
        <w:t xml:space="preserve">; мотивацию персонала; контроль за ходом выполнения управленческих решений. Задачей менеджера является изучение потребностей своих подчинённых и разработка индивидуальных стимулов, которые способствуют их трудовой активности. </w:t>
      </w:r>
    </w:p>
    <w:p w:rsidR="002C0F56" w:rsidRDefault="00E67C6E">
      <w:pPr>
        <w:spacing w:after="0"/>
        <w:ind w:left="165" w:right="871"/>
      </w:pPr>
      <w:r>
        <w:t>Для принятия правильных управ</w:t>
      </w:r>
      <w:r>
        <w:t>ленческих решений менеджеру необходимо знать досконально все участки производственного процесса. Даже в случае хорошо спланированной и четко организованной работы, фирма не достигает своей цели, если работники всех уровней не будут заинтересованы в ее дост</w:t>
      </w:r>
      <w:r>
        <w:t xml:space="preserve">ижении. </w:t>
      </w:r>
    </w:p>
    <w:p w:rsidR="002C0F56" w:rsidRDefault="00E67C6E">
      <w:pPr>
        <w:spacing w:after="0"/>
        <w:ind w:left="165" w:right="872"/>
      </w:pPr>
      <w:r>
        <w:t>Поэтому управление включает в себя систему мотивационных способов и приемов. Актуальность мотивации в современных условиях обусловлена тем, что персонал является основным капиталом предприятия; необходима реализация потенциала работников; изменени</w:t>
      </w:r>
      <w:r>
        <w:t xml:space="preserve">е условий производства, появление новых технологий, а также требований к качеству продукции требуют работников нового типа. </w:t>
      </w:r>
    </w:p>
    <w:p w:rsidR="002C0F56" w:rsidRDefault="00E67C6E">
      <w:pPr>
        <w:ind w:left="165" w:right="866"/>
      </w:pPr>
      <w:r>
        <w:t>Мотивация - создание условий, побуждающих сотрудников эффективно выполнять работу в соответствии их обязанностями</w:t>
      </w:r>
      <w:r>
        <w:rPr>
          <w:b/>
        </w:rPr>
        <w:t xml:space="preserve">. </w:t>
      </w:r>
      <w:r>
        <w:t>Для мотивации ра</w:t>
      </w:r>
      <w:r>
        <w:t xml:space="preserve">боты людей следует учесть, во-первых, их потребности и, во-вторых, восприятие и ожидания, которые достигаются через оценку результатов работы, определенную материальную выгоду, продвижение по службе. Исследования показали: если ожидания людей не совпадают </w:t>
      </w:r>
      <w:r>
        <w:t xml:space="preserve">с реалиями жизни, то стимулы к работе снижаются. </w:t>
      </w:r>
    </w:p>
    <w:p w:rsidR="002C0F56" w:rsidRDefault="00E67C6E">
      <w:pPr>
        <w:ind w:left="165" w:right="867"/>
      </w:pPr>
      <w:r>
        <w:lastRenderedPageBreak/>
        <w:t xml:space="preserve">Самое большое вознаграждение для менеджера – достижение высокой результативности деятельности, поскольку это способствует его самоутверждению как управленца. Выявлять эту результативность призван контроль. </w:t>
      </w:r>
      <w:r>
        <w:t xml:space="preserve"> </w:t>
      </w:r>
    </w:p>
    <w:p w:rsidR="002C0F56" w:rsidRDefault="00E67C6E">
      <w:pPr>
        <w:spacing w:after="2"/>
        <w:ind w:left="165" w:right="874"/>
      </w:pPr>
      <w:r>
        <w:t xml:space="preserve">Контроль – важный фактор эффективной трудовой деятельности и обеспечения реализации заданной управленческой программы, путем отслеживания процесса работы, сроков ее выполнения и своевременной корректировки ошибок. </w:t>
      </w:r>
    </w:p>
    <w:p w:rsidR="002C0F56" w:rsidRDefault="00E67C6E">
      <w:pPr>
        <w:ind w:left="165" w:right="873"/>
      </w:pPr>
      <w:r>
        <w:t>Четыре элемента процесса управления (пл</w:t>
      </w:r>
      <w:r>
        <w:t xml:space="preserve">анирование, организация, мотивация и контроль) объединяет то, что они требуют принятия управленческого решения. Эффективное управленческое решение способствует повышению производительности труда. Основные направления управления:  </w:t>
      </w:r>
    </w:p>
    <w:p w:rsidR="002C0F56" w:rsidRDefault="00E67C6E">
      <w:pPr>
        <w:numPr>
          <w:ilvl w:val="0"/>
          <w:numId w:val="110"/>
        </w:numPr>
        <w:ind w:right="763"/>
      </w:pPr>
      <w:r>
        <w:t>достижение высокой эффект</w:t>
      </w:r>
      <w:r>
        <w:t xml:space="preserve">ивности производства (за счёт использования достижений НТП, интенсификации деятельности, уменьшение затрат времени и людской энергии и др.) </w:t>
      </w:r>
    </w:p>
    <w:p w:rsidR="002C0F56" w:rsidRDefault="00E67C6E">
      <w:pPr>
        <w:numPr>
          <w:ilvl w:val="0"/>
          <w:numId w:val="110"/>
        </w:numPr>
        <w:ind w:right="763"/>
      </w:pPr>
      <w:r>
        <w:t xml:space="preserve">достижение эффективности труда (через создание определённых условий и соответствующее стимулирование работников). </w:t>
      </w:r>
    </w:p>
    <w:p w:rsidR="002C0F56" w:rsidRDefault="00E67C6E">
      <w:pPr>
        <w:ind w:left="165" w:right="866"/>
      </w:pPr>
      <w:r>
        <w:t>Для эффективного управления и планирования предпринимательской деятельности, поиска будущих партнёров и интересов, получения от банка кредита на предприятии составляется бизнес-план. Это документ, помогающий предпринимателям представить задуманный проект в</w:t>
      </w:r>
      <w:r>
        <w:t xml:space="preserve"> определённой форме согласно разработанной бизнес - идее, потребностям рынка, возможностям его ресурсного обеспечения и получения прибыли. Детальное прогнозирование всех составляющих предпринимательской деятельности уже на стадии планирования позволяет оце</w:t>
      </w:r>
      <w:r>
        <w:t xml:space="preserve">нить реалистичность планируемого бизнеса. </w:t>
      </w:r>
    </w:p>
    <w:p w:rsidR="002C0F56" w:rsidRDefault="00E67C6E">
      <w:pPr>
        <w:spacing w:after="0"/>
        <w:ind w:left="165" w:right="868"/>
      </w:pPr>
      <w:r>
        <w:t>Современный менеджмент – это отрасль научно-прикладного знания и опыт управленческой деятельности, ориентированный на обеспечение эффективного функционирования организации в условиях рыночной экономики. Он включае</w:t>
      </w:r>
      <w:r>
        <w:t xml:space="preserve">т в себя управление интеллектуальными, сырьевыми, финансовыми ресурсами.  </w:t>
      </w:r>
    </w:p>
    <w:p w:rsidR="002C0F56" w:rsidRDefault="00E67C6E">
      <w:pPr>
        <w:spacing w:after="11" w:line="270" w:lineRule="auto"/>
        <w:ind w:left="10" w:right="862" w:hanging="10"/>
        <w:jc w:val="right"/>
      </w:pPr>
      <w:r>
        <w:t xml:space="preserve">В теории и практике менеджмента выделяют две его разновидности: </w:t>
      </w:r>
    </w:p>
    <w:p w:rsidR="002C0F56" w:rsidRDefault="00E67C6E">
      <w:pPr>
        <w:ind w:left="165" w:right="302" w:firstLine="0"/>
      </w:pPr>
      <w:r>
        <w:t xml:space="preserve">американский и японский. </w:t>
      </w:r>
    </w:p>
    <w:p w:rsidR="002C0F56" w:rsidRDefault="00E67C6E">
      <w:pPr>
        <w:ind w:left="165" w:right="866"/>
      </w:pPr>
      <w:r>
        <w:t>Японский менеджмент</w:t>
      </w:r>
      <w:r>
        <w:rPr>
          <w:b/>
          <w:i/>
        </w:rPr>
        <w:t xml:space="preserve"> </w:t>
      </w:r>
      <w:r>
        <w:t xml:space="preserve">ориентируется на увеличение доли рынка </w:t>
      </w:r>
      <w:r>
        <w:t xml:space="preserve">и объёма выпуска новой продукции в общем выпуске; делается акцент на коллективных решениях и коллективной ответственности. </w:t>
      </w:r>
    </w:p>
    <w:p w:rsidR="002C0F56" w:rsidRDefault="00E67C6E">
      <w:pPr>
        <w:spacing w:after="10"/>
        <w:ind w:left="165" w:right="875"/>
      </w:pPr>
      <w:r>
        <w:t>В Америке</w:t>
      </w:r>
      <w:r>
        <w:rPr>
          <w:i/>
        </w:rPr>
        <w:t xml:space="preserve"> </w:t>
      </w:r>
      <w:r>
        <w:t>опираются на индивидуальную инициативу менеджера, его предприимчивость; общими целями развития американских фирм служит ус</w:t>
      </w:r>
      <w:r>
        <w:t xml:space="preserve">корение окупаемости инвестиций (капиталовложений). </w:t>
      </w:r>
    </w:p>
    <w:p w:rsidR="002C0F56" w:rsidRDefault="00E67C6E">
      <w:pPr>
        <w:spacing w:after="0"/>
        <w:ind w:left="165" w:right="868"/>
      </w:pPr>
      <w:r>
        <w:t xml:space="preserve">Человечество давно осознало важность управления как особого вида деятельности, но менеджмент как отрасль управленческих знаний начал </w:t>
      </w:r>
      <w:r>
        <w:lastRenderedPageBreak/>
        <w:t>формироваться в конце ХVIII века. То, что мы сегодня называем «менеджме</w:t>
      </w:r>
      <w:r>
        <w:t>нтом» зародилось в Англии во времена промышленной революции. Возникновение фабрик как первичного типа производства и необходимость обеспечения работой больших групп людей означали начало внедрения новых принципов управления. Развитие теории управления связ</w:t>
      </w:r>
      <w:r>
        <w:t xml:space="preserve">ано с деятельностью ученого и практика менеджмента Ф. У.Тейлора. Он научно обосновал как организовать работу производства, совмещая технический прогресс, научные методы управления и физический труд.  </w:t>
      </w:r>
    </w:p>
    <w:p w:rsidR="002C0F56" w:rsidRDefault="00E67C6E">
      <w:pPr>
        <w:spacing w:after="0"/>
        <w:ind w:left="165" w:right="866"/>
      </w:pPr>
      <w:r>
        <w:t>Большой вклад в развитие теории менеджмента внес францу</w:t>
      </w:r>
      <w:r>
        <w:t xml:space="preserve">з Анри Файоль, создавший первую целостную теорию управлений и сформулировавший его основополагающие принципы и функции. В книге «Общая и промышленная администрация» выделил пять функций управления: планирование, организацию, распорядительство, координацию </w:t>
      </w:r>
      <w:r>
        <w:t xml:space="preserve">и контроль.  </w:t>
      </w:r>
    </w:p>
    <w:p w:rsidR="002C0F56" w:rsidRDefault="00E67C6E">
      <w:pPr>
        <w:spacing w:after="0"/>
        <w:ind w:left="165" w:right="871"/>
      </w:pPr>
      <w:r>
        <w:t>Вклад в развитие менеджмента внесла Школа человеческих отношений, у истоков которой стоял Элтон Мейо. В процессе исследований он пришел к выводу, что высокая заработная плата далеко не всегда ведет к повышению эффективности труда, что рост пр</w:t>
      </w:r>
      <w:r>
        <w:t xml:space="preserve">оизводительности труда должен базироваться на убеждении в совпадении интересов рабочих и администрации. </w:t>
      </w:r>
    </w:p>
    <w:p w:rsidR="002C0F56" w:rsidRDefault="00E67C6E">
      <w:pPr>
        <w:spacing w:after="15"/>
        <w:ind w:left="165" w:right="868"/>
      </w:pPr>
      <w:r>
        <w:t>Теория человеческих отношений пользовалась огромной популярностью, но не могла дать ответы на все вопросы, которые ставила жизнь. Потому вскоре она был</w:t>
      </w:r>
      <w:r>
        <w:t>а дополнена Поведенческой концепцией Дугласа Мак – Григора и его сторонниками – т. е. повышение производительности труда за счет раскрытия способностей человека. Теория менеджмента развивалась в соответствии с задачами, которые выдвигал тот или иной истори</w:t>
      </w:r>
      <w:r>
        <w:t xml:space="preserve">ческий период </w:t>
      </w:r>
    </w:p>
    <w:p w:rsidR="002C0F56" w:rsidRDefault="00E67C6E">
      <w:pPr>
        <w:ind w:left="165" w:right="867"/>
      </w:pPr>
      <w:r>
        <w:t>Основные положения современного подхода в управлении разработаны теоретиками П. Друкером и М. Портером. А в конце 60-х гг. ХХ в.теория менеджмента обогатилась исследованиями в разнообразных областях: психологии, антропологии, социологии, эко</w:t>
      </w:r>
      <w:r>
        <w:t xml:space="preserve">номики, права, логистики и т.д.  </w:t>
      </w:r>
    </w:p>
    <w:p w:rsidR="002C0F56" w:rsidRDefault="00E67C6E">
      <w:pPr>
        <w:ind w:left="165" w:right="865"/>
      </w:pPr>
      <w:r>
        <w:t>Самым ярким примером в истории мирового менеджмента является карьера Ли Якокки, который прошел путь от инженера-стажера в компании «Форд Моторс» до поста ее президента. Его "Карьера менеджера" - это учебник по антикризисно</w:t>
      </w:r>
      <w:r>
        <w:t xml:space="preserve">му управлению.  </w:t>
      </w:r>
    </w:p>
    <w:p w:rsidR="002C0F56" w:rsidRDefault="00E67C6E">
      <w:pPr>
        <w:ind w:left="165" w:right="407"/>
      </w:pPr>
      <w:r>
        <w:t>Стив Джобс</w:t>
      </w:r>
      <w:r>
        <w:rPr>
          <w:b/>
        </w:rPr>
        <w:t xml:space="preserve"> </w:t>
      </w:r>
      <w:r>
        <w:t xml:space="preserve">– менеджер и изобретатель, получивший широкое признание как харизматичный пионер революции в области персональных компьютеров. </w:t>
      </w:r>
    </w:p>
    <w:p w:rsidR="002C0F56" w:rsidRDefault="00E67C6E">
      <w:pPr>
        <w:ind w:left="165" w:right="302" w:firstLine="0"/>
      </w:pPr>
      <w:r>
        <w:t xml:space="preserve">В бизнес - школах молодые менеджеры давно учатся на кейсах стратегии и тактики компании «Apple».  </w:t>
      </w:r>
    </w:p>
    <w:p w:rsidR="002C0F56" w:rsidRDefault="00E67C6E">
      <w:pPr>
        <w:ind w:left="165" w:right="866"/>
      </w:pPr>
      <w:r>
        <w:t xml:space="preserve">Известные менеджеры мира: Мукеш Амбани - председатель Reliance Industries Ltd, Алексей Миллер - председатель правления «Газпрома», Джон Чамберс - исполнительный директор Cisco Systems, Эрик Эмерсон Шмидт </w:t>
      </w:r>
      <w:r>
        <w:lastRenderedPageBreak/>
        <w:t>исполнительный директор Google, Михаил Прохоров - вл</w:t>
      </w:r>
      <w:r>
        <w:t xml:space="preserve">аделец группы ОНЭКСИМ.  </w:t>
      </w:r>
    </w:p>
    <w:p w:rsidR="002C0F56" w:rsidRDefault="00E67C6E">
      <w:pPr>
        <w:spacing w:after="6"/>
        <w:ind w:left="165" w:right="870"/>
      </w:pPr>
      <w:r>
        <w:t>Ответ на вопрос, кто же такой менеджер, дает доктор экономических наук, профессор Э. М. Коротков: «Менеджер — это человек, обладающий активностью предпринимателя, мудростью педагога, ответственностью врача, конструктивностью инжене</w:t>
      </w:r>
      <w:r>
        <w:t xml:space="preserve">ра, пытливостью исследователя, логикой юриста. Именно эти его качества позволяют ему принимать такие решения, которые отражают интересы человека и общества, определяют их развитие».  </w:t>
      </w:r>
    </w:p>
    <w:p w:rsidR="002C0F56" w:rsidRDefault="00E67C6E">
      <w:pPr>
        <w:ind w:left="165" w:right="302"/>
      </w:pPr>
      <w:r>
        <w:t xml:space="preserve">Управленческая деятельность социально значима. От ее результатов зависят судьбы и экономическое положение людей, судьба всего государства. </w:t>
      </w:r>
    </w:p>
    <w:p w:rsidR="002C0F56" w:rsidRDefault="00E67C6E">
      <w:pPr>
        <w:spacing w:after="22"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ind w:left="744" w:right="302" w:firstLine="0"/>
      </w:pPr>
      <w:r>
        <w:t xml:space="preserve">1.Бровкова Е. Г. Основы маркетинга. Киев «Сирин», 1999 – 118с. </w:t>
      </w:r>
    </w:p>
    <w:p w:rsidR="002C0F56" w:rsidRDefault="00E67C6E">
      <w:pPr>
        <w:ind w:left="165" w:right="302"/>
      </w:pPr>
      <w:r>
        <w:t>2. Трофимова З.В. Основы эконо</w:t>
      </w:r>
      <w:r>
        <w:t xml:space="preserve">мики. Учебное пособие для 10 класса – Донецк: ООО ПКФ «БАО», 2004 – 240с. </w:t>
      </w:r>
    </w:p>
    <w:p w:rsidR="002C0F56" w:rsidRDefault="00E67C6E">
      <w:pPr>
        <w:ind w:left="744" w:right="302" w:firstLine="0"/>
      </w:pPr>
      <w:r>
        <w:t xml:space="preserve">3.Крупская Л.Ф. Экономика. 11класс – Харьков «Ранок», 2011-192 с. </w:t>
      </w:r>
    </w:p>
    <w:p w:rsidR="002C0F56" w:rsidRDefault="00E67C6E">
      <w:pPr>
        <w:spacing w:after="5" w:line="268" w:lineRule="auto"/>
        <w:ind w:left="165" w:right="867" w:firstLine="554"/>
        <w:jc w:val="left"/>
      </w:pPr>
      <w:r>
        <w:t xml:space="preserve">4.«Происхождение </w:t>
      </w:r>
      <w:r>
        <w:tab/>
        <w:t xml:space="preserve">профессии </w:t>
      </w:r>
      <w:r>
        <w:tab/>
        <w:t xml:space="preserve">экономист-менеджер», </w:t>
      </w:r>
      <w:r>
        <w:tab/>
        <w:t>«История возникновения менеджмента» http://www.psunbrb.by/go/pr</w:t>
      </w:r>
      <w:r>
        <w:t xml:space="preserve">ocess/O_specialnostjakh/Ehkonomika_i . Профессия Менеджер по снабжению  www.sarfind.ru  · 15 </w:t>
      </w:r>
    </w:p>
    <w:p w:rsidR="002C0F56" w:rsidRDefault="00E67C6E">
      <w:pPr>
        <w:numPr>
          <w:ilvl w:val="0"/>
          <w:numId w:val="111"/>
        </w:numPr>
        <w:ind w:right="302"/>
      </w:pPr>
      <w:r>
        <w:t xml:space="preserve">Профессия менеджера: человеческий потенциал и его роль в возрастании человеческого капитала bralign=leftfont face=Tahoma color=red...  </w:t>
      </w:r>
    </w:p>
    <w:p w:rsidR="002C0F56" w:rsidRDefault="00E67C6E">
      <w:pPr>
        <w:spacing w:after="12"/>
        <w:ind w:left="744" w:right="302" w:firstLine="0"/>
      </w:pPr>
      <w:r>
        <w:t xml:space="preserve">www.top-personal.ru  </w:t>
      </w:r>
    </w:p>
    <w:p w:rsidR="002C0F56" w:rsidRDefault="00E67C6E">
      <w:pPr>
        <w:numPr>
          <w:ilvl w:val="0"/>
          <w:numId w:val="111"/>
        </w:numPr>
        <w:ind w:right="302"/>
      </w:pPr>
      <w:r>
        <w:t>Проф</w:t>
      </w:r>
      <w:r>
        <w:t xml:space="preserve">ессия менеджер: мифы и реальность Лидерство и менеджмент Шаги достижения мечты с помощью целевого... </w:t>
      </w:r>
    </w:p>
    <w:p w:rsidR="002C0F56" w:rsidRDefault="00E67C6E">
      <w:pPr>
        <w:ind w:left="165" w:right="866"/>
      </w:pPr>
      <w:r>
        <w:t xml:space="preserve">prezentaciya-na-temu.ru  7.«Моя профессия – мое будущее» Номинация проекта – презентация в формате www.slideboom.com  </w:t>
      </w:r>
    </w:p>
    <w:p w:rsidR="002C0F56" w:rsidRDefault="00E67C6E">
      <w:pPr>
        <w:spacing w:after="25" w:line="259" w:lineRule="auto"/>
        <w:ind w:left="10" w:right="856" w:hanging="10"/>
        <w:jc w:val="right"/>
      </w:pPr>
      <w:r>
        <w:rPr>
          <w:b/>
        </w:rPr>
        <w:t xml:space="preserve">Коринчук А.И. </w:t>
      </w:r>
    </w:p>
    <w:p w:rsidR="002C0F56" w:rsidRDefault="00E67C6E">
      <w:pPr>
        <w:spacing w:after="11" w:line="270" w:lineRule="auto"/>
        <w:ind w:left="10" w:right="862" w:hanging="10"/>
        <w:jc w:val="right"/>
      </w:pPr>
      <w:r>
        <w:t xml:space="preserve">Научный руководитель: Шаврук Е.Ю. </w:t>
      </w:r>
    </w:p>
    <w:p w:rsidR="002C0F56" w:rsidRDefault="00E67C6E">
      <w:pPr>
        <w:spacing w:after="0" w:line="267" w:lineRule="auto"/>
        <w:ind w:left="905" w:right="860" w:hanging="10"/>
        <w:jc w:val="right"/>
      </w:pPr>
      <w:r>
        <w:rPr>
          <w:i/>
        </w:rPr>
        <w:t xml:space="preserve">Белорусский государственный экономический университет </w:t>
      </w:r>
    </w:p>
    <w:p w:rsidR="002C0F56" w:rsidRDefault="00E67C6E">
      <w:pPr>
        <w:spacing w:after="0" w:line="259" w:lineRule="auto"/>
        <w:ind w:left="744" w:firstLine="0"/>
        <w:jc w:val="left"/>
      </w:pPr>
      <w:r>
        <w:rPr>
          <w:i/>
        </w:rPr>
        <w:t xml:space="preserve"> </w:t>
      </w:r>
    </w:p>
    <w:p w:rsidR="002C0F56" w:rsidRDefault="00E67C6E">
      <w:pPr>
        <w:pStyle w:val="1"/>
        <w:ind w:right="686"/>
      </w:pPr>
      <w:r>
        <w:t xml:space="preserve">УПРАВЛЕНИЕ ЛОГИСТИКОЙ НА ПРОИЗВОДСТВЕ НА ОСНОВЕ </w:t>
      </w:r>
    </w:p>
    <w:p w:rsidR="002C0F56" w:rsidRDefault="00E67C6E">
      <w:pPr>
        <w:pStyle w:val="1"/>
        <w:ind w:right="686"/>
      </w:pPr>
      <w:r>
        <w:t xml:space="preserve">СИСТЕМЫ ORACLE E-BUSINESS SUITE </w:t>
      </w:r>
    </w:p>
    <w:p w:rsidR="002C0F56" w:rsidRDefault="00E67C6E">
      <w:pPr>
        <w:spacing w:after="0" w:line="259" w:lineRule="auto"/>
        <w:ind w:left="744" w:firstLine="0"/>
        <w:jc w:val="left"/>
      </w:pPr>
      <w:r>
        <w:t xml:space="preserve"> </w:t>
      </w:r>
    </w:p>
    <w:p w:rsidR="002C0F56" w:rsidRDefault="00E67C6E">
      <w:pPr>
        <w:spacing w:after="0"/>
        <w:ind w:left="165" w:right="302"/>
      </w:pPr>
      <w:r>
        <w:t xml:space="preserve">Управление материальными потоками всегда являлось важной стороной хозяйственной </w:t>
      </w:r>
      <w:r>
        <w:t xml:space="preserve">деятельности предприятий, связанных друг с другом процессами производства, реализации и сервиса конечного продукта. Усиление конкуренции на </w:t>
      </w:r>
      <w:r>
        <w:lastRenderedPageBreak/>
        <w:t>рынке привело к тому, что внедрение логистики в производство стало одной из основных функций деятельности и систем у</w:t>
      </w:r>
      <w:r>
        <w:t xml:space="preserve">правления бизнесом и другими сферами экономической жизни. Этому также способствует стремительное развитие информационных технологий, которые обеспечивают комплексное использование логистической концепции на производстве. </w:t>
      </w:r>
    </w:p>
    <w:p w:rsidR="002C0F56" w:rsidRDefault="00E67C6E">
      <w:pPr>
        <w:ind w:left="165" w:right="870"/>
      </w:pPr>
      <w:r>
        <w:t>Заказ, приемка, транспортировка, р</w:t>
      </w:r>
      <w:r>
        <w:t>аспределение и многие другие логистические операции требуют некоторой осведомленности руководства для постоянного мониторинга состояния компании. Для таких целей существует огромное множество информационных систем, предлагающих комплексное решение существу</w:t>
      </w:r>
      <w:r>
        <w:t xml:space="preserve">ющих проблем. Примером такой системы является система на основе технологий Oracle E-Business Suite. </w:t>
      </w:r>
    </w:p>
    <w:p w:rsidR="002C0F56" w:rsidRDefault="00E67C6E">
      <w:pPr>
        <w:ind w:left="165" w:right="869"/>
      </w:pPr>
      <w:r>
        <w:t xml:space="preserve">Oracle E-Business Suite – тиражируемый интегрированный комплекс программного обеспечения компании Oracle, включающий в себя функциональные блоки ERP, CRM, </w:t>
      </w:r>
      <w:r>
        <w:t xml:space="preserve">PLM. Данная система обеспечивает эффективное решение задач управления непрерывным производством, планирования цепей поставок с координацией процессов сбыта, производства, и снабжения [2].  </w:t>
      </w:r>
    </w:p>
    <w:p w:rsidR="002C0F56" w:rsidRDefault="00E67C6E">
      <w:pPr>
        <w:spacing w:after="12"/>
        <w:ind w:left="165" w:right="870"/>
      </w:pPr>
      <w:r>
        <w:t>Oracle E-Business Suite основана на модульной архитектуре, то есть</w:t>
      </w:r>
      <w:r>
        <w:t xml:space="preserve"> представляет собой совокупность различных модулей, выполняющих обособленную группу функций. </w:t>
      </w:r>
    </w:p>
    <w:p w:rsidR="002C0F56" w:rsidRDefault="00E67C6E">
      <w:pPr>
        <w:spacing w:after="0"/>
        <w:ind w:left="165" w:right="865"/>
      </w:pPr>
      <w:r>
        <w:t>Первым из них является модуль Oracle Process Manufacturing (OPM). Он обеспечивает реализацию стандартных технологий планирования MRPII (включая планирование общей</w:t>
      </w:r>
      <w:r>
        <w:t xml:space="preserve"> потребности производства в материальных ресурсах, производственных мощностях, контроль исполнения плана и т.д.). Расчет выхода готовой продукции может быть произведен и с учетом качества используемых материалов, а также различных индексов изменения объема</w:t>
      </w:r>
      <w:r>
        <w:t xml:space="preserve"> расхода сырья и производительности оборудования. Пользователи системы имеют возможность визуального контроля загрузки ресурсов для обеспечения непрерывности функционирования производства [1]. </w:t>
      </w:r>
    </w:p>
    <w:p w:rsidR="002C0F56" w:rsidRDefault="00E67C6E">
      <w:pPr>
        <w:ind w:left="165" w:right="870"/>
      </w:pPr>
      <w:r>
        <w:t>Подсистема управления нормативами обеспечивает одновременное в</w:t>
      </w:r>
      <w:r>
        <w:t xml:space="preserve">едение количественного учета позиций в разных единицах измерений. Технолог имеет возможность моделирования различных параметров продукции на основе данных о качественных характеристиках сырья. </w:t>
      </w:r>
    </w:p>
    <w:p w:rsidR="002C0F56" w:rsidRDefault="00E67C6E">
      <w:pPr>
        <w:ind w:left="165" w:right="870"/>
      </w:pPr>
      <w:r>
        <w:t>Приложение Oracle обеспечивает жесткий контроль производственн</w:t>
      </w:r>
      <w:r>
        <w:t>ого цикла, в том числе детальный контроль всех производственных операций, фактическое использование сырья, материалов, производственных мощностей и трудовых ресурсов. Функции системы дают возможность регистрировать выход продукции, контролировать ее качест</w:t>
      </w:r>
      <w:r>
        <w:t xml:space="preserve">венные характеристики. </w:t>
      </w:r>
    </w:p>
    <w:p w:rsidR="002C0F56" w:rsidRDefault="00E67C6E">
      <w:pPr>
        <w:spacing w:after="0"/>
        <w:ind w:left="165" w:right="868"/>
      </w:pPr>
      <w:r>
        <w:lastRenderedPageBreak/>
        <w:t xml:space="preserve">Модуль Oracle Quality Management дает возможность планировать и контролировать детальные параметры качества сырья, материалов, полуфабрикатов и готовой продукции. Система поддерживает непрерывный </w:t>
      </w:r>
      <w:r>
        <w:t xml:space="preserve">контроль качества на всем протяжении производственного цикла, обеспечивая высокие стандарты производства начиная с процессов снабжения и заканчивая отгрузкой готовой продукции. Это позволяет свести к минимуму возможный процент брака, что не только снижает </w:t>
      </w:r>
      <w:r>
        <w:t>возможные издержки, связанные с исправлением брака, но и поддерживает положительный имидж компании на рынке, повышая таким образом конкурентоспособность продукции. Однако для полного моделирования в системе специфики конкретно взятого предприятия необходим</w:t>
      </w:r>
      <w:r>
        <w:t xml:space="preserve">о некоторая доработка стандартного функционального набора. Это можно сделать силами штатного программиста либо же прибегнуть к аутсорсингу или аутстаффингу. </w:t>
      </w:r>
    </w:p>
    <w:p w:rsidR="002C0F56" w:rsidRDefault="00E67C6E">
      <w:pPr>
        <w:ind w:left="165" w:right="865"/>
      </w:pPr>
      <w:r>
        <w:t>На основе модуля Oracle Advanced Supply Chain Planning (ACHP) разработано решение, которое обеспеч</w:t>
      </w:r>
      <w:r>
        <w:t>ивает составление и дальнейшее использование наиболее оптимальных (с учетом имеющихся технологий и мощностей) производственных расписаний. Использование модуля ASCP для составления исполнимых производственных расписаний на цеховом уровне обеспечивает целос</w:t>
      </w:r>
      <w:r>
        <w:t xml:space="preserve">тность системы и реализацию всех этапов цикла планирования в едином информационном пространстве под управлением единой корпоративной информационной системы [3]. </w:t>
      </w:r>
    </w:p>
    <w:p w:rsidR="002C0F56" w:rsidRDefault="00E67C6E">
      <w:pPr>
        <w:spacing w:after="0"/>
        <w:ind w:left="165" w:right="865"/>
      </w:pPr>
      <w:r>
        <w:t>Возможности данной системы Oracle позволяют проводить анализ данных расчета и оптимального пла</w:t>
      </w:r>
      <w:r>
        <w:t>на производства исходя из имеющихся ресурсов. Для этого используется аппарат линейного программирования симплексметодом, а также методом двойственной задачи, что позволяет при определении оптимального плана производства также исходить из цен на ресурсы и в</w:t>
      </w:r>
      <w:r>
        <w:t>озможностей их покупки. Интеграция аналитической системы и системы управления и планирования производством обеспечивает решение целого ряда задачи оптимизации: выбор варианта производства, форма организации движения материальных потоков, уменьшение себесто</w:t>
      </w:r>
      <w:r>
        <w:t xml:space="preserve">имости продукции (как производственной, так и полной, так как учитывается также и используемая на предприятии система распределения готовой продукции) и т.д.  </w:t>
      </w:r>
    </w:p>
    <w:p w:rsidR="002C0F56" w:rsidRDefault="00E67C6E">
      <w:pPr>
        <w:ind w:left="165" w:right="869"/>
      </w:pPr>
      <w:r>
        <w:t>Помимо функций, связанных с планированием и управлением производством, компании могут использова</w:t>
      </w:r>
      <w:r>
        <w:t>ть необходимые для их бизнеса дополнительные функциональные возможности системы или интегрировать ее с уже существующими решениями. Так, например, на складах крупных и финансово развитых предприятиях Oracle E-Business Suite может быть интегрирована в едину</w:t>
      </w:r>
      <w:r>
        <w:t xml:space="preserve">ю информационную систему с системами управления складом класса WMS (Warehouse Management System).  </w:t>
      </w:r>
    </w:p>
    <w:p w:rsidR="002C0F56" w:rsidRDefault="00E67C6E">
      <w:pPr>
        <w:ind w:left="165" w:right="864"/>
      </w:pPr>
      <w:r>
        <w:lastRenderedPageBreak/>
        <w:t>Таким образом, набор бизнес-приложений Oracle E-Business Suite, реализующий функциональные возможности ERP, CRM, PLM, SCM позволяет на комплексной основе вн</w:t>
      </w:r>
      <w:r>
        <w:t>едрить логистическую концепцию управления производством на предприятии, что значительно оптимизирует уровень постоянных издержек, максимизирует возможную прибыль и повышает качество производимой продукции с обеспечением непрерывного функционирования процес</w:t>
      </w:r>
      <w:r>
        <w:t xml:space="preserve">са производства. </w:t>
      </w:r>
    </w:p>
    <w:p w:rsidR="002C0F56" w:rsidRDefault="00E67C6E">
      <w:pPr>
        <w:spacing w:after="5" w:line="268" w:lineRule="auto"/>
        <w:ind w:left="165" w:right="866" w:firstLine="3889"/>
        <w:jc w:val="left"/>
      </w:pPr>
      <w:r>
        <w:t xml:space="preserve">Список литературы: 1. Грачева Е.В., Пчелинцева О.Н. – Планирование и управление производством предприятий на основе системы Oracle E-Business Suite // Известия ПГПУ им. В.Г. Белинского. 2011. № 26 С. 547-549. </w:t>
      </w:r>
    </w:p>
    <w:p w:rsidR="002C0F56" w:rsidRDefault="00E67C6E">
      <w:pPr>
        <w:numPr>
          <w:ilvl w:val="0"/>
          <w:numId w:val="112"/>
        </w:numPr>
        <w:spacing w:after="12"/>
        <w:ind w:right="302"/>
      </w:pPr>
      <w:r>
        <w:t>Oracle. [Электронный ресурс]</w:t>
      </w:r>
      <w:r>
        <w:t xml:space="preserve">. Режим доступа: </w:t>
      </w:r>
      <w:hyperlink r:id="rId755">
        <w:r>
          <w:t>www</w:t>
        </w:r>
      </w:hyperlink>
      <w:hyperlink r:id="rId756">
        <w:r>
          <w:t>.</w:t>
        </w:r>
      </w:hyperlink>
      <w:hyperlink r:id="rId757">
        <w:r>
          <w:t>oracle</w:t>
        </w:r>
      </w:hyperlink>
      <w:hyperlink r:id="rId758">
        <w:r>
          <w:t>.</w:t>
        </w:r>
      </w:hyperlink>
      <w:hyperlink r:id="rId759">
        <w:r>
          <w:t>com</w:t>
        </w:r>
      </w:hyperlink>
      <w:hyperlink r:id="rId760">
        <w:r>
          <w:t xml:space="preserve"> </w:t>
        </w:r>
      </w:hyperlink>
    </w:p>
    <w:p w:rsidR="002C0F56" w:rsidRDefault="00E67C6E">
      <w:pPr>
        <w:numPr>
          <w:ilvl w:val="0"/>
          <w:numId w:val="112"/>
        </w:numPr>
        <w:ind w:right="302"/>
      </w:pPr>
      <w:r>
        <w:t xml:space="preserve">TopS Business Integrator (TopS BI). [Электронный ресурс]. Режим доступа: http://ebusiness.topsbi.ru. </w:t>
      </w:r>
    </w:p>
    <w:p w:rsidR="002C0F56" w:rsidRDefault="00E67C6E">
      <w:pPr>
        <w:spacing w:after="0" w:line="259" w:lineRule="auto"/>
        <w:ind w:left="744" w:firstLine="0"/>
        <w:jc w:val="left"/>
      </w:pPr>
      <w:r>
        <w:rPr>
          <w:b/>
          <w:i/>
        </w:rPr>
        <w:t xml:space="preserve"> </w:t>
      </w:r>
    </w:p>
    <w:p w:rsidR="002C0F56" w:rsidRDefault="00E67C6E">
      <w:pPr>
        <w:spacing w:after="23" w:line="259" w:lineRule="auto"/>
        <w:ind w:left="744" w:firstLine="0"/>
        <w:jc w:val="left"/>
      </w:pPr>
      <w:r>
        <w:rPr>
          <w:b/>
          <w:i/>
        </w:rPr>
        <w:t xml:space="preserve"> </w:t>
      </w:r>
    </w:p>
    <w:p w:rsidR="002C0F56" w:rsidRDefault="00E67C6E">
      <w:pPr>
        <w:pStyle w:val="1"/>
        <w:spacing w:after="25" w:line="259" w:lineRule="auto"/>
        <w:ind w:right="856"/>
        <w:jc w:val="right"/>
      </w:pPr>
      <w:r>
        <w:t xml:space="preserve">Коршик Т. Ч., Саганович Д. О. </w:t>
      </w:r>
      <w:r>
        <w:rPr>
          <w:b w:val="0"/>
        </w:rPr>
        <w:t xml:space="preserve">Научный руководитель: Шаврук Е.Ю. </w:t>
      </w:r>
    </w:p>
    <w:p w:rsidR="002C0F56" w:rsidRDefault="00E67C6E">
      <w:pPr>
        <w:spacing w:after="0" w:line="267" w:lineRule="auto"/>
        <w:ind w:left="905" w:right="860" w:hanging="10"/>
        <w:jc w:val="right"/>
      </w:pPr>
      <w:r>
        <w:rPr>
          <w:i/>
        </w:rPr>
        <w:t xml:space="preserve">Белорусский государственный экономический университет </w:t>
      </w:r>
    </w:p>
    <w:p w:rsidR="002C0F56" w:rsidRDefault="00E67C6E">
      <w:pPr>
        <w:spacing w:after="0" w:line="259" w:lineRule="auto"/>
        <w:ind w:left="740" w:firstLine="0"/>
        <w:jc w:val="left"/>
      </w:pPr>
      <w:r>
        <w:t xml:space="preserve"> </w:t>
      </w:r>
    </w:p>
    <w:p w:rsidR="002C0F56" w:rsidRDefault="00E67C6E">
      <w:pPr>
        <w:pStyle w:val="1"/>
        <w:ind w:left="700" w:right="1377"/>
      </w:pPr>
      <w:r>
        <w:t xml:space="preserve">РАЗВИТИЕ SEO В КОНТЕКСТЕ ГОЛОСОВЫХ ПОИСКОВЫХ ЗАПРОСОВ </w:t>
      </w:r>
    </w:p>
    <w:p w:rsidR="002C0F56" w:rsidRDefault="00E67C6E">
      <w:pPr>
        <w:spacing w:after="0" w:line="259" w:lineRule="auto"/>
        <w:ind w:left="742" w:firstLine="0"/>
        <w:jc w:val="left"/>
      </w:pPr>
      <w:r>
        <w:rPr>
          <w:b/>
        </w:rPr>
        <w:t xml:space="preserve"> </w:t>
      </w:r>
    </w:p>
    <w:p w:rsidR="002C0F56" w:rsidRDefault="00E67C6E">
      <w:pPr>
        <w:ind w:left="165" w:right="866"/>
      </w:pPr>
      <w:r>
        <w:t xml:space="preserve">Голосовой поиск стремительно набирает популярность. На сегодняшний день 20% всех поисковых мобильных запросов – голосовые, а к 2020 году этот показатель достигнет 50%.  </w:t>
      </w:r>
    </w:p>
    <w:p w:rsidR="002C0F56" w:rsidRDefault="00E67C6E">
      <w:pPr>
        <w:ind w:left="165" w:right="302"/>
      </w:pPr>
      <w:r>
        <w:t>Возникает вопрос: как сделат</w:t>
      </w:r>
      <w:r>
        <w:t xml:space="preserve">ь так, чтобы голосовой ассистент стал проводником между запросом клиента и целевым сайтом?  </w:t>
      </w:r>
    </w:p>
    <w:p w:rsidR="002C0F56" w:rsidRDefault="00E67C6E">
      <w:pPr>
        <w:spacing w:after="57"/>
        <w:ind w:left="165" w:right="302"/>
      </w:pPr>
      <w:r>
        <w:t xml:space="preserve">Согласно современным тенденциям и специфике голосового поиска, можно выделить следующие факторы, влияющие на его популярность сегодня: </w:t>
      </w:r>
    </w:p>
    <w:p w:rsidR="002C0F56" w:rsidRDefault="00E67C6E">
      <w:pPr>
        <w:numPr>
          <w:ilvl w:val="0"/>
          <w:numId w:val="113"/>
        </w:numPr>
        <w:spacing w:after="61"/>
        <w:ind w:right="866"/>
      </w:pPr>
      <w:r>
        <w:t>Рост числа мобильных пользо</w:t>
      </w:r>
      <w:r>
        <w:t xml:space="preserve">вателей, которые больше склонны пользоваться hands-free сервисами. </w:t>
      </w:r>
    </w:p>
    <w:p w:rsidR="002C0F56" w:rsidRDefault="00E67C6E">
      <w:pPr>
        <w:numPr>
          <w:ilvl w:val="0"/>
          <w:numId w:val="113"/>
        </w:numPr>
        <w:ind w:right="866"/>
      </w:pPr>
      <w:r>
        <w:t xml:space="preserve">Развитие возможностей самих голосовых ассистентов (возможность вести диалог с чат-ботом Google Assistant, интеграция Siri со сторонними приложениями); </w:t>
      </w:r>
    </w:p>
    <w:p w:rsidR="002C0F56" w:rsidRDefault="00E67C6E">
      <w:pPr>
        <w:numPr>
          <w:ilvl w:val="0"/>
          <w:numId w:val="113"/>
        </w:numPr>
        <w:ind w:right="866"/>
      </w:pPr>
      <w:r>
        <w:t>Эволюция алгоритма ранжирования Goog</w:t>
      </w:r>
      <w:r>
        <w:t xml:space="preserve">le GeekBrain, который обрабатывает весь объем поисковых запросов с целью максимально точной интерпретации намерений пользователя. </w:t>
      </w:r>
    </w:p>
    <w:p w:rsidR="002C0F56" w:rsidRDefault="00E67C6E">
      <w:pPr>
        <w:ind w:left="165" w:right="864"/>
      </w:pPr>
      <w:r>
        <w:lastRenderedPageBreak/>
        <w:t xml:space="preserve"> Отметим, что самыми популярными ассистентами являются Siri (40,4%), Google Assistant (25,9%), Cortana (6,1%), Alexa от Amazo</w:t>
      </w:r>
      <w:r>
        <w:t xml:space="preserve">n (2,1%). Рассмотрим основные критерии SEO в контексте голосовых запросов. </w:t>
      </w:r>
    </w:p>
    <w:p w:rsidR="002C0F56" w:rsidRDefault="00E67C6E">
      <w:pPr>
        <w:spacing w:after="15"/>
        <w:ind w:left="165" w:right="862"/>
      </w:pPr>
      <w:r>
        <w:rPr>
          <w:b/>
        </w:rPr>
        <w:t>Ключевые слова</w:t>
      </w:r>
      <w:r>
        <w:t>. Касательно ключевых слов как основы SEO стоит подчеркнуть, что их значимость нивелируется ещё с 2011 года, когда алгоритм Google Panda стал очищать выдачу поисковых</w:t>
      </w:r>
      <w:r>
        <w:t xml:space="preserve"> запросов от сайтов, переполненных ключевыми словами.  </w:t>
      </w:r>
    </w:p>
    <w:p w:rsidR="002C0F56" w:rsidRDefault="00E67C6E">
      <w:pPr>
        <w:spacing w:after="0"/>
        <w:ind w:left="165" w:right="864"/>
      </w:pPr>
      <w:r>
        <w:t>Развитие голосового поиска делает их роль ещё более неоднозначной, так как на первый план выходит разговорная речь. Об этом говорит и специфика ключевых слов, ведь ввод поисковых запросов с помощью клавиатуры и голоса сильно разнится. Во втором случае люди</w:t>
      </w:r>
      <w:r>
        <w:t xml:space="preserve"> используют более естественные фразы и задают более естественные вопросы. Например, при поиске с клавиатуры поисковой запрос выглядит как «рестораны центр Минск», в то время как при голосовом вводе запрос будет более естественным: «покажи рестораны поблизо</w:t>
      </w:r>
      <w:r>
        <w:t xml:space="preserve">сти». </w:t>
      </w:r>
    </w:p>
    <w:p w:rsidR="002C0F56" w:rsidRDefault="00E67C6E">
      <w:pPr>
        <w:spacing w:after="0" w:line="259" w:lineRule="auto"/>
        <w:ind w:left="0" w:right="1658" w:firstLine="0"/>
        <w:jc w:val="right"/>
      </w:pPr>
      <w:r>
        <w:rPr>
          <w:noProof/>
        </w:rPr>
        <w:drawing>
          <wp:inline distT="0" distB="0" distL="0" distR="0">
            <wp:extent cx="5215255" cy="2524125"/>
            <wp:effectExtent l="0" t="0" r="0" b="0"/>
            <wp:docPr id="40310" name="Picture 40310"/>
            <wp:cNvGraphicFramePr/>
            <a:graphic xmlns:a="http://schemas.openxmlformats.org/drawingml/2006/main">
              <a:graphicData uri="http://schemas.openxmlformats.org/drawingml/2006/picture">
                <pic:pic xmlns:pic="http://schemas.openxmlformats.org/drawingml/2006/picture">
                  <pic:nvPicPr>
                    <pic:cNvPr id="40310" name="Picture 40310"/>
                    <pic:cNvPicPr/>
                  </pic:nvPicPr>
                  <pic:blipFill>
                    <a:blip r:embed="rId761"/>
                    <a:stretch>
                      <a:fillRect/>
                    </a:stretch>
                  </pic:blipFill>
                  <pic:spPr>
                    <a:xfrm>
                      <a:off x="0" y="0"/>
                      <a:ext cx="5215255" cy="2524125"/>
                    </a:xfrm>
                    <a:prstGeom prst="rect">
                      <a:avLst/>
                    </a:prstGeom>
                  </pic:spPr>
                </pic:pic>
              </a:graphicData>
            </a:graphic>
          </wp:inline>
        </w:drawing>
      </w:r>
      <w:r>
        <w:t xml:space="preserve"> </w:t>
      </w:r>
    </w:p>
    <w:p w:rsidR="002C0F56" w:rsidRDefault="00E67C6E">
      <w:pPr>
        <w:spacing w:after="5" w:line="268" w:lineRule="auto"/>
        <w:ind w:left="165" w:right="862" w:firstLine="1726"/>
        <w:jc w:val="left"/>
      </w:pPr>
      <w:r>
        <w:rPr>
          <w:b/>
          <w:sz w:val="24"/>
        </w:rPr>
        <w:t xml:space="preserve">Рис.1. Распределение голосовых ассистентов по популярности </w:t>
      </w:r>
      <w:r>
        <w:t>Как раз определением контекстного значения голосовых поисковых запросов занимается алгоритм GeekBrain от Google, который в союзе с семантическим поиском успешно подбирает релевантные резу</w:t>
      </w:r>
      <w:r>
        <w:t>льтаты поиска даже в самых сложных разговорных запросах. Также у людей, использующих голосовые запросы, есть особенность: они формируют запросы, которые привязаны к моменту его задачи. Google выделяет четыре группы таких вопросов, что изображены на рисунке</w:t>
      </w:r>
      <w:r>
        <w:t xml:space="preserve"> 2. </w:t>
      </w:r>
    </w:p>
    <w:p w:rsidR="002C0F56" w:rsidRDefault="00E67C6E">
      <w:pPr>
        <w:spacing w:after="0" w:line="259" w:lineRule="auto"/>
        <w:ind w:left="0" w:right="538" w:firstLine="0"/>
        <w:jc w:val="right"/>
      </w:pPr>
      <w:r>
        <w:rPr>
          <w:noProof/>
        </w:rPr>
        <w:lastRenderedPageBreak/>
        <w:drawing>
          <wp:inline distT="0" distB="0" distL="0" distR="0">
            <wp:extent cx="5926455" cy="3952875"/>
            <wp:effectExtent l="0" t="0" r="0" b="0"/>
            <wp:docPr id="40345" name="Picture 40345"/>
            <wp:cNvGraphicFramePr/>
            <a:graphic xmlns:a="http://schemas.openxmlformats.org/drawingml/2006/main">
              <a:graphicData uri="http://schemas.openxmlformats.org/drawingml/2006/picture">
                <pic:pic xmlns:pic="http://schemas.openxmlformats.org/drawingml/2006/picture">
                  <pic:nvPicPr>
                    <pic:cNvPr id="40345" name="Picture 40345"/>
                    <pic:cNvPicPr/>
                  </pic:nvPicPr>
                  <pic:blipFill>
                    <a:blip r:embed="rId762"/>
                    <a:stretch>
                      <a:fillRect/>
                    </a:stretch>
                  </pic:blipFill>
                  <pic:spPr>
                    <a:xfrm>
                      <a:off x="0" y="0"/>
                      <a:ext cx="5926455" cy="3952875"/>
                    </a:xfrm>
                    <a:prstGeom prst="rect">
                      <a:avLst/>
                    </a:prstGeom>
                  </pic:spPr>
                </pic:pic>
              </a:graphicData>
            </a:graphic>
          </wp:inline>
        </w:drawing>
      </w:r>
      <w:r>
        <w:t xml:space="preserve"> </w:t>
      </w:r>
    </w:p>
    <w:p w:rsidR="002C0F56" w:rsidRDefault="00E67C6E">
      <w:pPr>
        <w:pStyle w:val="4"/>
        <w:ind w:left="1181" w:right="1378"/>
      </w:pPr>
      <w:r>
        <w:t xml:space="preserve">Рис. 2. Группы голосовых вопросов </w:t>
      </w:r>
    </w:p>
    <w:p w:rsidR="002C0F56" w:rsidRDefault="00E67C6E">
      <w:pPr>
        <w:ind w:left="165" w:right="866"/>
      </w:pPr>
      <w:r>
        <w:rPr>
          <w:b/>
        </w:rPr>
        <w:t>Геолокация</w:t>
      </w:r>
      <w:r>
        <w:t>. Следующим важным критерием, который влияет на SEO в контексте голосовых запросов, является геолокация. Как было отмечено ранее, при вводе голосовых запросов часто встречаются такие слова и словосочетан</w:t>
      </w:r>
      <w:r>
        <w:t xml:space="preserve">ия, как «рядом со мной», «поблизости».  </w:t>
      </w:r>
    </w:p>
    <w:p w:rsidR="002C0F56" w:rsidRDefault="00E67C6E">
      <w:pPr>
        <w:spacing w:after="64"/>
        <w:ind w:left="165" w:right="867"/>
      </w:pPr>
      <w:r>
        <w:t>Анализируя данные слова в Google Trends можно прийти к выводу, что их популярность растет. Следовательно, голосовой поиск коснётся всех сайтов, имеющих определённую геопривязку. Помочь таким сайтам могут следующие м</w:t>
      </w:r>
      <w:r>
        <w:t xml:space="preserve">етодики: </w:t>
      </w:r>
    </w:p>
    <w:p w:rsidR="002C0F56" w:rsidRDefault="00E67C6E">
      <w:pPr>
        <w:numPr>
          <w:ilvl w:val="0"/>
          <w:numId w:val="114"/>
        </w:numPr>
        <w:spacing w:after="63"/>
        <w:ind w:right="864"/>
      </w:pPr>
      <w:r>
        <w:rPr>
          <w:i/>
        </w:rPr>
        <w:t>Отзывы</w:t>
      </w:r>
      <w:r>
        <w:t xml:space="preserve">. Количество отзывов играет ключевую роль в позиции сайта при поисковой выдаче. Рекомендуется стимулировать потребителей к написанию отзывов; также важно реагировать вовремя на негативные отзывы; </w:t>
      </w:r>
    </w:p>
    <w:p w:rsidR="002C0F56" w:rsidRDefault="00E67C6E">
      <w:pPr>
        <w:numPr>
          <w:ilvl w:val="0"/>
          <w:numId w:val="114"/>
        </w:numPr>
        <w:ind w:right="864"/>
      </w:pPr>
      <w:r>
        <w:rPr>
          <w:i/>
        </w:rPr>
        <w:t>Фотографии</w:t>
      </w:r>
      <w:r>
        <w:t xml:space="preserve">. Количество фотографий на сайте </w:t>
      </w:r>
      <w:r>
        <w:t xml:space="preserve">также играет большое значение в поисковой выдаче Google: чем их больше и чем выше их качество, тем выше будет позиция сайта при запросах; </w:t>
      </w:r>
    </w:p>
    <w:p w:rsidR="002C0F56" w:rsidRDefault="00E67C6E">
      <w:pPr>
        <w:numPr>
          <w:ilvl w:val="0"/>
          <w:numId w:val="114"/>
        </w:numPr>
        <w:ind w:right="864"/>
      </w:pPr>
      <w:r>
        <w:rPr>
          <w:i/>
        </w:rPr>
        <w:t>Google My Business</w:t>
      </w:r>
      <w:r>
        <w:t xml:space="preserve">. Следует воспользоваться инструментом Google My Business и постоянно его обновлять. </w:t>
      </w:r>
    </w:p>
    <w:p w:rsidR="002C0F56" w:rsidRDefault="00E67C6E">
      <w:pPr>
        <w:spacing w:after="2"/>
        <w:ind w:left="165" w:right="864"/>
      </w:pPr>
      <w:r>
        <w:t>Стоит отметит</w:t>
      </w:r>
      <w:r>
        <w:t xml:space="preserve">ь и тот факт, что большинство мобильных пользователей не желают использовать голосовой поиск в публичных местах или в присутствии </w:t>
      </w:r>
      <w:r>
        <w:lastRenderedPageBreak/>
        <w:t xml:space="preserve">незнакомцев. В основном, они используют голосовой поиск дома, когда они одни (65%) или с друзьями (55%) </w:t>
      </w:r>
    </w:p>
    <w:p w:rsidR="002C0F56" w:rsidRDefault="00E67C6E">
      <w:pPr>
        <w:spacing w:after="0" w:line="259" w:lineRule="auto"/>
        <w:ind w:left="0" w:right="1006" w:firstLine="0"/>
        <w:jc w:val="right"/>
      </w:pPr>
      <w:r>
        <w:rPr>
          <w:noProof/>
        </w:rPr>
        <w:drawing>
          <wp:inline distT="0" distB="0" distL="0" distR="0">
            <wp:extent cx="5629275" cy="3608705"/>
            <wp:effectExtent l="0" t="0" r="0" b="0"/>
            <wp:docPr id="40446" name="Picture 40446"/>
            <wp:cNvGraphicFramePr/>
            <a:graphic xmlns:a="http://schemas.openxmlformats.org/drawingml/2006/main">
              <a:graphicData uri="http://schemas.openxmlformats.org/drawingml/2006/picture">
                <pic:pic xmlns:pic="http://schemas.openxmlformats.org/drawingml/2006/picture">
                  <pic:nvPicPr>
                    <pic:cNvPr id="40446" name="Picture 40446"/>
                    <pic:cNvPicPr/>
                  </pic:nvPicPr>
                  <pic:blipFill>
                    <a:blip r:embed="rId763"/>
                    <a:stretch>
                      <a:fillRect/>
                    </a:stretch>
                  </pic:blipFill>
                  <pic:spPr>
                    <a:xfrm>
                      <a:off x="0" y="0"/>
                      <a:ext cx="5629275" cy="3608705"/>
                    </a:xfrm>
                    <a:prstGeom prst="rect">
                      <a:avLst/>
                    </a:prstGeom>
                  </pic:spPr>
                </pic:pic>
              </a:graphicData>
            </a:graphic>
          </wp:inline>
        </w:drawing>
      </w:r>
      <w:r>
        <w:t xml:space="preserve"> </w:t>
      </w:r>
    </w:p>
    <w:p w:rsidR="002C0F56" w:rsidRDefault="00E67C6E">
      <w:pPr>
        <w:spacing w:after="5" w:line="271" w:lineRule="auto"/>
        <w:ind w:left="2617" w:right="396" w:hanging="10"/>
        <w:jc w:val="left"/>
      </w:pPr>
      <w:r>
        <w:rPr>
          <w:b/>
          <w:sz w:val="24"/>
        </w:rPr>
        <w:t xml:space="preserve">Рис. 3. Места использования голосовых запросов </w:t>
      </w:r>
    </w:p>
    <w:p w:rsidR="002C0F56" w:rsidRDefault="00E67C6E">
      <w:pPr>
        <w:spacing w:after="22" w:line="259" w:lineRule="auto"/>
        <w:ind w:left="740" w:firstLine="0"/>
        <w:jc w:val="left"/>
      </w:pPr>
      <w:r>
        <w:t xml:space="preserve"> </w:t>
      </w:r>
    </w:p>
    <w:p w:rsidR="002C0F56" w:rsidRDefault="00E67C6E">
      <w:pPr>
        <w:spacing w:after="3"/>
        <w:ind w:left="165" w:right="865"/>
      </w:pPr>
      <w:r>
        <w:rPr>
          <w:b/>
        </w:rPr>
        <w:t>Запросы с длинным хвостом (longtail-запросы)</w:t>
      </w:r>
      <w:r>
        <w:t>. Инструменты по работе с ключевыми словами плохо справляются с обработкой специфических (longtail) запросов. В примере указан запрос: «кофе-</w:t>
      </w:r>
      <w:r>
        <w:t xml:space="preserve">машина не включается», однако в разделе «Keyword ideas» указаны не совсем релевантные предложения вроде «кофе-машины», «лучшая кофе-машина отзывы». Данный пример подтверждает необходимость в особом подходе к longtail-запросам. </w:t>
      </w:r>
    </w:p>
    <w:p w:rsidR="002C0F56" w:rsidRDefault="00E67C6E">
      <w:pPr>
        <w:spacing w:after="0" w:line="259" w:lineRule="auto"/>
        <w:ind w:left="0" w:right="3569" w:firstLine="0"/>
        <w:jc w:val="center"/>
      </w:pPr>
      <w:r>
        <w:rPr>
          <w:noProof/>
        </w:rPr>
        <w:lastRenderedPageBreak/>
        <w:drawing>
          <wp:inline distT="0" distB="0" distL="0" distR="0">
            <wp:extent cx="3529330" cy="3445510"/>
            <wp:effectExtent l="0" t="0" r="0" b="0"/>
            <wp:docPr id="40496" name="Picture 40496"/>
            <wp:cNvGraphicFramePr/>
            <a:graphic xmlns:a="http://schemas.openxmlformats.org/drawingml/2006/main">
              <a:graphicData uri="http://schemas.openxmlformats.org/drawingml/2006/picture">
                <pic:pic xmlns:pic="http://schemas.openxmlformats.org/drawingml/2006/picture">
                  <pic:nvPicPr>
                    <pic:cNvPr id="40496" name="Picture 40496"/>
                    <pic:cNvPicPr/>
                  </pic:nvPicPr>
                  <pic:blipFill>
                    <a:blip r:embed="rId764"/>
                    <a:stretch>
                      <a:fillRect/>
                    </a:stretch>
                  </pic:blipFill>
                  <pic:spPr>
                    <a:xfrm>
                      <a:off x="0" y="0"/>
                      <a:ext cx="3529330" cy="3445510"/>
                    </a:xfrm>
                    <a:prstGeom prst="rect">
                      <a:avLst/>
                    </a:prstGeom>
                  </pic:spPr>
                </pic:pic>
              </a:graphicData>
            </a:graphic>
          </wp:inline>
        </w:drawing>
      </w:r>
      <w:r>
        <w:t xml:space="preserve"> </w:t>
      </w:r>
    </w:p>
    <w:p w:rsidR="002C0F56" w:rsidRDefault="00E67C6E">
      <w:pPr>
        <w:pStyle w:val="4"/>
        <w:ind w:left="1181" w:right="1378"/>
      </w:pPr>
      <w:r>
        <w:t>Рис.4. Пример ключевых сл</w:t>
      </w:r>
      <w:r>
        <w:t xml:space="preserve">ов к запросу </w:t>
      </w:r>
    </w:p>
    <w:p w:rsidR="002C0F56" w:rsidRDefault="00E67C6E">
      <w:pPr>
        <w:spacing w:after="25" w:line="259" w:lineRule="auto"/>
        <w:ind w:left="740" w:firstLine="0"/>
        <w:jc w:val="left"/>
      </w:pPr>
      <w:r>
        <w:t xml:space="preserve"> </w:t>
      </w:r>
    </w:p>
    <w:p w:rsidR="002C0F56" w:rsidRDefault="00E67C6E">
      <w:pPr>
        <w:ind w:left="165" w:right="302"/>
      </w:pPr>
      <w:r>
        <w:t xml:space="preserve">Другим доказательством важности работы с longtail-запросами является 50% пользователей, задающих вопросы именно такого типа. </w:t>
      </w:r>
    </w:p>
    <w:p w:rsidR="002C0F56" w:rsidRDefault="00E67C6E">
      <w:pPr>
        <w:spacing w:after="0" w:line="259" w:lineRule="auto"/>
        <w:ind w:left="0" w:right="2297" w:firstLine="0"/>
        <w:jc w:val="right"/>
      </w:pPr>
      <w:r>
        <w:rPr>
          <w:noProof/>
        </w:rPr>
        <w:drawing>
          <wp:inline distT="0" distB="0" distL="0" distR="0">
            <wp:extent cx="4809490" cy="2610485"/>
            <wp:effectExtent l="0" t="0" r="0" b="0"/>
            <wp:docPr id="40513" name="Picture 40513"/>
            <wp:cNvGraphicFramePr/>
            <a:graphic xmlns:a="http://schemas.openxmlformats.org/drawingml/2006/main">
              <a:graphicData uri="http://schemas.openxmlformats.org/drawingml/2006/picture">
                <pic:pic xmlns:pic="http://schemas.openxmlformats.org/drawingml/2006/picture">
                  <pic:nvPicPr>
                    <pic:cNvPr id="40513" name="Picture 40513"/>
                    <pic:cNvPicPr/>
                  </pic:nvPicPr>
                  <pic:blipFill>
                    <a:blip r:embed="rId765"/>
                    <a:stretch>
                      <a:fillRect/>
                    </a:stretch>
                  </pic:blipFill>
                  <pic:spPr>
                    <a:xfrm>
                      <a:off x="0" y="0"/>
                      <a:ext cx="4809490" cy="2610485"/>
                    </a:xfrm>
                    <a:prstGeom prst="rect">
                      <a:avLst/>
                    </a:prstGeom>
                  </pic:spPr>
                </pic:pic>
              </a:graphicData>
            </a:graphic>
          </wp:inline>
        </w:drawing>
      </w:r>
      <w:r>
        <w:t xml:space="preserve"> </w:t>
      </w:r>
    </w:p>
    <w:p w:rsidR="002C0F56" w:rsidRDefault="00E67C6E">
      <w:pPr>
        <w:pStyle w:val="4"/>
        <w:ind w:left="1181" w:right="1380"/>
      </w:pPr>
      <w:r>
        <w:t xml:space="preserve">Рис. 5. Распределение запросов пользователей </w:t>
      </w:r>
    </w:p>
    <w:p w:rsidR="002C0F56" w:rsidRDefault="00E67C6E">
      <w:pPr>
        <w:spacing w:after="0" w:line="259" w:lineRule="auto"/>
        <w:ind w:left="740" w:firstLine="0"/>
        <w:jc w:val="left"/>
      </w:pPr>
      <w:r>
        <w:t xml:space="preserve"> </w:t>
      </w:r>
    </w:p>
    <w:p w:rsidR="002C0F56" w:rsidRDefault="00E67C6E">
      <w:pPr>
        <w:ind w:left="165" w:right="863"/>
      </w:pPr>
      <w:r>
        <w:t>Таким образом, отвечая на вопрос «как сделать так, чтобы голосовой ассистент стал проводником между запросом клиента и целевым сайтом» и исходя из современных тенденций и особенностей голосового поиска, при подготовке сайта к голосовому поиску можно исполь</w:t>
      </w:r>
      <w:r>
        <w:t xml:space="preserve">зовать следующие инструменты: </w:t>
      </w:r>
    </w:p>
    <w:p w:rsidR="002C0F56" w:rsidRDefault="00E67C6E">
      <w:pPr>
        <w:numPr>
          <w:ilvl w:val="0"/>
          <w:numId w:val="115"/>
        </w:numPr>
        <w:spacing w:after="62"/>
        <w:ind w:right="865"/>
      </w:pPr>
      <w:r>
        <w:rPr>
          <w:b/>
        </w:rPr>
        <w:lastRenderedPageBreak/>
        <w:t>Расширение семантического ядра</w:t>
      </w:r>
      <w:r>
        <w:t xml:space="preserve"> за счет низкочастотных </w:t>
      </w:r>
      <w:r>
        <w:rPr>
          <w:b/>
        </w:rPr>
        <w:t>запросов с длинным хвостом (longtail)</w:t>
      </w:r>
      <w:r>
        <w:t>, используя специальные SEO-сервисы наподобие Serpstat и SE Ranking. Их базы агрегируют ключевые слова из Яндекс.Вордстата, Google Adw</w:t>
      </w:r>
      <w:r>
        <w:t xml:space="preserve">ords, а также парсят поисковые подсказки Яндекс, Google, Yahoo.  </w:t>
      </w:r>
    </w:p>
    <w:p w:rsidR="002C0F56" w:rsidRDefault="00E67C6E">
      <w:pPr>
        <w:numPr>
          <w:ilvl w:val="0"/>
          <w:numId w:val="115"/>
        </w:numPr>
        <w:spacing w:after="61"/>
        <w:ind w:right="865"/>
      </w:pPr>
      <w:r>
        <w:rPr>
          <w:b/>
        </w:rPr>
        <w:t>Вопросительные фразы</w:t>
      </w:r>
      <w:r>
        <w:t>.  В 27% процентах случаев пользователи что-то спрашивают у поисковой системы. Подстроится под эту особенность поможет специальное наполнение – раздел «Вопрос-ответ» (FAQ</w:t>
      </w:r>
      <w:r>
        <w:t xml:space="preserve">) или справочный центр на сайте. </w:t>
      </w:r>
    </w:p>
    <w:p w:rsidR="002C0F56" w:rsidRDefault="00E67C6E">
      <w:pPr>
        <w:numPr>
          <w:ilvl w:val="0"/>
          <w:numId w:val="115"/>
        </w:numPr>
        <w:spacing w:after="60"/>
        <w:ind w:right="865"/>
      </w:pPr>
      <w:r>
        <w:rPr>
          <w:b/>
        </w:rPr>
        <w:t>Микроразметка и карта сайта</w:t>
      </w:r>
      <w:r>
        <w:t>. Для того, чтобы структурировать микроданные (адрес компании, номера телефона, цены), следует использовать микроразметку ресурса Shema.org. Локальный SEO, позволяющий увеличить доступность инфор</w:t>
      </w:r>
      <w:r>
        <w:t xml:space="preserve">мации на сайте для голосовых ассистентов, предполагает добавление акутальных контактных данных, схемы проезда. </w:t>
      </w:r>
    </w:p>
    <w:p w:rsidR="002C0F56" w:rsidRDefault="00E67C6E">
      <w:pPr>
        <w:numPr>
          <w:ilvl w:val="0"/>
          <w:numId w:val="115"/>
        </w:numPr>
        <w:ind w:right="865"/>
      </w:pPr>
      <w:r>
        <w:rPr>
          <w:b/>
        </w:rPr>
        <w:t>Мобильность</w:t>
      </w:r>
      <w:r>
        <w:t>. Рост мобильного траффика был отмечен всеми SEOаналитиками. Для начала стоит проверить адаптированность сайта для мобильных устройст</w:t>
      </w:r>
      <w:r>
        <w:t xml:space="preserve">в с помощью сервиса Google Mobile Friendly. Затем проверить, на каких позициях находится сайт в мобильной выдаче. </w:t>
      </w:r>
    </w:p>
    <w:p w:rsidR="002C0F56" w:rsidRDefault="00E67C6E">
      <w:pPr>
        <w:ind w:left="165" w:right="647"/>
      </w:pPr>
      <w:r>
        <w:t xml:space="preserve">Вполне вероятно, что в 2017 голосовой поиск повторит успех мобильного – и отметит начало новой эпохи SEO. </w:t>
      </w:r>
    </w:p>
    <w:p w:rsidR="002C0F56" w:rsidRDefault="00E67C6E">
      <w:pPr>
        <w:spacing w:after="21" w:line="259" w:lineRule="auto"/>
        <w:ind w:left="740" w:firstLine="0"/>
        <w:jc w:val="left"/>
      </w:pPr>
      <w:r>
        <w:t xml:space="preserve"> </w:t>
      </w:r>
    </w:p>
    <w:p w:rsidR="002C0F56" w:rsidRDefault="00E67C6E">
      <w:pPr>
        <w:spacing w:after="15" w:line="268" w:lineRule="auto"/>
        <w:ind w:left="1262" w:right="1380" w:hanging="10"/>
        <w:jc w:val="center"/>
      </w:pPr>
      <w:r>
        <w:t xml:space="preserve">Список литературы: </w:t>
      </w:r>
    </w:p>
    <w:p w:rsidR="002C0F56" w:rsidRDefault="00E67C6E">
      <w:pPr>
        <w:numPr>
          <w:ilvl w:val="0"/>
          <w:numId w:val="116"/>
        </w:numPr>
        <w:ind w:right="302"/>
      </w:pPr>
      <w:r>
        <w:t>5 ways voice</w:t>
      </w:r>
      <w:r>
        <w:t xml:space="preserve"> search will affect SEO in 2017 // thenextweb.com </w:t>
      </w:r>
    </w:p>
    <w:p w:rsidR="002C0F56" w:rsidRDefault="00E67C6E">
      <w:pPr>
        <w:tabs>
          <w:tab w:val="center" w:pos="4081"/>
          <w:tab w:val="center" w:pos="6685"/>
          <w:tab w:val="center" w:pos="9319"/>
        </w:tabs>
        <w:spacing w:after="12"/>
        <w:ind w:left="0" w:firstLine="0"/>
        <w:jc w:val="left"/>
      </w:pPr>
      <w:r>
        <w:t xml:space="preserve">[Электронный </w:t>
      </w:r>
      <w:r>
        <w:tab/>
        <w:t xml:space="preserve">ресурс]. </w:t>
      </w:r>
      <w:r>
        <w:tab/>
        <w:t xml:space="preserve">Режим </w:t>
      </w:r>
      <w:r>
        <w:tab/>
        <w:t xml:space="preserve">доступа: </w:t>
      </w:r>
    </w:p>
    <w:p w:rsidR="002C0F56" w:rsidRDefault="00E67C6E">
      <w:pPr>
        <w:spacing w:after="12"/>
        <w:ind w:left="165" w:right="302" w:firstLine="0"/>
      </w:pPr>
      <w:hyperlink r:id="rId766" w:anchor=".tnw_HWRXL7UA">
        <w:r>
          <w:t>https</w:t>
        </w:r>
      </w:hyperlink>
      <w:hyperlink r:id="rId767" w:anchor=".tnw_HWRXL7UA">
        <w:r>
          <w:t>://</w:t>
        </w:r>
      </w:hyperlink>
      <w:hyperlink r:id="rId768" w:anchor=".tnw_HWRXL7UA">
        <w:r>
          <w:t>thenextweb</w:t>
        </w:r>
      </w:hyperlink>
      <w:hyperlink r:id="rId769" w:anchor=".tnw_HWRXL7UA">
        <w:r>
          <w:t>.</w:t>
        </w:r>
      </w:hyperlink>
      <w:hyperlink r:id="rId770" w:anchor=".tnw_HWRXL7UA">
        <w:r>
          <w:t>com</w:t>
        </w:r>
      </w:hyperlink>
      <w:hyperlink r:id="rId771" w:anchor=".tnw_HWRXL7UA">
        <w:r>
          <w:t>/</w:t>
        </w:r>
      </w:hyperlink>
      <w:hyperlink r:id="rId772" w:anchor=".tnw_HWRXL7UA">
        <w:r>
          <w:t>insider</w:t>
        </w:r>
      </w:hyperlink>
      <w:hyperlink r:id="rId773" w:anchor=".tnw_HWRXL7UA">
        <w:r>
          <w:t>/2017/03/14/5</w:t>
        </w:r>
      </w:hyperlink>
      <w:hyperlink r:id="rId774" w:anchor=".tnw_HWRXL7UA">
        <w:r>
          <w:t>-</w:t>
        </w:r>
      </w:hyperlink>
      <w:hyperlink r:id="rId775" w:anchor=".tnw_HWRXL7UA">
        <w:r>
          <w:t>ways</w:t>
        </w:r>
      </w:hyperlink>
      <w:hyperlink r:id="rId776" w:anchor=".tnw_HWRXL7UA">
        <w:r>
          <w:t>-</w:t>
        </w:r>
      </w:hyperlink>
      <w:hyperlink r:id="rId777" w:anchor=".tnw_HWRXL7UA">
        <w:r>
          <w:t>voice</w:t>
        </w:r>
      </w:hyperlink>
      <w:hyperlink r:id="rId778" w:anchor=".tnw_HWRXL7UA">
        <w:r>
          <w:t>-</w:t>
        </w:r>
      </w:hyperlink>
      <w:hyperlink r:id="rId779" w:anchor=".tnw_HWRXL7UA">
        <w:r>
          <w:t>search</w:t>
        </w:r>
      </w:hyperlink>
      <w:hyperlink r:id="rId780" w:anchor=".tnw_HWRXL7UA">
        <w:r>
          <w:t>-</w:t>
        </w:r>
      </w:hyperlink>
      <w:hyperlink r:id="rId781" w:anchor=".tnw_HWRXL7UA">
        <w:r>
          <w:t>will</w:t>
        </w:r>
      </w:hyperlink>
      <w:hyperlink r:id="rId782" w:anchor=".tnw_HWRXL7UA">
        <w:r>
          <w:t>-</w:t>
        </w:r>
      </w:hyperlink>
      <w:hyperlink r:id="rId783" w:anchor=".tnw_HWRXL7UA">
        <w:r>
          <w:t>affect</w:t>
        </w:r>
      </w:hyperlink>
      <w:hyperlink r:id="rId784" w:anchor=".tnw_HWRXL7UA">
        <w:r>
          <w:t>-</w:t>
        </w:r>
      </w:hyperlink>
      <w:hyperlink r:id="rId785" w:anchor=".tnw_HWRXL7UA">
        <w:r>
          <w:t>seo</w:t>
        </w:r>
      </w:hyperlink>
      <w:hyperlink r:id="rId786" w:anchor=".tnw_HWRXL7UA">
        <w:r>
          <w:t>-</w:t>
        </w:r>
      </w:hyperlink>
    </w:p>
    <w:p w:rsidR="002C0F56" w:rsidRDefault="00E67C6E">
      <w:pPr>
        <w:spacing w:after="12"/>
        <w:ind w:left="165" w:right="302" w:firstLine="0"/>
      </w:pPr>
      <w:hyperlink r:id="rId787" w:anchor=".tnw_HWRXL7UA">
        <w:r>
          <w:t>2017/</w:t>
        </w:r>
      </w:hyperlink>
      <w:hyperlink r:id="rId788" w:anchor=".tnw_HWRXL7UA">
        <w:r>
          <w:t>.</w:t>
        </w:r>
      </w:hyperlink>
      <w:r>
        <w:t xml:space="preserve"> Дата доступа: 24.03.2017 </w:t>
      </w:r>
    </w:p>
    <w:p w:rsidR="002C0F56" w:rsidRDefault="00E67C6E">
      <w:pPr>
        <w:numPr>
          <w:ilvl w:val="0"/>
          <w:numId w:val="116"/>
        </w:numPr>
        <w:spacing w:after="12"/>
        <w:ind w:right="302"/>
      </w:pPr>
      <w:r>
        <w:t xml:space="preserve">20 percent </w:t>
      </w:r>
      <w:r>
        <w:t xml:space="preserve">of mobile queries are voice searches // Search Engine Land </w:t>
      </w:r>
    </w:p>
    <w:p w:rsidR="002C0F56" w:rsidRDefault="00E67C6E">
      <w:pPr>
        <w:ind w:left="165" w:right="302" w:firstLine="0"/>
      </w:pPr>
      <w:r>
        <w:t xml:space="preserve">[Электронный ресурс]. Режим доступа: </w:t>
      </w:r>
      <w:hyperlink r:id="rId789">
        <w:r>
          <w:t>http</w:t>
        </w:r>
      </w:hyperlink>
      <w:hyperlink r:id="rId790">
        <w:r>
          <w:t>://</w:t>
        </w:r>
      </w:hyperlink>
      <w:hyperlink r:id="rId791">
        <w:r>
          <w:t>searchengineland</w:t>
        </w:r>
      </w:hyperlink>
      <w:hyperlink r:id="rId792">
        <w:r>
          <w:t>.</w:t>
        </w:r>
      </w:hyperlink>
      <w:hyperlink r:id="rId793">
        <w:r>
          <w:t>com</w:t>
        </w:r>
      </w:hyperlink>
      <w:hyperlink r:id="rId794">
        <w:r>
          <w:t>/</w:t>
        </w:r>
      </w:hyperlink>
      <w:hyperlink r:id="rId795">
        <w:r>
          <w:t>google</w:t>
        </w:r>
      </w:hyperlink>
      <w:hyperlink r:id="rId796"/>
      <w:hyperlink r:id="rId797">
        <w:r>
          <w:t>reveals</w:t>
        </w:r>
      </w:hyperlink>
      <w:hyperlink r:id="rId798">
        <w:r>
          <w:t>-</w:t>
        </w:r>
      </w:hyperlink>
      <w:hyperlink r:id="rId799">
        <w:r>
          <w:t>20</w:t>
        </w:r>
      </w:hyperlink>
      <w:hyperlink r:id="rId800">
        <w:r>
          <w:t>-</w:t>
        </w:r>
      </w:hyperlink>
      <w:hyperlink r:id="rId801">
        <w:r>
          <w:t>percent</w:t>
        </w:r>
      </w:hyperlink>
      <w:hyperlink r:id="rId802">
        <w:r>
          <w:t>-</w:t>
        </w:r>
      </w:hyperlink>
      <w:hyperlink r:id="rId803">
        <w:r>
          <w:t>queries</w:t>
        </w:r>
      </w:hyperlink>
      <w:hyperlink r:id="rId804">
        <w:r>
          <w:t>-</w:t>
        </w:r>
      </w:hyperlink>
      <w:hyperlink r:id="rId805">
        <w:r>
          <w:t>voice</w:t>
        </w:r>
      </w:hyperlink>
      <w:hyperlink r:id="rId806">
        <w:r>
          <w:t>-</w:t>
        </w:r>
      </w:hyperlink>
      <w:hyperlink r:id="rId807">
        <w:r>
          <w:t>queries</w:t>
        </w:r>
      </w:hyperlink>
      <w:hyperlink r:id="rId808">
        <w:r>
          <w:t>-</w:t>
        </w:r>
      </w:hyperlink>
      <w:hyperlink r:id="rId809">
        <w:r>
          <w:t>249917</w:t>
        </w:r>
      </w:hyperlink>
      <w:hyperlink r:id="rId810">
        <w:r>
          <w:t>.</w:t>
        </w:r>
      </w:hyperlink>
      <w:r>
        <w:t xml:space="preserve"> Дата доступа: 24.03.2017. </w:t>
      </w:r>
    </w:p>
    <w:p w:rsidR="002C0F56" w:rsidRDefault="00E67C6E">
      <w:pPr>
        <w:numPr>
          <w:ilvl w:val="0"/>
          <w:numId w:val="116"/>
        </w:numPr>
        <w:spacing w:after="7"/>
        <w:ind w:right="302"/>
      </w:pPr>
      <w:r>
        <w:t xml:space="preserve">Почему голосовой поиск — главный тренд 2017 // Spark.ru [Электронный ресурс]. Режим доступа: </w:t>
      </w:r>
      <w:hyperlink r:id="rId811">
        <w:r>
          <w:t>https://spark.ru/startup/se</w:t>
        </w:r>
      </w:hyperlink>
      <w:hyperlink r:id="rId812"/>
      <w:hyperlink r:id="rId813">
        <w:r>
          <w:t>ranking/blog/19483/pochemu</w:t>
        </w:r>
      </w:hyperlink>
      <w:hyperlink r:id="rId814">
        <w:r>
          <w:t>-</w:t>
        </w:r>
      </w:hyperlink>
      <w:hyperlink r:id="rId815">
        <w:r>
          <w:t>golosovoj</w:t>
        </w:r>
      </w:hyperlink>
      <w:hyperlink r:id="rId816">
        <w:r>
          <w:t>-</w:t>
        </w:r>
      </w:hyperlink>
      <w:hyperlink r:id="rId817">
        <w:r>
          <w:t>poisk</w:t>
        </w:r>
      </w:hyperlink>
      <w:hyperlink r:id="rId818">
        <w:r>
          <w:t>-</w:t>
        </w:r>
      </w:hyperlink>
      <w:hyperlink r:id="rId819">
        <w:r>
          <w:t>glavnij</w:t>
        </w:r>
      </w:hyperlink>
      <w:hyperlink r:id="rId820">
        <w:r>
          <w:t>-</w:t>
        </w:r>
      </w:hyperlink>
      <w:hyperlink r:id="rId821">
        <w:r>
          <w:t>tren</w:t>
        </w:r>
        <w:r>
          <w:t>d</w:t>
        </w:r>
      </w:hyperlink>
      <w:hyperlink r:id="rId822">
        <w:r>
          <w:t>-</w:t>
        </w:r>
      </w:hyperlink>
      <w:hyperlink r:id="rId823">
        <w:r>
          <w:t>2017</w:t>
        </w:r>
      </w:hyperlink>
      <w:hyperlink r:id="rId824">
        <w:r>
          <w:t>.</w:t>
        </w:r>
      </w:hyperlink>
      <w:r>
        <w:t xml:space="preserve"> Дата доступа: </w:t>
      </w:r>
    </w:p>
    <w:p w:rsidR="002C0F56" w:rsidRDefault="00E67C6E">
      <w:pPr>
        <w:spacing w:after="12"/>
        <w:ind w:left="165" w:right="302" w:firstLine="0"/>
      </w:pPr>
      <w:r>
        <w:t xml:space="preserve">24.03.2017 </w:t>
      </w:r>
    </w:p>
    <w:p w:rsidR="002C0F56" w:rsidRDefault="00E67C6E">
      <w:pPr>
        <w:spacing w:after="0" w:line="259" w:lineRule="auto"/>
        <w:ind w:left="744" w:firstLine="0"/>
        <w:jc w:val="left"/>
      </w:pPr>
      <w:r>
        <w:rPr>
          <w:b/>
          <w:i/>
        </w:rPr>
        <w:t xml:space="preserve"> </w:t>
      </w:r>
    </w:p>
    <w:p w:rsidR="002C0F56" w:rsidRDefault="00E67C6E">
      <w:pPr>
        <w:spacing w:after="27" w:line="259" w:lineRule="auto"/>
        <w:ind w:left="744" w:firstLine="0"/>
        <w:jc w:val="left"/>
      </w:pPr>
      <w:r>
        <w:rPr>
          <w:b/>
          <w:i/>
        </w:rPr>
        <w:t xml:space="preserve"> </w:t>
      </w:r>
    </w:p>
    <w:p w:rsidR="002C0F56" w:rsidRDefault="00E67C6E">
      <w:pPr>
        <w:pStyle w:val="1"/>
        <w:spacing w:after="25" w:line="259" w:lineRule="auto"/>
        <w:ind w:right="856"/>
        <w:jc w:val="right"/>
      </w:pPr>
      <w:r>
        <w:t xml:space="preserve">Коссе В. В. </w:t>
      </w:r>
      <w:r>
        <w:rPr>
          <w:b w:val="0"/>
        </w:rPr>
        <w:t xml:space="preserve">Научный руководитель: Корзун В.Е. </w:t>
      </w:r>
    </w:p>
    <w:p w:rsidR="002C0F56" w:rsidRDefault="00E67C6E">
      <w:pPr>
        <w:spacing w:after="0" w:line="267" w:lineRule="auto"/>
        <w:ind w:left="905" w:right="860" w:hanging="10"/>
        <w:jc w:val="right"/>
      </w:pPr>
      <w:r>
        <w:rPr>
          <w:i/>
        </w:rPr>
        <w:t xml:space="preserve">Донецкий техникум химических технологий и фармации </w:t>
      </w:r>
    </w:p>
    <w:p w:rsidR="002C0F56" w:rsidRDefault="00E67C6E">
      <w:pPr>
        <w:spacing w:after="29" w:line="259" w:lineRule="auto"/>
        <w:ind w:left="744" w:firstLine="0"/>
        <w:jc w:val="left"/>
      </w:pPr>
      <w:r>
        <w:rPr>
          <w:i/>
        </w:rPr>
        <w:t xml:space="preserve"> </w:t>
      </w:r>
    </w:p>
    <w:p w:rsidR="002C0F56" w:rsidRDefault="00E67C6E">
      <w:pPr>
        <w:pStyle w:val="1"/>
        <w:ind w:left="700" w:right="1378"/>
      </w:pPr>
      <w:r>
        <w:lastRenderedPageBreak/>
        <w:t xml:space="preserve">МОДА ИЛИ ПРИРОДА? </w:t>
      </w:r>
    </w:p>
    <w:p w:rsidR="002C0F56" w:rsidRDefault="00E67C6E">
      <w:pPr>
        <w:spacing w:after="25" w:line="259" w:lineRule="auto"/>
        <w:ind w:left="744" w:firstLine="0"/>
        <w:jc w:val="left"/>
      </w:pPr>
      <w:r>
        <w:rPr>
          <w:b/>
        </w:rPr>
        <w:t xml:space="preserve"> </w:t>
      </w:r>
    </w:p>
    <w:p w:rsidR="002C0F56" w:rsidRDefault="00E67C6E">
      <w:pPr>
        <w:spacing w:after="0"/>
        <w:ind w:left="165" w:right="302"/>
      </w:pPr>
      <w:r>
        <w:t xml:space="preserve">Одежда из меха норки, лисы, песца и других зверей – все эти шубы и полушубки, оторочки и воротники нравятся многим женщинам. Считается, что облачиться в меховую шубу – значит, утеплиться и украсить себя, придать облику определенную статусность. </w:t>
      </w:r>
    </w:p>
    <w:p w:rsidR="002C0F56" w:rsidRDefault="00E67C6E">
      <w:pPr>
        <w:spacing w:after="2"/>
        <w:ind w:left="165" w:right="870"/>
      </w:pPr>
      <w:r>
        <w:t>Кожа - оди</w:t>
      </w:r>
      <w:r>
        <w:t xml:space="preserve">н из наиболее широко используемых материалов сегодня. От обуви до сумочек и оформления автомобилей. Она используется в таком количестве отраслей и так легко доступна, что насилие, которое сопровождает весь процесс ее получения, остается незамеченным.[1] </w:t>
      </w:r>
    </w:p>
    <w:p w:rsidR="002C0F56" w:rsidRDefault="00E67C6E">
      <w:pPr>
        <w:ind w:left="165" w:right="868"/>
      </w:pPr>
      <w:r>
        <w:t>П</w:t>
      </w:r>
      <w:r>
        <w:t xml:space="preserve">роблема:  Кожаная и меховая отрасль ответственна за убийство животных, эксплуатацию людей, растранжиривание  ресурсов и отравление окружающей среды. </w:t>
      </w:r>
    </w:p>
    <w:p w:rsidR="002C0F56" w:rsidRDefault="00E67C6E">
      <w:pPr>
        <w:ind w:left="165" w:right="864"/>
      </w:pPr>
      <w:r>
        <w:t>На зверофермах лисы, норки, еноты живут в тесных клетках с решётчатым полом, который режет им лапы. Единст</w:t>
      </w:r>
      <w:r>
        <w:t xml:space="preserve">венное их занятие - ходить взад-вперёд, пытаясь избавиться от скуки и стресса. </w:t>
      </w:r>
    </w:p>
    <w:p w:rsidR="002C0F56" w:rsidRDefault="00E67C6E">
      <w:pPr>
        <w:spacing w:after="11"/>
        <w:ind w:left="165" w:right="874"/>
      </w:pPr>
      <w:r>
        <w:t>Эти зверьки не могут ни карабкаться, ни рыть землю, ни купаться, в то время как в природе они проводят много времени в воде или на берегу. На зверофермах они содержатся по двое</w:t>
      </w:r>
      <w:r>
        <w:t xml:space="preserve">, трое, а то и четверо в маленькой клетке.  </w:t>
      </w:r>
    </w:p>
    <w:p w:rsidR="002C0F56" w:rsidRDefault="00E67C6E">
      <w:pPr>
        <w:spacing w:after="0"/>
        <w:ind w:left="165" w:right="868"/>
      </w:pPr>
      <w:r>
        <w:t>Воздух, которым дышат эти животные, отравлен постоянными испарениями фекалий и мочи, собирающимися под клетками. Замкнутое пространство, теснота, грязь приводят к тому, что у животных развивается невротическое с</w:t>
      </w:r>
      <w:r>
        <w:t>остояние. Они сами себя грызут, царапают, находясь в постоянном перевозбуждении, либо впадают в апатию. Гигиенические условия зачастую невыносимы: чистка клеток производится символически и совершенно недостаточна. К этим жалким условиям добавляется "подоба</w:t>
      </w:r>
      <w:r>
        <w:t xml:space="preserve">ющее" обращение. Например, для того, чтобы взять кровь на анализ, норкам отрезают пальчик. Эти звери всего лишь безликие единицы, находящиеся в пожизненном заключении на фабрике смерти.[2] </w:t>
      </w:r>
    </w:p>
    <w:p w:rsidR="002C0F56" w:rsidRDefault="00E67C6E">
      <w:pPr>
        <w:spacing w:after="0"/>
        <w:ind w:left="165" w:right="872"/>
      </w:pPr>
      <w:r>
        <w:t>Летом животным, содержащимся на зверофермах, особенно тяжело, пото</w:t>
      </w:r>
      <w:r>
        <w:t>му что клетки, в которых содержатся звери, не теплоизолированы. Таким образом, они могут производить эффект духовки. Около 10% животных умирают от жары. Тысячи норок, лисиц, песцов, шиншилл и других животных сначала страдают от тошноты, затем, изнурённые п</w:t>
      </w:r>
      <w:r>
        <w:t xml:space="preserve">еклом, умирают. </w:t>
      </w:r>
    </w:p>
    <w:p w:rsidR="002C0F56" w:rsidRDefault="00E67C6E">
      <w:pPr>
        <w:ind w:left="165" w:right="869"/>
      </w:pPr>
      <w:r>
        <w:t>Для убоя животных используют самые жестокие методы. Например, пропускание тока через задний проход или половые органы. Находясь в полном сознании, животные умирают от сердечного приступа. Другие методы убоя включают отравление газом, инъек</w:t>
      </w:r>
      <w:r>
        <w:t xml:space="preserve">ции яда и парализующих веществ, перелом шейных позвонков или черепа, удушение. Иногда животных слегка оглушают, и </w:t>
      </w:r>
      <w:r>
        <w:lastRenderedPageBreak/>
        <w:t>с ещё живых сдирают шкуры. Кожа - шкура животного, которая было снята с него путем убийства ради прибыли. Нет никакого способа нравственно опр</w:t>
      </w:r>
      <w:r>
        <w:t xml:space="preserve">авдать это действие. Уточним:  вопреки широко распространенному мнению, кожа - это не побочный продукт мясной промышленности. Это - самостоятельная многомиллиардная отрасль, которая разрастается, несмотря на растущее число веганов. </w:t>
      </w:r>
    </w:p>
    <w:p w:rsidR="002C0F56" w:rsidRDefault="00E67C6E">
      <w:pPr>
        <w:ind w:left="165" w:right="302"/>
      </w:pPr>
      <w:r>
        <w:t>Индия - третий по велич</w:t>
      </w:r>
      <w:r>
        <w:t>ине производитель кожи в мире. Поскольку ее население составляют в преобладающем большинстве вегетарианцы, и, как известно, коровы там занимают особое священное место, это довольно удивительно. Помимо этого, Индия - также один из мировых лидеров по произво</w:t>
      </w:r>
      <w:r>
        <w:t>дству молочным продуктов, и много людей вовлечено в выращивание коров в системе молочного бизнеса. Эти фермеры не могут позволить себе содержать коров, как только их производительность уменьшается. В итоге они продают их людям, которые находят способ их уб</w:t>
      </w:r>
      <w:r>
        <w:t>ить. В стране предусмотрено всего несколько случаев, когда разрешено убивать корову. Поэтому этих несчастных животных заставляют идти сотни миль к местам, где они могут быть по закону убиты. Они вынуждены идти по жаре без еды и воды, а когда они слишком вы</w:t>
      </w:r>
      <w:r>
        <w:t>мотаны и не могут продолжать движение, им переламывают кости в хвосте, засыпают чили перец или табак в их глаза - так их заставляют идти. Животные, транспортируемые в грузовиках, тоже не выигрывают. Грузовики переполнены. Во время поездки многие животные п</w:t>
      </w:r>
      <w:r>
        <w:t>огибают или получают тяжелые ранения рожками других животных. Многие думают, что об этих животных хорошо заботятся до момента их продажи палачам, и многие даже не принимают того факта, что они были использованы, как товар, и убиты молодыми. Если вы побывае</w:t>
      </w:r>
      <w:r>
        <w:t xml:space="preserve">те на индийской ферме, то увидите, что эти животные содержится в атмосфере каменного века по колено в фекалиях. Именно оттуда по миру растекается большая часть кожаных изделий.[3] </w:t>
      </w:r>
    </w:p>
    <w:p w:rsidR="002C0F56" w:rsidRDefault="00E67C6E">
      <w:pPr>
        <w:spacing w:after="3"/>
        <w:ind w:left="165" w:right="865"/>
      </w:pPr>
      <w:r>
        <w:t>Коровы составляют 65% животных, уничтожаемых ради кожи.  Козы, овцы, аллига</w:t>
      </w:r>
      <w:r>
        <w:t xml:space="preserve">торы, кенгуру, страусы, олени и буйволы также выращиваются ради кожи. Даже экзотических животных разводят на кожевенных фермах в таких же условиях, как и коров, что часто скрывается. </w:t>
      </w:r>
    </w:p>
    <w:p w:rsidR="002C0F56" w:rsidRDefault="00E67C6E">
      <w:pPr>
        <w:ind w:left="165" w:right="868"/>
      </w:pPr>
      <w:r>
        <w:t>Производство кожи чрезвычайно интенсивно использует ресурсы. Энергия, тр</w:t>
      </w:r>
      <w:r>
        <w:t xml:space="preserve">ебуемая создать кожаный товар, в 20 раз больше чем та, что требуется для создания аналогичного товара из синтетического материала. Поскольку отрасль требует повышения количества животных на убой, колоссальная энергия используется, чтобы пополнить их ряды, </w:t>
      </w:r>
      <w:r>
        <w:t>транспортировать им еду и, в конечном счете, самих животных, чтобы убить сотни тысяч из них, убирать отходы за ними и так далее. Если сложить все затраты, то получается, что приблизительно 8000 литров воды требуются, чтобы произвести одну пару кожаной обув</w:t>
      </w:r>
      <w:r>
        <w:t xml:space="preserve">и. </w:t>
      </w:r>
    </w:p>
    <w:p w:rsidR="002C0F56" w:rsidRDefault="00E67C6E">
      <w:pPr>
        <w:spacing w:after="0"/>
        <w:ind w:left="165" w:right="869"/>
      </w:pPr>
      <w:r>
        <w:t xml:space="preserve">Кожа - </w:t>
      </w:r>
      <w:r>
        <w:t xml:space="preserve">шкура мертвого животного, которая начнет разлагаться. Чтобы препятствовать этому естественному процессу, часто используются вредные </w:t>
      </w:r>
      <w:r>
        <w:lastRenderedPageBreak/>
        <w:t>химикаты, которые включают соли шестивалентного хрома, анилин, краски, цианид, формальдегид, танин, растворители и прочее. Э</w:t>
      </w:r>
      <w:r>
        <w:t xml:space="preserve">ти химикаты просачиваются в почву вокруг кожевенных фабрик, загрязняя растительность, реки и озера, и отравляя тех, кто зависит от них - животных и людей. </w:t>
      </w:r>
    </w:p>
    <w:p w:rsidR="002C0F56" w:rsidRDefault="00E67C6E">
      <w:pPr>
        <w:spacing w:after="0"/>
        <w:ind w:left="165" w:right="874"/>
      </w:pPr>
      <w:r>
        <w:t>Альтернатива: Мы живем в 21 веке. Многие производители давно отказались от жестокой и эгоистичной пр</w:t>
      </w:r>
      <w:r>
        <w:t>актики производства кожаных изделий. Синтетические материалы способствуют намного меньшему загрязнению и значительно экономят энергию. Растительные материалы и возобновляемые структуры, такие как, пробка, древесина, хлопок, полотно, бамбук становятся все д</w:t>
      </w:r>
      <w:r>
        <w:t xml:space="preserve">оступнее. Прежде, чем купить любой предмет одежды, обуви или другой товар, удостоверьтесь, что из-за него не пострадали животные, люди и планета. </w:t>
      </w:r>
    </w:p>
    <w:p w:rsidR="002C0F56" w:rsidRDefault="00E67C6E">
      <w:pPr>
        <w:spacing w:after="0"/>
        <w:ind w:left="165" w:right="866"/>
      </w:pPr>
      <w:r>
        <w:t>Многие известные дизайнеры полностью отказались от натурального меха и кожи, и все чаще обращаются к изделиям</w:t>
      </w:r>
      <w:r>
        <w:t xml:space="preserve"> из искусственного меха и кожи, поднимая престиж этих материалов и борясь за сохранение жизни животных. Это вполне понятно и легко объяснимо: искусственный мех практически ничем не уступает по своему внешнему виду и прочности натуральному, он более доступе</w:t>
      </w:r>
      <w:r>
        <w:t xml:space="preserve">н по цене. Кроме того, с помощью искусственного меха гораздо проще подчеркнуть свою индивидуальность и воплотить самые яркие свои фантазии.   </w:t>
      </w:r>
    </w:p>
    <w:p w:rsidR="002C0F56" w:rsidRDefault="00E67C6E">
      <w:pPr>
        <w:ind w:left="165" w:right="869"/>
      </w:pPr>
      <w:r>
        <w:t>Существует альтернативные искусственные материалы которые не уступают  натуральным уступает по своему внешнему ви</w:t>
      </w:r>
      <w:r>
        <w:t xml:space="preserve">ду и прочности натуральному, он более доступен по цене. Вот некоторые из них: </w:t>
      </w:r>
    </w:p>
    <w:p w:rsidR="002C0F56" w:rsidRDefault="00E67C6E">
      <w:pPr>
        <w:spacing w:after="62"/>
        <w:ind w:left="744" w:right="302" w:firstLine="0"/>
      </w:pPr>
      <w:r>
        <w:t xml:space="preserve">Мех: </w:t>
      </w:r>
    </w:p>
    <w:p w:rsidR="002C0F56" w:rsidRDefault="00E67C6E">
      <w:pPr>
        <w:numPr>
          <w:ilvl w:val="0"/>
          <w:numId w:val="117"/>
        </w:numPr>
        <w:spacing w:after="59"/>
        <w:ind w:right="867"/>
      </w:pPr>
      <w:r>
        <w:t>тканый. Изготавливается на ткацких станках обычно двухполотным способом. При этом способе в переплетении используется три нити – основная, уточная и ворсовая. Образуется д</w:t>
      </w:r>
      <w:r>
        <w:t xml:space="preserve">ва полотна (отсюда и название — двухполотный) , соединенных общим ворсом. Затем этот ворс разрезается посередине специальным ножом и на выходе из станка получается два полотна искусственного меха. </w:t>
      </w:r>
    </w:p>
    <w:p w:rsidR="002C0F56" w:rsidRDefault="00E67C6E">
      <w:pPr>
        <w:numPr>
          <w:ilvl w:val="0"/>
          <w:numId w:val="117"/>
        </w:numPr>
        <w:spacing w:after="62"/>
        <w:ind w:right="867"/>
      </w:pPr>
      <w:r>
        <w:t>трикотажный. Этот материал изготавливается на кругловязаль</w:t>
      </w:r>
      <w:r>
        <w:t xml:space="preserve">ных или плосковязальных машинах. В основу петель трикотажа ввязываются пучки ворса из чесаной ленты. Другой способ – вместе с вывязыванием грунта образовываются плюшевые петли. На следующем этапе производства петли разрезаются, образуя ворс. </w:t>
      </w:r>
    </w:p>
    <w:p w:rsidR="002C0F56" w:rsidRDefault="00E67C6E">
      <w:pPr>
        <w:numPr>
          <w:ilvl w:val="0"/>
          <w:numId w:val="117"/>
        </w:numPr>
        <w:spacing w:after="60"/>
        <w:ind w:right="867"/>
      </w:pPr>
      <w:r>
        <w:t xml:space="preserve">тафтинговый. </w:t>
      </w:r>
      <w:r>
        <w:t xml:space="preserve">Другое название – тканепрошивной. Грунтовое полотно прошивают ворсовыми волокнами на тафтинговой машине, в результате чего на обратной стороне образуются ворсовые петли. Петли на следующем этапе разрезаются и получается ворс, который затем выравнивается и </w:t>
      </w:r>
      <w:r>
        <w:t xml:space="preserve">прочесывается; </w:t>
      </w:r>
    </w:p>
    <w:p w:rsidR="002C0F56" w:rsidRDefault="00E67C6E">
      <w:pPr>
        <w:numPr>
          <w:ilvl w:val="0"/>
          <w:numId w:val="117"/>
        </w:numPr>
        <w:ind w:right="867"/>
      </w:pPr>
      <w:r>
        <w:t xml:space="preserve">клеевой. На грунт основы специальным клеем приклеивается завитая особым образом ворсовая нить – синель. </w:t>
      </w:r>
    </w:p>
    <w:p w:rsidR="002C0F56" w:rsidRDefault="00E67C6E">
      <w:pPr>
        <w:spacing w:after="60"/>
        <w:ind w:left="744" w:right="302" w:firstLine="0"/>
      </w:pPr>
      <w:r>
        <w:lastRenderedPageBreak/>
        <w:t xml:space="preserve">Кожа: </w:t>
      </w:r>
    </w:p>
    <w:p w:rsidR="002C0F56" w:rsidRDefault="00E67C6E">
      <w:pPr>
        <w:numPr>
          <w:ilvl w:val="0"/>
          <w:numId w:val="117"/>
        </w:numPr>
        <w:spacing w:after="65"/>
        <w:ind w:right="867"/>
      </w:pPr>
      <w:r>
        <w:t>Экокожа — это вид новой искусственной кожи, не вызывающий аллергических реакций. Принцип ее производства аналогичен кожезамените</w:t>
      </w:r>
      <w:r>
        <w:t xml:space="preserve">лю, но в качестве составляющих используются экологически чистое сырье. Вместо ПВХ, для пленочного покрытия, применяется полиуретан, а основой служит хлопчатобумажная ткань. Благодаря присущим полиуретану свойствам, экокожа представляет собой очень мягкий, </w:t>
      </w:r>
      <w:r>
        <w:t xml:space="preserve">гладкий и приятный на ощупь материал. Он обладает хорошей воздухопроницаемостью и впитывает влагу, что позволяет избежать парникового эффекта, ярко выраженного у дерматина. </w:t>
      </w:r>
    </w:p>
    <w:p w:rsidR="002C0F56" w:rsidRDefault="00E67C6E">
      <w:pPr>
        <w:numPr>
          <w:ilvl w:val="0"/>
          <w:numId w:val="117"/>
        </w:numPr>
        <w:ind w:right="867"/>
      </w:pPr>
      <w:r>
        <w:t>Искусственная кожа (сокращ. искожа, разг. кожзам) — это полимерный материал, приме</w:t>
      </w:r>
      <w:r>
        <w:t xml:space="preserve">няемый вместо натуральной кожи для изготовления обуви, одежды, галантерейных и технических изделий.[4] </w:t>
      </w:r>
    </w:p>
    <w:p w:rsidR="002C0F56" w:rsidRDefault="00E67C6E">
      <w:pPr>
        <w:ind w:left="165" w:right="870"/>
      </w:pPr>
      <w:r>
        <w:t>Вывод:  меховая и  кожаная отрасль ответственна за убийство животных, эксплуатацию людей, растранжиривание  ресурсов и отравление окружающей среды. Не д</w:t>
      </w:r>
      <w:r>
        <w:t xml:space="preserve">опустим же этого!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18"/>
        </w:numPr>
        <w:spacing w:after="12"/>
        <w:ind w:right="302" w:hanging="336"/>
      </w:pPr>
      <w:hyperlink r:id="rId825">
        <w:r>
          <w:t>vegetarianskij</w:t>
        </w:r>
      </w:hyperlink>
      <w:hyperlink r:id="rId826">
        <w:r>
          <w:t>.</w:t>
        </w:r>
      </w:hyperlink>
      <w:hyperlink r:id="rId827">
        <w:r>
          <w:t>ru</w:t>
        </w:r>
      </w:hyperlink>
      <w:hyperlink r:id="rId828">
        <w:r>
          <w:t>/</w:t>
        </w:r>
      </w:hyperlink>
      <w:hyperlink r:id="rId829">
        <w:r>
          <w:t>kak</w:t>
        </w:r>
      </w:hyperlink>
      <w:hyperlink r:id="rId830">
        <w:r>
          <w:t>-</w:t>
        </w:r>
      </w:hyperlink>
      <w:hyperlink r:id="rId831">
        <w:r>
          <w:t>dobyvayut</w:t>
        </w:r>
      </w:hyperlink>
      <w:hyperlink r:id="rId832">
        <w:r>
          <w:t>-</w:t>
        </w:r>
      </w:hyperlink>
      <w:hyperlink r:id="rId833">
        <w:r>
          <w:t>mex</w:t>
        </w:r>
      </w:hyperlink>
      <w:hyperlink r:id="rId834">
        <w:r>
          <w:t>-</w:t>
        </w:r>
      </w:hyperlink>
      <w:hyperlink r:id="rId835">
        <w:r>
          <w:t>dlya</w:t>
        </w:r>
      </w:hyperlink>
      <w:hyperlink r:id="rId836">
        <w:r>
          <w:t>-</w:t>
        </w:r>
      </w:hyperlink>
      <w:hyperlink r:id="rId837">
        <w:r>
          <w:t>shub</w:t>
        </w:r>
      </w:hyperlink>
      <w:hyperlink r:id="rId838">
        <w:r>
          <w:t>-</w:t>
        </w:r>
      </w:hyperlink>
      <w:hyperlink r:id="rId839">
        <w:r>
          <w:t>iz</w:t>
        </w:r>
      </w:hyperlink>
      <w:hyperlink r:id="rId840">
        <w:r>
          <w:t>-</w:t>
        </w:r>
      </w:hyperlink>
      <w:hyperlink r:id="rId841">
        <w:r>
          <w:t>norki</w:t>
        </w:r>
      </w:hyperlink>
      <w:hyperlink r:id="rId842">
        <w:r>
          <w:t>-</w:t>
        </w:r>
      </w:hyperlink>
      <w:hyperlink r:id="rId843">
        <w:r>
          <w:t>lisicy</w:t>
        </w:r>
      </w:hyperlink>
      <w:hyperlink r:id="rId844">
        <w:r>
          <w:t>-</w:t>
        </w:r>
      </w:hyperlink>
      <w:hyperlink r:id="rId845">
        <w:r>
          <w:t>i</w:t>
        </w:r>
      </w:hyperlink>
      <w:hyperlink r:id="rId846">
        <w:r>
          <w:t>-</w:t>
        </w:r>
      </w:hyperlink>
      <w:hyperlink r:id="rId847">
        <w:r>
          <w:t>pesca</w:t>
        </w:r>
      </w:hyperlink>
      <w:hyperlink r:id="rId848">
        <w:r>
          <w:t>/</w:t>
        </w:r>
      </w:hyperlink>
      <w:hyperlink r:id="rId849">
        <w:r>
          <w:t xml:space="preserve"> </w:t>
        </w:r>
      </w:hyperlink>
    </w:p>
    <w:p w:rsidR="002C0F56" w:rsidRDefault="00E67C6E">
      <w:pPr>
        <w:numPr>
          <w:ilvl w:val="0"/>
          <w:numId w:val="118"/>
        </w:numPr>
        <w:ind w:right="302" w:hanging="336"/>
      </w:pPr>
      <w:hyperlink r:id="rId850">
        <w:r>
          <w:t>ikirov.ru/news/13425</w:t>
        </w:r>
      </w:hyperlink>
      <w:hyperlink r:id="rId851">
        <w:r>
          <w:t>-</w:t>
        </w:r>
      </w:hyperlink>
      <w:hyperlink r:id="rId852">
        <w:r>
          <w:t>krasivaya</w:t>
        </w:r>
      </w:hyperlink>
      <w:hyperlink r:id="rId853">
        <w:r>
          <w:t>-</w:t>
        </w:r>
      </w:hyperlink>
      <w:hyperlink r:id="rId854">
        <w:r>
          <w:t>i</w:t>
        </w:r>
      </w:hyperlink>
      <w:hyperlink r:id="rId855">
        <w:r>
          <w:t>-</w:t>
        </w:r>
      </w:hyperlink>
      <w:hyperlink r:id="rId856">
        <w:r>
          <w:t>stilnaya</w:t>
        </w:r>
      </w:hyperlink>
      <w:hyperlink r:id="rId857">
        <w:r>
          <w:t>-</w:t>
        </w:r>
      </w:hyperlink>
      <w:hyperlink r:id="rId858">
        <w:r>
          <w:t>alternativa</w:t>
        </w:r>
      </w:hyperlink>
      <w:hyperlink r:id="rId859">
        <w:r>
          <w:t>-</w:t>
        </w:r>
      </w:hyperlink>
      <w:hyperlink r:id="rId860">
        <w:r>
          <w:t>naturalnym</w:t>
        </w:r>
      </w:hyperlink>
      <w:hyperlink r:id="rId861">
        <w:r>
          <w:t>-</w:t>
        </w:r>
      </w:hyperlink>
      <w:hyperlink r:id="rId862">
        <w:r>
          <w:t>meham</w:t>
        </w:r>
      </w:hyperlink>
      <w:hyperlink r:id="rId863">
        <w:r>
          <w:t xml:space="preserve"> </w:t>
        </w:r>
      </w:hyperlink>
    </w:p>
    <w:p w:rsidR="002C0F56" w:rsidRDefault="00E67C6E">
      <w:pPr>
        <w:numPr>
          <w:ilvl w:val="0"/>
          <w:numId w:val="118"/>
        </w:numPr>
        <w:spacing w:after="12"/>
        <w:ind w:right="302" w:hanging="336"/>
      </w:pPr>
      <w:r>
        <w:t>праваживотных.рф/fu</w:t>
      </w:r>
      <w:r>
        <w:t xml:space="preserve">r/farms.htm </w:t>
      </w:r>
    </w:p>
    <w:p w:rsidR="002C0F56" w:rsidRDefault="00E67C6E">
      <w:pPr>
        <w:numPr>
          <w:ilvl w:val="0"/>
          <w:numId w:val="118"/>
        </w:numPr>
        <w:spacing w:after="12"/>
        <w:ind w:right="302" w:hanging="336"/>
      </w:pPr>
      <w:r>
        <w:t xml:space="preserve">textiletrend.ru/pro-tkani/iskusstvennyie/populyarnost-meha.html </w:t>
      </w:r>
    </w:p>
    <w:p w:rsidR="002C0F56" w:rsidRDefault="00E67C6E">
      <w:pPr>
        <w:spacing w:after="0" w:line="259" w:lineRule="auto"/>
        <w:ind w:left="744" w:firstLine="0"/>
        <w:jc w:val="left"/>
      </w:pPr>
      <w:r>
        <w:rPr>
          <w:b/>
          <w:i/>
        </w:rPr>
        <w:t xml:space="preserve"> </w:t>
      </w:r>
    </w:p>
    <w:p w:rsidR="002C0F56" w:rsidRDefault="00E67C6E">
      <w:pPr>
        <w:spacing w:after="21" w:line="259" w:lineRule="auto"/>
        <w:ind w:left="744" w:firstLine="0"/>
        <w:jc w:val="left"/>
      </w:pPr>
      <w:r>
        <w:rPr>
          <w:b/>
          <w:i/>
        </w:rPr>
        <w:t xml:space="preserve"> </w:t>
      </w:r>
    </w:p>
    <w:p w:rsidR="002C0F56" w:rsidRDefault="00E67C6E">
      <w:pPr>
        <w:spacing w:after="25" w:line="259" w:lineRule="auto"/>
        <w:ind w:left="10" w:right="856" w:hanging="10"/>
        <w:jc w:val="right"/>
      </w:pPr>
      <w:r>
        <w:rPr>
          <w:b/>
        </w:rPr>
        <w:t xml:space="preserve">Крылова А. В., Громова П.П. </w:t>
      </w:r>
    </w:p>
    <w:p w:rsidR="002C0F56" w:rsidRDefault="00E67C6E">
      <w:pPr>
        <w:spacing w:after="0" w:line="267" w:lineRule="auto"/>
        <w:ind w:left="905" w:right="860" w:hanging="10"/>
        <w:jc w:val="right"/>
      </w:pPr>
      <w:r>
        <w:rPr>
          <w:i/>
        </w:rPr>
        <w:t>Рязанский государственный радиотехнический университет</w:t>
      </w:r>
      <w:r>
        <w:rPr>
          <w:b/>
          <w:i/>
        </w:rPr>
        <w:t xml:space="preserve"> </w:t>
      </w:r>
    </w:p>
    <w:p w:rsidR="002C0F56" w:rsidRDefault="00E67C6E">
      <w:pPr>
        <w:spacing w:after="32" w:line="259" w:lineRule="auto"/>
        <w:ind w:left="744" w:firstLine="0"/>
        <w:jc w:val="left"/>
      </w:pPr>
      <w:r>
        <w:rPr>
          <w:b/>
        </w:rPr>
        <w:t xml:space="preserve"> </w:t>
      </w:r>
    </w:p>
    <w:p w:rsidR="002C0F56" w:rsidRDefault="00E67C6E">
      <w:pPr>
        <w:pStyle w:val="1"/>
        <w:ind w:left="700" w:right="1377"/>
      </w:pPr>
      <w:r>
        <w:t xml:space="preserve">ПРОБЛЕМЫ ВНЕДРЕНИЯ И АДАПТАЦИИ СИСТЕМ </w:t>
      </w:r>
    </w:p>
    <w:p w:rsidR="002C0F56" w:rsidRDefault="00E67C6E">
      <w:pPr>
        <w:pStyle w:val="1"/>
        <w:ind w:left="700" w:right="1377"/>
      </w:pPr>
      <w:r>
        <w:t xml:space="preserve">СТИМУЛИРОВАНИЯ ТРУДА В РОССИЙСКИХ ОРГАНИЗАЦИЯХ </w:t>
      </w:r>
    </w:p>
    <w:p w:rsidR="002C0F56" w:rsidRDefault="00E67C6E">
      <w:pPr>
        <w:spacing w:after="0" w:line="259" w:lineRule="auto"/>
        <w:ind w:left="744" w:firstLine="0"/>
        <w:jc w:val="left"/>
      </w:pPr>
      <w:r>
        <w:rPr>
          <w:b/>
        </w:rPr>
        <w:t xml:space="preserve"> </w:t>
      </w:r>
    </w:p>
    <w:p w:rsidR="002C0F56" w:rsidRDefault="00E67C6E">
      <w:pPr>
        <w:ind w:left="165" w:right="867"/>
      </w:pPr>
      <w:r>
        <w:t xml:space="preserve">Аннотация: В статье рассматривается понятие системы стимулирования труда и проблемы ее внедрения в организации. Так же выделены возможные последствия этих проблем, которые могут привести к отрицательному эффекту стимулирования труда. </w:t>
      </w:r>
    </w:p>
    <w:p w:rsidR="002C0F56" w:rsidRDefault="00E67C6E">
      <w:pPr>
        <w:ind w:left="744" w:right="302" w:firstLine="0"/>
      </w:pPr>
      <w:r>
        <w:t>Ключевые слова: сти</w:t>
      </w:r>
      <w:r>
        <w:t xml:space="preserve">мулирование труда. </w:t>
      </w:r>
    </w:p>
    <w:p w:rsidR="002C0F56" w:rsidRDefault="00E67C6E">
      <w:pPr>
        <w:ind w:left="165" w:right="865"/>
      </w:pPr>
      <w:r>
        <w:t>Понятие стимули</w:t>
      </w:r>
      <w:r>
        <w:rPr>
          <w:szCs w:val="28"/>
          <w:rtl/>
        </w:rPr>
        <w:t>ا</w:t>
      </w:r>
      <w:r>
        <w:t xml:space="preserve">рование труда предполагает целенаправленное или нецеленаправленное воздействие на человека или группу людей с целью </w:t>
      </w:r>
      <w:r>
        <w:lastRenderedPageBreak/>
        <w:t>подде</w:t>
      </w:r>
      <w:r>
        <w:rPr>
          <w:szCs w:val="28"/>
          <w:rtl/>
        </w:rPr>
        <w:t>ا</w:t>
      </w:r>
      <w:r>
        <w:t>ржания определенных типа их трудового поведения, прежде всего  ме</w:t>
      </w:r>
      <w:r>
        <w:rPr>
          <w:szCs w:val="28"/>
          <w:rtl/>
        </w:rPr>
        <w:t>ا</w:t>
      </w:r>
      <w:r>
        <w:t xml:space="preserve">ры  трудовой </w:t>
      </w:r>
      <w:r>
        <w:t>активности. При стимулировании поб</w:t>
      </w:r>
      <w:r>
        <w:rPr>
          <w:szCs w:val="28"/>
          <w:rtl/>
        </w:rPr>
        <w:t>ا</w:t>
      </w:r>
      <w:r>
        <w:t>уждение к труду п</w:t>
      </w:r>
      <w:r>
        <w:rPr>
          <w:szCs w:val="28"/>
          <w:rtl/>
        </w:rPr>
        <w:t>ا</w:t>
      </w:r>
      <w:r>
        <w:t>роисходит через удовлетво</w:t>
      </w:r>
      <w:r>
        <w:rPr>
          <w:szCs w:val="28"/>
          <w:rtl/>
        </w:rPr>
        <w:t>ا</w:t>
      </w:r>
      <w:r>
        <w:t>рение различных пот</w:t>
      </w:r>
      <w:r>
        <w:rPr>
          <w:szCs w:val="28"/>
          <w:rtl/>
        </w:rPr>
        <w:t>ا</w:t>
      </w:r>
      <w:r>
        <w:t>ребностей личности, что является вознаг</w:t>
      </w:r>
      <w:r>
        <w:rPr>
          <w:szCs w:val="28"/>
          <w:rtl/>
        </w:rPr>
        <w:t>ا</w:t>
      </w:r>
      <w:r>
        <w:t xml:space="preserve">раждением за трудовые усилия. </w:t>
      </w:r>
    </w:p>
    <w:p w:rsidR="002C0F56" w:rsidRDefault="00E67C6E">
      <w:pPr>
        <w:ind w:left="165" w:right="302"/>
      </w:pPr>
      <w:r>
        <w:t>Теорию стимули</w:t>
      </w:r>
      <w:r>
        <w:rPr>
          <w:szCs w:val="28"/>
          <w:rtl/>
        </w:rPr>
        <w:t>ا</w:t>
      </w:r>
      <w:r>
        <w:t>рования труда можно свести к решению дв</w:t>
      </w:r>
      <w:r>
        <w:rPr>
          <w:szCs w:val="28"/>
          <w:rtl/>
        </w:rPr>
        <w:t>ا</w:t>
      </w:r>
      <w:r>
        <w:t xml:space="preserve">ух  взаимосвязанных задач: </w:t>
      </w:r>
    </w:p>
    <w:p w:rsidR="002C0F56" w:rsidRDefault="00E67C6E">
      <w:pPr>
        <w:ind w:left="165" w:right="874"/>
      </w:pPr>
      <w:r>
        <w:t xml:space="preserve">а) </w:t>
      </w:r>
      <w:r>
        <w:t xml:space="preserve">нахождению границ, в которых заработная плата, исходя из ее экономических законов, вообще может являться средством стимулирования, подчиняться целям стимулирования и управляться с точки зрения этих целей; </w:t>
      </w:r>
    </w:p>
    <w:p w:rsidR="002C0F56" w:rsidRDefault="00E67C6E">
      <w:pPr>
        <w:spacing w:after="2"/>
        <w:ind w:left="165" w:right="873"/>
      </w:pPr>
      <w:r>
        <w:t xml:space="preserve">б) определению тех конкретных принципов и методов </w:t>
      </w:r>
      <w:r>
        <w:t xml:space="preserve">организации оплаты труда, которые были бы наиболее эффективны в стимулировании трудовой деятельности индивидуального и совокупного работников и при этом не противоречили бы экономическим законам». [1] </w:t>
      </w:r>
    </w:p>
    <w:p w:rsidR="002C0F56" w:rsidRDefault="00E67C6E">
      <w:pPr>
        <w:ind w:left="165" w:right="302"/>
      </w:pPr>
      <w:r>
        <w:t xml:space="preserve">Для создания эффективной системы мотивации необходимо </w:t>
      </w:r>
      <w:r>
        <w:t xml:space="preserve">учитывать следующие факторы: </w:t>
      </w:r>
    </w:p>
    <w:p w:rsidR="002C0F56" w:rsidRDefault="00E67C6E">
      <w:pPr>
        <w:numPr>
          <w:ilvl w:val="0"/>
          <w:numId w:val="119"/>
        </w:numPr>
        <w:ind w:right="302"/>
      </w:pPr>
      <w:r>
        <w:t xml:space="preserve">Справедливость: размер вознаграждения должен соответствовать объективным результатам труда работника. </w:t>
      </w:r>
    </w:p>
    <w:p w:rsidR="002C0F56" w:rsidRDefault="00E67C6E">
      <w:pPr>
        <w:numPr>
          <w:ilvl w:val="0"/>
          <w:numId w:val="119"/>
        </w:numPr>
        <w:ind w:right="302"/>
      </w:pPr>
      <w:r>
        <w:t xml:space="preserve">Прогнозируемость: работник должен знать, какое вознаграждение он получит за тот или иной результат своего труда. </w:t>
      </w:r>
    </w:p>
    <w:p w:rsidR="002C0F56" w:rsidRDefault="00E67C6E">
      <w:pPr>
        <w:numPr>
          <w:ilvl w:val="0"/>
          <w:numId w:val="119"/>
        </w:numPr>
        <w:ind w:right="302"/>
      </w:pPr>
      <w:r>
        <w:t>Соразмерн</w:t>
      </w:r>
      <w:r>
        <w:t xml:space="preserve">ость: вознаграждение должно быть равно трудовому вкладу работника, его опыту и квалификации. </w:t>
      </w:r>
    </w:p>
    <w:p w:rsidR="002C0F56" w:rsidRDefault="00E67C6E">
      <w:pPr>
        <w:numPr>
          <w:ilvl w:val="0"/>
          <w:numId w:val="119"/>
        </w:numPr>
        <w:ind w:right="302"/>
      </w:pPr>
      <w:r>
        <w:t xml:space="preserve">Существенность: вознаграждение должно быть значимым для сотрудника. </w:t>
      </w:r>
    </w:p>
    <w:p w:rsidR="002C0F56" w:rsidRDefault="00E67C6E">
      <w:pPr>
        <w:ind w:left="165" w:right="868"/>
      </w:pPr>
      <w:r>
        <w:t xml:space="preserve">Если не учитывать все факторы, представленные выше, при разработке и внедрении систем стимулирования персонала, то это может снизить эффективность системы, и продуктивность работы сотрудников организации. </w:t>
      </w:r>
    </w:p>
    <w:p w:rsidR="002C0F56" w:rsidRDefault="00E67C6E">
      <w:pPr>
        <w:spacing w:after="10"/>
        <w:ind w:left="165" w:right="870"/>
      </w:pPr>
      <w:r>
        <w:t xml:space="preserve">  В процессе внедрения систем мотивации в российск</w:t>
      </w:r>
      <w:r>
        <w:t xml:space="preserve">их компаниях совершается ряд ошибок, которые в дальнейшем отрицательно скажутся на развитии предприятия. </w:t>
      </w:r>
    </w:p>
    <w:p w:rsidR="002C0F56" w:rsidRDefault="00E67C6E">
      <w:pPr>
        <w:spacing w:after="0"/>
        <w:ind w:left="165" w:right="874"/>
      </w:pPr>
      <w:r>
        <w:t>Например, некоторые компании выплачивают премии своим сотрудникам, но при этом не говорят, за что это премия. Таким образом, происходит демотивация со</w:t>
      </w:r>
      <w:r>
        <w:t xml:space="preserve">трудников, потому что у него много разных обязанностей, и на что ему нужно приложить больше усилий, чтобы опять получить премию, он не знает. В таком случае, работник воспринимает премию без причины, не как мотивацию, а как должное. </w:t>
      </w:r>
    </w:p>
    <w:p w:rsidR="002C0F56" w:rsidRDefault="00E67C6E">
      <w:pPr>
        <w:spacing w:after="0"/>
        <w:ind w:left="165" w:right="871"/>
      </w:pPr>
      <w:r>
        <w:t>Ещё одной распространё</w:t>
      </w:r>
      <w:r>
        <w:t>нной ошибкой при разработке и внедрении новой системы мотивации персонала является то, что руководитель внедряет самую лучшую систему мотивации, но при этом не увеличивает бюджет на мотивирование сотрудников. Нужно заметить, что увеличение бюджета на стиму</w:t>
      </w:r>
      <w:r>
        <w:t xml:space="preserve">лирование вовсе не означает больших затрат, потому что грамотная </w:t>
      </w:r>
      <w:r>
        <w:lastRenderedPageBreak/>
        <w:t xml:space="preserve">система принесёт компании гораздо больше прибыли. Но многие руководители этого не понимают, либо не хотят лишних затрат.  </w:t>
      </w:r>
    </w:p>
    <w:p w:rsidR="002C0F56" w:rsidRDefault="00E67C6E">
      <w:pPr>
        <w:ind w:left="165" w:right="866"/>
      </w:pPr>
      <w:r>
        <w:t>Также, если сотрудники знали, что на их предприятии внедряется новая</w:t>
      </w:r>
      <w:r>
        <w:t xml:space="preserve"> система стимулирования, но потом по какой-либо причине ее не применяют в действие, то это тоже демотивирует сотрудника. </w:t>
      </w:r>
    </w:p>
    <w:p w:rsidR="002C0F56" w:rsidRDefault="00E67C6E">
      <w:pPr>
        <w:spacing w:after="0"/>
        <w:ind w:left="165" w:right="869"/>
      </w:pPr>
      <w:r>
        <w:t xml:space="preserve">Наиболее часто встречающаяся и самая грубая ошибка в российских компаниях заключается в том, что в организации нет четко определённых </w:t>
      </w:r>
      <w:r>
        <w:t>и объективных показателей, выраженных в цифрах и документально подтвержденных, на которых основывается размер премии. То есть руководитель по своему усмотрению определяет, кому и сколько выдать премию.  При этом подчинённые не могут определить, какую преми</w:t>
      </w:r>
      <w:r>
        <w:t xml:space="preserve">ю и за что они получат в следующем месяце, и у них также может возникнуть чувство того, что премия распределена несправедливо и их недооценили. </w:t>
      </w:r>
    </w:p>
    <w:p w:rsidR="002C0F56" w:rsidRDefault="00E67C6E">
      <w:pPr>
        <w:ind w:left="165" w:right="866"/>
      </w:pPr>
      <w:r>
        <w:t xml:space="preserve">В нашей стране система стимулирования находится на достойном уровне в основном только в больших организациях и </w:t>
      </w:r>
      <w:r>
        <w:t>предприятиях. Наиболее популярным видом в российских организациях является материальное стимулирование. Но многие руководители забывают о вознаграждениях, опирающихся на высшие потребности человека, такие как потребность в самовыражении, признании, возможн</w:t>
      </w:r>
      <w:r>
        <w:t xml:space="preserve">ости реализации своих собственных целей. То есть не учитывают внутренние побудительные мотивы, что отрицательно сказывается на действии стимулирования. </w:t>
      </w:r>
    </w:p>
    <w:p w:rsidR="002C0F56" w:rsidRDefault="00E67C6E">
      <w:pPr>
        <w:ind w:left="165" w:right="655"/>
      </w:pPr>
      <w:r>
        <w:t>Для более наглядного представления совершаемых ошибок при разработке и внедрении системы стимулирования</w:t>
      </w:r>
      <w:r>
        <w:t xml:space="preserve">, ниже представлена таблица 1. </w:t>
      </w:r>
    </w:p>
    <w:p w:rsidR="002C0F56" w:rsidRDefault="00E67C6E">
      <w:pPr>
        <w:spacing w:after="0" w:line="259" w:lineRule="auto"/>
        <w:ind w:left="744" w:firstLine="0"/>
        <w:jc w:val="left"/>
      </w:pPr>
      <w:r>
        <w:t xml:space="preserve"> </w:t>
      </w:r>
    </w:p>
    <w:p w:rsidR="002C0F56" w:rsidRDefault="00E67C6E">
      <w:pPr>
        <w:spacing w:after="5" w:line="271" w:lineRule="auto"/>
        <w:ind w:left="1258" w:right="396" w:hanging="10"/>
        <w:jc w:val="left"/>
      </w:pPr>
      <w:r>
        <w:rPr>
          <w:i/>
          <w:sz w:val="24"/>
        </w:rPr>
        <w:t>Таблица 1</w:t>
      </w:r>
      <w:r>
        <w:rPr>
          <w:sz w:val="24"/>
        </w:rPr>
        <w:t xml:space="preserve"> – </w:t>
      </w:r>
      <w:r>
        <w:rPr>
          <w:b/>
          <w:sz w:val="24"/>
        </w:rPr>
        <w:t>Проблемы разработки и внедрения системы стимулирования</w:t>
      </w:r>
      <w:r>
        <w:rPr>
          <w:sz w:val="24"/>
        </w:rPr>
        <w:t xml:space="preserve"> </w:t>
      </w:r>
    </w:p>
    <w:tbl>
      <w:tblPr>
        <w:tblStyle w:val="TableGrid"/>
        <w:tblW w:w="9573" w:type="dxa"/>
        <w:tblInd w:w="72" w:type="dxa"/>
        <w:tblCellMar>
          <w:top w:w="59" w:type="dxa"/>
          <w:left w:w="102" w:type="dxa"/>
          <w:bottom w:w="0" w:type="dxa"/>
          <w:right w:w="40" w:type="dxa"/>
        </w:tblCellMar>
        <w:tblLook w:val="04A0" w:firstRow="1" w:lastRow="0" w:firstColumn="1" w:lastColumn="0" w:noHBand="0" w:noVBand="1"/>
      </w:tblPr>
      <w:tblGrid>
        <w:gridCol w:w="3185"/>
        <w:gridCol w:w="3189"/>
        <w:gridCol w:w="3199"/>
      </w:tblGrid>
      <w:tr w:rsidR="002C0F56">
        <w:trPr>
          <w:trHeight w:val="286"/>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left"/>
            </w:pPr>
            <w:r>
              <w:rPr>
                <w:sz w:val="24"/>
              </w:rPr>
              <w:t xml:space="preserve">Проблема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left"/>
            </w:pPr>
            <w:r>
              <w:rPr>
                <w:sz w:val="24"/>
              </w:rPr>
              <w:t xml:space="preserve">Содержание проблемы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firstLine="0"/>
              <w:jc w:val="left"/>
            </w:pPr>
            <w:r>
              <w:rPr>
                <w:sz w:val="24"/>
              </w:rPr>
              <w:t xml:space="preserve">Возможные последствия </w:t>
            </w:r>
          </w:p>
        </w:tc>
      </w:tr>
      <w:tr w:rsidR="002C0F56">
        <w:trPr>
          <w:trHeight w:val="1390"/>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left"/>
            </w:pPr>
            <w:r>
              <w:rPr>
                <w:sz w:val="24"/>
              </w:rPr>
              <w:t xml:space="preserve">Использование </w:t>
            </w:r>
            <w:r>
              <w:rPr>
                <w:sz w:val="24"/>
              </w:rPr>
              <w:tab/>
              <w:t xml:space="preserve">только материального стимулирования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right="60" w:firstLine="0"/>
            </w:pPr>
            <w:r>
              <w:rPr>
                <w:sz w:val="24"/>
              </w:rPr>
              <w:t xml:space="preserve">Руководитель забывает о высших потребностях человека, таких как потребность </w:t>
            </w:r>
            <w:r>
              <w:rPr>
                <w:sz w:val="24"/>
              </w:rPr>
              <w:tab/>
              <w:t xml:space="preserve">в самовыражении, признании.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right="68" w:firstLine="0"/>
            </w:pPr>
            <w:r>
              <w:rPr>
                <w:sz w:val="24"/>
              </w:rPr>
              <w:t xml:space="preserve">Работник не лоялен к организации, в которой работает, и соответственно понижается эффективность системы стимулирования </w:t>
            </w:r>
          </w:p>
        </w:tc>
      </w:tr>
      <w:tr w:rsidR="002C0F56">
        <w:trPr>
          <w:trHeight w:val="1133"/>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78" w:lineRule="auto"/>
              <w:ind w:left="6" w:firstLine="0"/>
            </w:pPr>
            <w:r>
              <w:rPr>
                <w:sz w:val="24"/>
              </w:rPr>
              <w:t xml:space="preserve">Отсутствие прямой связи «результат труда – </w:t>
            </w:r>
          </w:p>
          <w:p w:rsidR="002C0F56" w:rsidRDefault="00E67C6E">
            <w:pPr>
              <w:spacing w:after="0" w:line="259" w:lineRule="auto"/>
              <w:ind w:left="6" w:firstLine="0"/>
              <w:jc w:val="left"/>
            </w:pPr>
            <w:r>
              <w:rPr>
                <w:sz w:val="24"/>
              </w:rPr>
              <w:t xml:space="preserve">заработанная плата»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right="61" w:firstLine="0"/>
            </w:pPr>
            <w:r>
              <w:rPr>
                <w:sz w:val="24"/>
              </w:rPr>
              <w:t xml:space="preserve">Размер вознаграждения не соответствует результатам труда работника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firstLine="0"/>
              <w:jc w:val="left"/>
            </w:pPr>
            <w:r>
              <w:rPr>
                <w:sz w:val="24"/>
              </w:rPr>
              <w:t xml:space="preserve">Зарплата </w:t>
            </w:r>
            <w:r>
              <w:rPr>
                <w:sz w:val="24"/>
              </w:rPr>
              <w:tab/>
              <w:t xml:space="preserve">перестаёт выполнять стимулирующую функцию </w:t>
            </w:r>
          </w:p>
        </w:tc>
      </w:tr>
      <w:tr w:rsidR="002C0F56">
        <w:trPr>
          <w:trHeight w:val="2379"/>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right="70" w:firstLine="0"/>
            </w:pPr>
            <w:r>
              <w:rPr>
                <w:sz w:val="24"/>
              </w:rPr>
              <w:lastRenderedPageBreak/>
              <w:t xml:space="preserve">Отсутствие объективных показателей для оценки вознаграждения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65" w:lineRule="auto"/>
              <w:ind w:left="6" w:right="62" w:firstLine="0"/>
            </w:pPr>
            <w:r>
              <w:rPr>
                <w:sz w:val="24"/>
              </w:rPr>
              <w:t xml:space="preserve">Нет четко определенных и объективных показателей, выраженных в цифрах и  документально </w:t>
            </w:r>
          </w:p>
          <w:p w:rsidR="002C0F56" w:rsidRDefault="00E67C6E">
            <w:pPr>
              <w:tabs>
                <w:tab w:val="right" w:pos="3047"/>
              </w:tabs>
              <w:spacing w:after="28" w:line="259" w:lineRule="auto"/>
              <w:ind w:left="0" w:firstLine="0"/>
              <w:jc w:val="left"/>
            </w:pPr>
            <w:r>
              <w:rPr>
                <w:sz w:val="24"/>
              </w:rPr>
              <w:t xml:space="preserve">подтвержденных, </w:t>
            </w:r>
            <w:r>
              <w:rPr>
                <w:sz w:val="24"/>
              </w:rPr>
              <w:tab/>
              <w:t xml:space="preserve">на </w:t>
            </w:r>
          </w:p>
          <w:p w:rsidR="002C0F56" w:rsidRDefault="00E67C6E">
            <w:pPr>
              <w:spacing w:after="0" w:line="259" w:lineRule="auto"/>
              <w:ind w:left="6" w:firstLine="0"/>
            </w:pPr>
            <w:r>
              <w:rPr>
                <w:sz w:val="24"/>
              </w:rPr>
              <w:t xml:space="preserve">которых основывается  размер премии.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23" w:line="258" w:lineRule="auto"/>
              <w:ind w:right="69" w:firstLine="0"/>
            </w:pPr>
            <w:r>
              <w:rPr>
                <w:sz w:val="24"/>
              </w:rPr>
              <w:t xml:space="preserve">Подчиненные не могут определить, какую премию и за что они получили, и у  </w:t>
            </w:r>
            <w:r>
              <w:rPr>
                <w:sz w:val="24"/>
              </w:rPr>
              <w:t xml:space="preserve">них возникает чувство того, что премия распределена </w:t>
            </w:r>
          </w:p>
          <w:p w:rsidR="002C0F56" w:rsidRDefault="00E67C6E">
            <w:pPr>
              <w:spacing w:after="0" w:line="259" w:lineRule="auto"/>
              <w:ind w:firstLine="0"/>
              <w:jc w:val="left"/>
            </w:pPr>
            <w:r>
              <w:rPr>
                <w:sz w:val="24"/>
              </w:rPr>
              <w:t xml:space="preserve">несправедливо и их  недооценили </w:t>
            </w:r>
          </w:p>
        </w:tc>
      </w:tr>
      <w:tr w:rsidR="002C0F56">
        <w:trPr>
          <w:trHeight w:val="1666"/>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pPr>
            <w:r>
              <w:rPr>
                <w:sz w:val="24"/>
              </w:rPr>
              <w:t xml:space="preserve">Отсутствие финансирования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38" w:lineRule="auto"/>
              <w:ind w:left="6" w:right="72" w:firstLine="0"/>
            </w:pPr>
            <w:r>
              <w:rPr>
                <w:sz w:val="24"/>
              </w:rPr>
              <w:t xml:space="preserve">При внедрение новой системы стимулирования руководитель не увеличивает бюджет на </w:t>
            </w:r>
          </w:p>
          <w:p w:rsidR="002C0F56" w:rsidRDefault="00E67C6E">
            <w:pPr>
              <w:spacing w:after="0" w:line="259" w:lineRule="auto"/>
              <w:ind w:left="6" w:firstLine="0"/>
              <w:jc w:val="left"/>
            </w:pPr>
            <w:r>
              <w:rPr>
                <w:sz w:val="24"/>
              </w:rPr>
              <w:t xml:space="preserve">стимулирование сотрудников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8" w:firstLine="0"/>
            </w:pPr>
            <w:r>
              <w:rPr>
                <w:sz w:val="24"/>
              </w:rPr>
              <w:t xml:space="preserve">Размер вознаграждения опять же не удовлетворяет сотрудников и происходит демотивирование. </w:t>
            </w:r>
          </w:p>
        </w:tc>
      </w:tr>
      <w:tr w:rsidR="002C0F56">
        <w:trPr>
          <w:trHeight w:val="1390"/>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left"/>
            </w:pPr>
            <w:r>
              <w:rPr>
                <w:sz w:val="24"/>
              </w:rPr>
              <w:t xml:space="preserve">Непонимание </w:t>
            </w:r>
          </w:p>
          <w:p w:rsidR="002C0F56" w:rsidRDefault="00E67C6E">
            <w:pPr>
              <w:spacing w:after="0" w:line="259" w:lineRule="auto"/>
              <w:ind w:left="6" w:firstLine="0"/>
            </w:pPr>
            <w:r>
              <w:rPr>
                <w:sz w:val="24"/>
              </w:rPr>
              <w:t xml:space="preserve">необходимости перемен со стороны руководства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6" w:right="74" w:firstLine="0"/>
            </w:pPr>
            <w:r>
              <w:rPr>
                <w:sz w:val="24"/>
              </w:rPr>
              <w:t xml:space="preserve">Руководитель считает, что стимулирование не нужно в его организации, либо не желает менять уже </w:t>
            </w:r>
          </w:p>
          <w:p w:rsidR="002C0F56" w:rsidRDefault="00E67C6E">
            <w:pPr>
              <w:spacing w:after="0" w:line="259" w:lineRule="auto"/>
              <w:ind w:left="6" w:firstLine="0"/>
              <w:jc w:val="left"/>
            </w:pPr>
            <w:r>
              <w:rPr>
                <w:sz w:val="24"/>
              </w:rPr>
              <w:t>действующ</w:t>
            </w:r>
            <w:r>
              <w:rPr>
                <w:sz w:val="24"/>
              </w:rPr>
              <w:t xml:space="preserve">ую систему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 w:firstLine="0"/>
              <w:jc w:val="left"/>
            </w:pPr>
            <w:r>
              <w:rPr>
                <w:sz w:val="24"/>
              </w:rPr>
              <w:t xml:space="preserve">Сотрудники демотивированы, понижается </w:t>
            </w:r>
            <w:r>
              <w:rPr>
                <w:sz w:val="24"/>
              </w:rPr>
              <w:tab/>
              <w:t xml:space="preserve">лояльность </w:t>
            </w:r>
            <w:r>
              <w:rPr>
                <w:sz w:val="24"/>
              </w:rPr>
              <w:tab/>
              <w:t xml:space="preserve">к организации </w:t>
            </w:r>
          </w:p>
        </w:tc>
      </w:tr>
      <w:tr w:rsidR="002C0F56">
        <w:trPr>
          <w:trHeight w:val="838"/>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left"/>
            </w:pPr>
            <w:r>
              <w:rPr>
                <w:sz w:val="24"/>
              </w:rPr>
              <w:t xml:space="preserve">Непонимание </w:t>
            </w:r>
          </w:p>
          <w:p w:rsidR="002C0F56" w:rsidRDefault="00E67C6E">
            <w:pPr>
              <w:spacing w:after="0" w:line="259" w:lineRule="auto"/>
              <w:ind w:left="6" w:firstLine="0"/>
            </w:pPr>
            <w:r>
              <w:rPr>
                <w:sz w:val="24"/>
              </w:rPr>
              <w:t xml:space="preserve">необходимости перемен со стороны сотрудников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3047"/>
              </w:tabs>
              <w:spacing w:after="28" w:line="259" w:lineRule="auto"/>
              <w:ind w:left="0" w:firstLine="0"/>
              <w:jc w:val="left"/>
            </w:pPr>
            <w:r>
              <w:rPr>
                <w:sz w:val="24"/>
              </w:rPr>
              <w:t xml:space="preserve">Сотрудники </w:t>
            </w:r>
            <w:r>
              <w:rPr>
                <w:sz w:val="24"/>
              </w:rPr>
              <w:tab/>
              <w:t xml:space="preserve">не </w:t>
            </w:r>
          </w:p>
          <w:p w:rsidR="002C0F56" w:rsidRDefault="00E67C6E">
            <w:pPr>
              <w:spacing w:after="0" w:line="259" w:lineRule="auto"/>
              <w:ind w:left="6" w:firstLine="0"/>
              <w:jc w:val="left"/>
            </w:pPr>
            <w:r>
              <w:rPr>
                <w:sz w:val="24"/>
              </w:rPr>
              <w:t xml:space="preserve">воспринимают перемены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3" w:firstLine="0"/>
              <w:jc w:val="left"/>
            </w:pPr>
            <w:r>
              <w:rPr>
                <w:sz w:val="24"/>
              </w:rPr>
              <w:t xml:space="preserve">Сотрудники демотивированы </w:t>
            </w:r>
          </w:p>
        </w:tc>
      </w:tr>
      <w:tr w:rsidR="002C0F56">
        <w:trPr>
          <w:trHeight w:val="840"/>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6" w:firstLine="0"/>
            </w:pPr>
            <w:r>
              <w:rPr>
                <w:sz w:val="24"/>
              </w:rPr>
              <w:t xml:space="preserve">Установленные нормы принимаются как </w:t>
            </w:r>
          </w:p>
          <w:p w:rsidR="002C0F56" w:rsidRDefault="00E67C6E">
            <w:pPr>
              <w:spacing w:after="0" w:line="259" w:lineRule="auto"/>
              <w:ind w:left="6" w:firstLine="0"/>
              <w:jc w:val="left"/>
            </w:pPr>
            <w:r>
              <w:rPr>
                <w:sz w:val="24"/>
              </w:rPr>
              <w:t xml:space="preserve">окончательные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6" w:firstLine="0"/>
            </w:pPr>
            <w:r>
              <w:rPr>
                <w:sz w:val="24"/>
              </w:rPr>
              <w:t xml:space="preserve">Компания развивается, а система стимулирования </w:t>
            </w:r>
          </w:p>
          <w:p w:rsidR="002C0F56" w:rsidRDefault="00E67C6E">
            <w:pPr>
              <w:spacing w:after="0" w:line="259" w:lineRule="auto"/>
              <w:ind w:left="6" w:firstLine="0"/>
              <w:jc w:val="left"/>
            </w:pPr>
            <w:r>
              <w:rPr>
                <w:sz w:val="24"/>
              </w:rPr>
              <w:t xml:space="preserve">остается неизменной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Снижается эффективность системы стимулирования </w:t>
            </w:r>
          </w:p>
        </w:tc>
      </w:tr>
      <w:tr w:rsidR="002C0F56">
        <w:trPr>
          <w:trHeight w:val="1666"/>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42" w:line="239" w:lineRule="auto"/>
              <w:ind w:left="6" w:firstLine="0"/>
            </w:pPr>
            <w:r>
              <w:rPr>
                <w:sz w:val="24"/>
              </w:rPr>
              <w:t xml:space="preserve">Отсутствие полномочий для выполнения поставленных </w:t>
            </w:r>
          </w:p>
          <w:p w:rsidR="002C0F56" w:rsidRDefault="00E67C6E">
            <w:pPr>
              <w:spacing w:after="0" w:line="259" w:lineRule="auto"/>
              <w:ind w:left="6" w:firstLine="0"/>
              <w:jc w:val="left"/>
            </w:pPr>
            <w:r>
              <w:rPr>
                <w:sz w:val="24"/>
              </w:rPr>
              <w:t xml:space="preserve">задач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45" w:line="238" w:lineRule="auto"/>
              <w:ind w:left="6" w:right="73" w:firstLine="0"/>
            </w:pPr>
            <w:r>
              <w:rPr>
                <w:sz w:val="24"/>
              </w:rPr>
              <w:t xml:space="preserve">Менеджер вынужден практически каждое свое решение согласовывать с начальством, это означает отсутствие доверия к </w:t>
            </w:r>
          </w:p>
          <w:p w:rsidR="002C0F56" w:rsidRDefault="00E67C6E">
            <w:pPr>
              <w:spacing w:after="0" w:line="259" w:lineRule="auto"/>
              <w:ind w:left="6" w:firstLine="0"/>
              <w:jc w:val="left"/>
            </w:pPr>
            <w:r>
              <w:rPr>
                <w:sz w:val="24"/>
              </w:rPr>
              <w:t xml:space="preserve">менеджменту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45" w:line="239" w:lineRule="auto"/>
              <w:ind w:left="0" w:firstLine="0"/>
            </w:pPr>
            <w:r>
              <w:rPr>
                <w:sz w:val="24"/>
              </w:rPr>
              <w:t xml:space="preserve">При таких условиях любые схемы стимулирования </w:t>
            </w:r>
          </w:p>
          <w:p w:rsidR="002C0F56" w:rsidRDefault="00E67C6E">
            <w:pPr>
              <w:spacing w:after="0" w:line="259" w:lineRule="auto"/>
              <w:ind w:left="0" w:firstLine="0"/>
              <w:jc w:val="left"/>
            </w:pPr>
            <w:r>
              <w:rPr>
                <w:sz w:val="24"/>
              </w:rPr>
              <w:t xml:space="preserve">обесцениваются </w:t>
            </w:r>
          </w:p>
        </w:tc>
      </w:tr>
      <w:tr w:rsidR="002C0F56">
        <w:trPr>
          <w:trHeight w:val="838"/>
        </w:trPr>
        <w:tc>
          <w:tcPr>
            <w:tcW w:w="3186" w:type="dxa"/>
            <w:tcBorders>
              <w:top w:val="single" w:sz="4" w:space="0" w:color="000000"/>
              <w:left w:val="single" w:sz="4" w:space="0" w:color="000000"/>
              <w:bottom w:val="single" w:sz="4" w:space="0" w:color="000000"/>
              <w:right w:val="single" w:sz="4" w:space="0" w:color="000000"/>
            </w:tcBorders>
          </w:tcPr>
          <w:p w:rsidR="002C0F56" w:rsidRDefault="00E67C6E">
            <w:pPr>
              <w:spacing w:after="45" w:line="238" w:lineRule="auto"/>
              <w:ind w:left="6" w:firstLine="0"/>
            </w:pPr>
            <w:r>
              <w:rPr>
                <w:sz w:val="24"/>
              </w:rPr>
              <w:t xml:space="preserve">Цели компании отдельно, система мотивации </w:t>
            </w:r>
          </w:p>
          <w:p w:rsidR="002C0F56" w:rsidRDefault="00E67C6E">
            <w:pPr>
              <w:spacing w:after="0" w:line="259" w:lineRule="auto"/>
              <w:ind w:left="6" w:firstLine="0"/>
              <w:jc w:val="left"/>
            </w:pPr>
            <w:r>
              <w:rPr>
                <w:sz w:val="24"/>
              </w:rPr>
              <w:t xml:space="preserve">отдельно </w:t>
            </w:r>
          </w:p>
        </w:tc>
        <w:tc>
          <w:tcPr>
            <w:tcW w:w="318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right="74" w:firstLine="0"/>
            </w:pPr>
            <w:r>
              <w:rPr>
                <w:sz w:val="24"/>
              </w:rPr>
              <w:t xml:space="preserve">Система стимулирования создается просто так, для того, чтобы была </w:t>
            </w:r>
          </w:p>
        </w:tc>
        <w:tc>
          <w:tcPr>
            <w:tcW w:w="319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Такая </w:t>
            </w:r>
            <w:r>
              <w:rPr>
                <w:sz w:val="24"/>
              </w:rPr>
              <w:tab/>
              <w:t xml:space="preserve">система стимулирования </w:t>
            </w:r>
            <w:r>
              <w:rPr>
                <w:sz w:val="24"/>
              </w:rPr>
              <w:tab/>
              <w:t xml:space="preserve">является неэффективной </w:t>
            </w:r>
          </w:p>
        </w:tc>
      </w:tr>
    </w:tbl>
    <w:p w:rsidR="002C0F56" w:rsidRDefault="00E67C6E">
      <w:pPr>
        <w:spacing w:after="0" w:line="259" w:lineRule="auto"/>
        <w:ind w:left="744" w:firstLine="0"/>
        <w:jc w:val="left"/>
      </w:pPr>
      <w:r>
        <w:t xml:space="preserve"> </w:t>
      </w:r>
    </w:p>
    <w:p w:rsidR="002C0F56" w:rsidRDefault="00E67C6E">
      <w:pPr>
        <w:spacing w:after="0"/>
        <w:ind w:left="165" w:right="873"/>
      </w:pPr>
      <w:r>
        <w:t xml:space="preserve">Таким образом,  при разработке и внедрении системы стимулирования персонала проблемы могут возникнуть как со стороны самих руководителей, так и сотрудников. Руководителям важно понять, что вложенные средства в грамотно разработанную систему стимулирования </w:t>
      </w:r>
      <w:r>
        <w:t xml:space="preserve">окупятся, и поэтому не надо бояться лишних затрат.  Так же необходимо учитывать психологические аспекты, которые могут влиять на сотрудников, то есть работники будут сопротивляться или отвергать нововведения. Поэтому при разработке и </w:t>
      </w:r>
      <w:r>
        <w:lastRenderedPageBreak/>
        <w:t>внедрение системы стим</w:t>
      </w:r>
      <w:r>
        <w:t xml:space="preserve">улирования необходимо организовать внутренний информационный поток, чтобы внедрение системы прошло с наименьшими потерями. </w:t>
      </w:r>
    </w:p>
    <w:p w:rsidR="002C0F56" w:rsidRDefault="00E67C6E">
      <w:pPr>
        <w:spacing w:after="22"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spacing w:after="13"/>
        <w:ind w:left="165" w:right="302"/>
      </w:pPr>
      <w:r>
        <w:t>1.</w:t>
      </w:r>
      <w:r>
        <w:rPr>
          <w:rFonts w:ascii="Arial" w:eastAsia="Arial" w:hAnsi="Arial" w:cs="Arial"/>
        </w:rPr>
        <w:t xml:space="preserve"> </w:t>
      </w:r>
      <w:r>
        <w:t xml:space="preserve">Волкова Н.В. Совершенствование форм мотивации труда// Человек и труд.- 2005. - №12. – С. 41-43.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36" w:line="249" w:lineRule="auto"/>
        <w:ind w:left="6666" w:right="866" w:firstLine="1695"/>
        <w:jc w:val="both"/>
      </w:pPr>
      <w:r>
        <w:t xml:space="preserve">Кудря М.Д.  </w:t>
      </w:r>
      <w:r>
        <w:rPr>
          <w:b w:val="0"/>
        </w:rPr>
        <w:t xml:space="preserve">Руководитель: Карая Е. А.  </w:t>
      </w:r>
    </w:p>
    <w:p w:rsidR="002C0F56" w:rsidRDefault="00E67C6E">
      <w:pPr>
        <w:ind w:left="6666" w:right="866" w:firstLine="1695"/>
      </w:pPr>
      <w:r>
        <w:rPr>
          <w:i/>
        </w:rPr>
        <w:t>Макеевская  гимназия</w:t>
      </w:r>
      <w:r>
        <w:t xml:space="preserve"> </w:t>
      </w:r>
    </w:p>
    <w:p w:rsidR="002C0F56" w:rsidRDefault="00E67C6E">
      <w:pPr>
        <w:spacing w:after="0" w:line="259" w:lineRule="auto"/>
        <w:ind w:left="744" w:firstLine="0"/>
        <w:jc w:val="left"/>
      </w:pPr>
      <w:r>
        <w:rPr>
          <w:b/>
        </w:rPr>
        <w:t xml:space="preserve"> </w:t>
      </w:r>
    </w:p>
    <w:p w:rsidR="002C0F56" w:rsidRDefault="00E67C6E">
      <w:pPr>
        <w:pStyle w:val="1"/>
        <w:ind w:left="700" w:right="1376"/>
      </w:pPr>
      <w:r>
        <w:t xml:space="preserve">ВЛИЯНИЕ ВОЕННЫХ ДЕЙСТВИЙ НА ЭКОЛОГИЮ ДОНЕЦКОГО КРАЯ </w:t>
      </w:r>
    </w:p>
    <w:p w:rsidR="002C0F56" w:rsidRDefault="00E67C6E">
      <w:pPr>
        <w:spacing w:after="25" w:line="259" w:lineRule="auto"/>
        <w:ind w:left="744" w:firstLine="0"/>
        <w:jc w:val="left"/>
      </w:pPr>
      <w:r>
        <w:t xml:space="preserve"> </w:t>
      </w:r>
    </w:p>
    <w:p w:rsidR="002C0F56" w:rsidRDefault="00E67C6E">
      <w:pPr>
        <w:spacing w:after="5" w:line="268" w:lineRule="auto"/>
        <w:ind w:left="4861" w:right="1070" w:firstLine="0"/>
        <w:jc w:val="left"/>
      </w:pPr>
      <w:r>
        <w:t xml:space="preserve">На военных дорогах помимо людей, Убивало железо собак, лошадей. В реках рыб убивало. И птиц в небесах, А еще убивало деревья в лесах. </w:t>
      </w:r>
      <w:r>
        <w:t xml:space="preserve">Это очень печально – в эпоху чудес После войти в обезглавленный лес. </w:t>
      </w:r>
    </w:p>
    <w:p w:rsidR="002C0F56" w:rsidRDefault="00E67C6E">
      <w:pPr>
        <w:tabs>
          <w:tab w:val="center" w:pos="5085"/>
          <w:tab w:val="center" w:pos="5807"/>
          <w:tab w:val="center" w:pos="6779"/>
          <w:tab w:val="center" w:pos="7736"/>
          <w:tab w:val="center" w:pos="8780"/>
          <w:tab w:val="center" w:pos="9749"/>
        </w:tabs>
        <w:spacing w:after="11" w:line="270" w:lineRule="auto"/>
        <w:ind w:left="0" w:firstLine="0"/>
        <w:jc w:val="left"/>
      </w:pPr>
      <w:r>
        <w:rPr>
          <w:rFonts w:ascii="Calibri" w:eastAsia="Calibri" w:hAnsi="Calibri" w:cs="Calibri"/>
          <w:sz w:val="22"/>
        </w:rPr>
        <w:tab/>
      </w:r>
      <w:r>
        <w:t xml:space="preserve">Как </w:t>
      </w:r>
      <w:r>
        <w:tab/>
        <w:t xml:space="preserve">же </w:t>
      </w:r>
      <w:r>
        <w:tab/>
        <w:t xml:space="preserve">странно </w:t>
      </w:r>
      <w:r>
        <w:tab/>
        <w:t xml:space="preserve">он </w:t>
      </w:r>
      <w:r>
        <w:tab/>
        <w:t xml:space="preserve">выглядит </w:t>
      </w:r>
      <w:r>
        <w:tab/>
        <w:t xml:space="preserve">– </w:t>
      </w:r>
    </w:p>
    <w:p w:rsidR="002C0F56" w:rsidRDefault="00E67C6E">
      <w:pPr>
        <w:spacing w:after="15" w:line="268" w:lineRule="auto"/>
        <w:ind w:left="1262" w:right="125" w:hanging="10"/>
        <w:jc w:val="center"/>
      </w:pPr>
      <w:r>
        <w:t xml:space="preserve">солнечный свет – </w:t>
      </w:r>
    </w:p>
    <w:p w:rsidR="002C0F56" w:rsidRDefault="00E67C6E">
      <w:pPr>
        <w:spacing w:after="11" w:line="270" w:lineRule="auto"/>
        <w:ind w:left="10" w:right="1112" w:hanging="10"/>
        <w:jc w:val="right"/>
      </w:pPr>
      <w:r>
        <w:t xml:space="preserve">На обрубках, в которых дыхания нет!... </w:t>
      </w:r>
      <w:r>
        <w:rPr>
          <w:i/>
        </w:rPr>
        <w:t xml:space="preserve"> </w:t>
      </w:r>
    </w:p>
    <w:p w:rsidR="002C0F56" w:rsidRDefault="00E67C6E">
      <w:pPr>
        <w:spacing w:after="0" w:line="267" w:lineRule="auto"/>
        <w:ind w:left="905" w:right="860" w:hanging="10"/>
        <w:jc w:val="right"/>
      </w:pPr>
      <w:r>
        <w:rPr>
          <w:i/>
        </w:rPr>
        <w:t xml:space="preserve">Глеб Борковский </w:t>
      </w:r>
    </w:p>
    <w:p w:rsidR="002C0F56" w:rsidRDefault="00E67C6E">
      <w:pPr>
        <w:spacing w:after="25" w:line="259" w:lineRule="auto"/>
        <w:ind w:left="744" w:firstLine="0"/>
        <w:jc w:val="left"/>
      </w:pPr>
      <w:r>
        <w:t xml:space="preserve">  </w:t>
      </w:r>
    </w:p>
    <w:p w:rsidR="002C0F56" w:rsidRDefault="00E67C6E">
      <w:pPr>
        <w:spacing w:after="0"/>
        <w:ind w:left="165" w:right="872"/>
      </w:pPr>
      <w:r>
        <w:t xml:space="preserve">Донбасс – </w:t>
      </w:r>
      <w:r>
        <w:t>моя Родина, мой дом. В мой дом пришла война. Каждый день слышно, как рвутся снаряды. Я понимаю, что они убивают людей и разрушают города. Но также нас окружают вода, воздух, почва, животный и растительный мир.  Мне интересно, какой вред окружающей среде мо</w:t>
      </w:r>
      <w:r>
        <w:t xml:space="preserve">его края приносит эта война?  </w:t>
      </w:r>
    </w:p>
    <w:p w:rsidR="002C0F56" w:rsidRDefault="00E67C6E">
      <w:pPr>
        <w:spacing w:after="0"/>
        <w:ind w:left="165" w:right="867"/>
      </w:pPr>
      <w:r>
        <w:t xml:space="preserve">Актуальность: Военные действия наносят вред всем сферам жизни нашей молодой республики. Несмотря на это, экологические вопросы сегодня крайне важны. Ущерб, причиненный экосистеме, может привести к разрушению окружающей среды </w:t>
      </w:r>
      <w:r>
        <w:t xml:space="preserve">и оказать негативное влияние на здоровье людей не только одного поколения.  </w:t>
      </w:r>
    </w:p>
    <w:p w:rsidR="002C0F56" w:rsidRDefault="00E67C6E">
      <w:pPr>
        <w:ind w:left="165" w:right="302"/>
      </w:pPr>
      <w:r>
        <w:lastRenderedPageBreak/>
        <w:t xml:space="preserve">Цель моей работы: выяснить, какие последствия для экологии несут боевые действия, происходящие на территории Донбасса. </w:t>
      </w:r>
    </w:p>
    <w:p w:rsidR="002C0F56" w:rsidRDefault="00E67C6E">
      <w:pPr>
        <w:ind w:left="744" w:right="302" w:firstLine="0"/>
      </w:pPr>
      <w:r>
        <w:t xml:space="preserve">Задачи:  </w:t>
      </w:r>
    </w:p>
    <w:p w:rsidR="002C0F56" w:rsidRDefault="00E67C6E">
      <w:pPr>
        <w:numPr>
          <w:ilvl w:val="0"/>
          <w:numId w:val="120"/>
        </w:numPr>
        <w:ind w:right="302"/>
      </w:pPr>
      <w:r>
        <w:t xml:space="preserve">определить проблемы экологии Донецкого региона в </w:t>
      </w:r>
      <w:r>
        <w:t xml:space="preserve">настоящее время; </w:t>
      </w:r>
    </w:p>
    <w:p w:rsidR="002C0F56" w:rsidRDefault="00E67C6E">
      <w:pPr>
        <w:numPr>
          <w:ilvl w:val="0"/>
          <w:numId w:val="120"/>
        </w:numPr>
        <w:ind w:right="302"/>
      </w:pPr>
      <w:r>
        <w:t xml:space="preserve">описать возможные негативные последствия боевых действий для основных составляющих окружающей среды; </w:t>
      </w:r>
    </w:p>
    <w:p w:rsidR="002C0F56" w:rsidRDefault="00E67C6E">
      <w:pPr>
        <w:numPr>
          <w:ilvl w:val="0"/>
          <w:numId w:val="120"/>
        </w:numPr>
        <w:ind w:right="302"/>
      </w:pPr>
      <w:r>
        <w:t xml:space="preserve">привести примеры  обстрелов территории ДНР, которые принесли вред  окружающей среде; </w:t>
      </w:r>
    </w:p>
    <w:p w:rsidR="002C0F56" w:rsidRDefault="00E67C6E">
      <w:pPr>
        <w:numPr>
          <w:ilvl w:val="0"/>
          <w:numId w:val="120"/>
        </w:numPr>
        <w:ind w:right="302"/>
      </w:pPr>
      <w:r>
        <w:t>провести количественные расчеты и практические исс</w:t>
      </w:r>
      <w:r>
        <w:t xml:space="preserve">ледования для определения возможного воздействия боевых действий на окружающую среду,  используя  реальные цифры и факты; </w:t>
      </w:r>
    </w:p>
    <w:p w:rsidR="002C0F56" w:rsidRDefault="00E67C6E">
      <w:pPr>
        <w:numPr>
          <w:ilvl w:val="0"/>
          <w:numId w:val="120"/>
        </w:numPr>
        <w:ind w:right="302"/>
      </w:pPr>
      <w:r>
        <w:t xml:space="preserve">обратить внимание на экологические проблемы Донецкого региона в настоящее время; </w:t>
      </w:r>
    </w:p>
    <w:p w:rsidR="002C0F56" w:rsidRDefault="00E67C6E">
      <w:pPr>
        <w:numPr>
          <w:ilvl w:val="0"/>
          <w:numId w:val="120"/>
        </w:numPr>
        <w:ind w:right="302"/>
      </w:pPr>
      <w:r>
        <w:t>провести анкетирование обучающихся  третьих и четве</w:t>
      </w:r>
      <w:r>
        <w:t xml:space="preserve">ртого классов для выявления отношения гимназистов к проблемам экологии. </w:t>
      </w:r>
    </w:p>
    <w:p w:rsidR="002C0F56" w:rsidRDefault="00E67C6E">
      <w:pPr>
        <w:ind w:left="165" w:right="302"/>
      </w:pPr>
      <w:r>
        <w:t xml:space="preserve">Гипотеза: допустим, что боевые действия – достаточная угроза для экологии. </w:t>
      </w:r>
    </w:p>
    <w:p w:rsidR="002C0F56" w:rsidRDefault="00E67C6E">
      <w:pPr>
        <w:ind w:left="744" w:right="302" w:firstLine="0"/>
      </w:pPr>
      <w:r>
        <w:t xml:space="preserve">Методы исследования: </w:t>
      </w:r>
    </w:p>
    <w:p w:rsidR="002C0F56" w:rsidRDefault="00E67C6E">
      <w:pPr>
        <w:numPr>
          <w:ilvl w:val="0"/>
          <w:numId w:val="120"/>
        </w:numPr>
        <w:ind w:right="302"/>
      </w:pPr>
      <w:r>
        <w:t xml:space="preserve">изучение различных источников информации (справочная и художественная литература,  СМИ (телевидение, газеты, журналы), сеть Интернет); </w:t>
      </w:r>
    </w:p>
    <w:p w:rsidR="002C0F56" w:rsidRDefault="00E67C6E">
      <w:pPr>
        <w:numPr>
          <w:ilvl w:val="0"/>
          <w:numId w:val="120"/>
        </w:numPr>
        <w:ind w:right="302"/>
      </w:pPr>
      <w:r>
        <w:t xml:space="preserve">интервьюирование; </w:t>
      </w:r>
    </w:p>
    <w:p w:rsidR="002C0F56" w:rsidRDefault="00E67C6E">
      <w:pPr>
        <w:numPr>
          <w:ilvl w:val="0"/>
          <w:numId w:val="120"/>
        </w:numPr>
        <w:ind w:right="302"/>
      </w:pPr>
      <w:r>
        <w:t xml:space="preserve">анкетирование; </w:t>
      </w:r>
    </w:p>
    <w:p w:rsidR="002C0F56" w:rsidRDefault="00E67C6E">
      <w:pPr>
        <w:numPr>
          <w:ilvl w:val="0"/>
          <w:numId w:val="120"/>
        </w:numPr>
        <w:ind w:right="302"/>
      </w:pPr>
      <w:r>
        <w:t xml:space="preserve">анализ; </w:t>
      </w:r>
    </w:p>
    <w:p w:rsidR="002C0F56" w:rsidRDefault="00E67C6E">
      <w:pPr>
        <w:numPr>
          <w:ilvl w:val="0"/>
          <w:numId w:val="120"/>
        </w:numPr>
        <w:ind w:right="302"/>
      </w:pPr>
      <w:r>
        <w:t xml:space="preserve">проведение измерений, количественных расчетов; </w:t>
      </w:r>
    </w:p>
    <w:p w:rsidR="002C0F56" w:rsidRDefault="00E67C6E">
      <w:pPr>
        <w:numPr>
          <w:ilvl w:val="0"/>
          <w:numId w:val="120"/>
        </w:numPr>
        <w:ind w:right="302"/>
      </w:pPr>
      <w:r>
        <w:t xml:space="preserve">обобщение; </w:t>
      </w:r>
    </w:p>
    <w:p w:rsidR="002C0F56" w:rsidRDefault="00E67C6E">
      <w:pPr>
        <w:numPr>
          <w:ilvl w:val="0"/>
          <w:numId w:val="120"/>
        </w:numPr>
        <w:ind w:right="302"/>
      </w:pPr>
      <w:r>
        <w:t>результат исслед</w:t>
      </w:r>
      <w:r>
        <w:t xml:space="preserve">ования; </w:t>
      </w:r>
    </w:p>
    <w:p w:rsidR="002C0F56" w:rsidRDefault="00E67C6E">
      <w:pPr>
        <w:numPr>
          <w:ilvl w:val="0"/>
          <w:numId w:val="120"/>
        </w:numPr>
        <w:ind w:right="302"/>
      </w:pPr>
      <w:r>
        <w:t xml:space="preserve">выводы; </w:t>
      </w:r>
    </w:p>
    <w:p w:rsidR="002C0F56" w:rsidRDefault="00E67C6E">
      <w:pPr>
        <w:numPr>
          <w:ilvl w:val="0"/>
          <w:numId w:val="120"/>
        </w:numPr>
        <w:spacing w:after="5" w:line="268" w:lineRule="auto"/>
        <w:ind w:right="302"/>
      </w:pPr>
      <w:r>
        <w:t xml:space="preserve">презентация </w:t>
      </w:r>
      <w:r>
        <w:tab/>
        <w:t xml:space="preserve">(выступление </w:t>
      </w:r>
      <w:r>
        <w:tab/>
        <w:t xml:space="preserve">на </w:t>
      </w:r>
      <w:r>
        <w:tab/>
        <w:t xml:space="preserve">научно-практической </w:t>
      </w:r>
      <w:r>
        <w:tab/>
        <w:t xml:space="preserve">конференции обучающихся начальных классов в рамках недели науки, участие в конкурсе исследовательских работ и творческих проектов). </w:t>
      </w:r>
    </w:p>
    <w:p w:rsidR="002C0F56" w:rsidRDefault="00E67C6E">
      <w:pPr>
        <w:spacing w:after="5" w:line="268" w:lineRule="auto"/>
        <w:ind w:left="165" w:right="293" w:firstLine="554"/>
        <w:jc w:val="left"/>
      </w:pPr>
      <w:r>
        <w:t xml:space="preserve"> Промышленное освоение Донбасса началось в середине 1</w:t>
      </w:r>
      <w:r>
        <w:t xml:space="preserve">8 столетия в связи с открытием в Донбассе полезных ископаемых, в частности, каменного угля, который в то время являлся основным энергоносителем. Это и определило место </w:t>
      </w:r>
      <w:r>
        <w:tab/>
        <w:t xml:space="preserve">расположения </w:t>
      </w:r>
      <w:r>
        <w:tab/>
        <w:t xml:space="preserve">новых </w:t>
      </w:r>
      <w:r>
        <w:tab/>
        <w:t xml:space="preserve">заводов </w:t>
      </w:r>
      <w:r>
        <w:tab/>
        <w:t xml:space="preserve">и </w:t>
      </w:r>
      <w:r>
        <w:tab/>
        <w:t xml:space="preserve">фабрик. </w:t>
      </w:r>
      <w:r>
        <w:tab/>
        <w:t xml:space="preserve">Освоение </w:t>
      </w:r>
      <w:r>
        <w:tab/>
        <w:t>Донбасса производилось для нужд Рос</w:t>
      </w:r>
      <w:r>
        <w:t xml:space="preserve">сийской империи. Именно это повлияло на быстрое строительство густой сети железных дорог и промышленных предприятий. </w:t>
      </w:r>
    </w:p>
    <w:p w:rsidR="002C0F56" w:rsidRDefault="00E67C6E">
      <w:pPr>
        <w:ind w:left="165" w:right="864"/>
      </w:pPr>
      <w:r>
        <w:lastRenderedPageBreak/>
        <w:t xml:space="preserve">В настоящее время Донбасс является крупнейшим промышленным центром. Основная специализация предприятий - тяжелое машиностроение, черная и </w:t>
      </w:r>
      <w:r>
        <w:t>цветная металлургия, коксохимическая и горнодобывающая промышленность. Ведущей отраслью является угольная промышленность. Наличие промышленного производства, транспортной инфраструктуры  и высокая плотность населения создали много проблем для экологии. Ост</w:t>
      </w:r>
      <w:r>
        <w:t xml:space="preserve">рейшими проблемами региона являются: загрязнение атмосферного воздуха, водного бассейна и почв.  </w:t>
      </w:r>
    </w:p>
    <w:p w:rsidR="002C0F56" w:rsidRDefault="00E67C6E">
      <w:pPr>
        <w:ind w:left="165" w:right="866"/>
      </w:pPr>
      <w:r>
        <w:t>На сегодняшний день к этим проблемам присоединилась ещё одна – война. Военные действия всегда сопровождаются изменениями и разрушениями природной среды, истор</w:t>
      </w:r>
      <w:r>
        <w:t xml:space="preserve">ия войн - это история уничтожения природы и экологических катастроф.  </w:t>
      </w:r>
    </w:p>
    <w:p w:rsidR="002C0F56" w:rsidRDefault="00E67C6E">
      <w:pPr>
        <w:ind w:left="165" w:right="868"/>
      </w:pPr>
      <w:r>
        <w:t>В первую очередь, во время любых военных конфликтов большую угрозу для всего человечества несут  новые виды вооружений – это те, что называются оружием массового поражения. Это химическ</w:t>
      </w:r>
      <w:r>
        <w:t xml:space="preserve">ое, бактериологическое и атомное оружие. Катастрофические последствия его применения известны.  </w:t>
      </w:r>
    </w:p>
    <w:p w:rsidR="002C0F56" w:rsidRDefault="00E67C6E">
      <w:pPr>
        <w:ind w:left="165" w:right="874"/>
      </w:pPr>
      <w:r>
        <w:t>В обстрелах территории ДНР применяют обычные средства поражения. Эту войну называют «войной артиллерии». Можно выделить основные негативные  последствия для эк</w:t>
      </w:r>
      <w:r>
        <w:t xml:space="preserve">ологии, которые  несет война  в  нашем  регионе: </w:t>
      </w:r>
    </w:p>
    <w:p w:rsidR="002C0F56" w:rsidRDefault="00E67C6E">
      <w:pPr>
        <w:numPr>
          <w:ilvl w:val="0"/>
          <w:numId w:val="121"/>
        </w:numPr>
        <w:ind w:right="302"/>
      </w:pPr>
      <w:r>
        <w:t xml:space="preserve">загрязнение атмосферного воздуха; </w:t>
      </w:r>
    </w:p>
    <w:p w:rsidR="002C0F56" w:rsidRDefault="00E67C6E">
      <w:pPr>
        <w:numPr>
          <w:ilvl w:val="0"/>
          <w:numId w:val="121"/>
        </w:numPr>
        <w:ind w:right="302"/>
      </w:pPr>
      <w:r>
        <w:t xml:space="preserve">загрязнение почв тяжелыми металлами; </w:t>
      </w:r>
    </w:p>
    <w:p w:rsidR="002C0F56" w:rsidRDefault="00E67C6E">
      <w:pPr>
        <w:numPr>
          <w:ilvl w:val="0"/>
          <w:numId w:val="121"/>
        </w:numPr>
        <w:ind w:right="302"/>
      </w:pPr>
      <w:r>
        <w:t xml:space="preserve">разрушения (аварии) опасных объектов и очистных сооружений; </w:t>
      </w:r>
    </w:p>
    <w:p w:rsidR="002C0F56" w:rsidRDefault="00E67C6E">
      <w:pPr>
        <w:numPr>
          <w:ilvl w:val="0"/>
          <w:numId w:val="121"/>
        </w:numPr>
        <w:ind w:right="302"/>
      </w:pPr>
      <w:r>
        <w:t xml:space="preserve">загрязнение водных ресурсов; </w:t>
      </w:r>
    </w:p>
    <w:p w:rsidR="002C0F56" w:rsidRDefault="00E67C6E">
      <w:pPr>
        <w:numPr>
          <w:ilvl w:val="0"/>
          <w:numId w:val="121"/>
        </w:numPr>
        <w:ind w:right="302"/>
      </w:pPr>
      <w:r>
        <w:t xml:space="preserve">затопление шахт; </w:t>
      </w:r>
    </w:p>
    <w:p w:rsidR="002C0F56" w:rsidRDefault="00E67C6E">
      <w:pPr>
        <w:numPr>
          <w:ilvl w:val="0"/>
          <w:numId w:val="121"/>
        </w:numPr>
        <w:ind w:right="302"/>
      </w:pPr>
      <w:r>
        <w:t xml:space="preserve">уничтожение ландшафтов, растительности, значительных площадей степей и леса.  </w:t>
      </w:r>
    </w:p>
    <w:p w:rsidR="002C0F56" w:rsidRDefault="00E67C6E">
      <w:pPr>
        <w:ind w:left="165" w:right="870"/>
      </w:pPr>
      <w:r>
        <w:t>Чтобы узнать  мнение других детей о влиянии боевых действий на экологию Донбасса, выявить отношение гимназистов к проблемам экологии, я составил анкету и провел опрос среди обуч</w:t>
      </w:r>
      <w:r>
        <w:t>ающихся гимназии третьих и четвертого классов. По результатам анкетирования я построил диаграммы. Проанализировав результаты, я увидел, что ребята считают экологические проблемы одними из наиболее важных в Донецком регионе. Почти половина опрашиваемых  ука</w:t>
      </w:r>
      <w:r>
        <w:t xml:space="preserve">зала военные действия  главным среди других факторов загрязнения окружающей среды Донбасса. Все рассмотренные в работе негативные последствия войны в Донецком регионе отмечались в ответах в равной степени. </w:t>
      </w:r>
    </w:p>
    <w:p w:rsidR="002C0F56" w:rsidRDefault="00E67C6E">
      <w:pPr>
        <w:spacing w:after="0"/>
        <w:ind w:left="165" w:right="864"/>
      </w:pPr>
      <w:r>
        <w:t>Аварийное нарушение работы промышленных предприят</w:t>
      </w:r>
      <w:r>
        <w:t xml:space="preserve">ий - одно из самых опасных экологических последствий ведения боевых действий на Донбассе. </w:t>
      </w:r>
      <w:r>
        <w:lastRenderedPageBreak/>
        <w:t xml:space="preserve">Среди множества промышленных предприятий, поврежденных в результате боевых действий, оказались и наиболее экологически опасные производства: Ясиновский, Авдеевский и </w:t>
      </w:r>
      <w:r>
        <w:t>Енакиевский коксохимические заводы, Енакиевский металлургический завод, Лисичанский нефтеперерабатывающий завод, Донецкий казенный завод химических изделий, Славянская, Луганская и Кураховская тепловые электростанции, северодонецкий «Азот» и горловский «Ст</w:t>
      </w:r>
      <w:r>
        <w:t xml:space="preserve">ирол». Из них наибольшую опасность несут объекты химической отрасли.  </w:t>
      </w:r>
    </w:p>
    <w:p w:rsidR="002C0F56" w:rsidRDefault="00E67C6E">
      <w:pPr>
        <w:spacing w:after="5"/>
        <w:ind w:left="165" w:right="864"/>
      </w:pPr>
      <w:r>
        <w:t>К примеру, Донецкий химзавод одновременно является местом захоронения ядерных отходов, которые начали свозить туда еще в 1963 году. При аварии возможны масштабные попадания токсичных от</w:t>
      </w:r>
      <w:r>
        <w:t>ходов в реку Северский Донец – это большая угроза экосистеме всего Азовского моря. Большие опасения вызывал обстрел завода "Стирол", который производил и экспортировал аммиачные удобрения. К счастью, все опасные вещества с предприятия удалось эвакуировать.</w:t>
      </w:r>
      <w:r>
        <w:t xml:space="preserve">  Ранее, уполномоченный по правам человека в ДНР Дарья Морозова и руководитель Специальной мониторинговой миссии ОБСЕ Александр Хуг отмечали опасность экологической катастрофы в связи с близким расположением к линии соприкосновения на Донбассе хранилищ жид</w:t>
      </w:r>
      <w:r>
        <w:t xml:space="preserve">кого хлора. Если туда попадет снаряд, который спровоцирует утечку ядовитого вещества, то под угрозой окажется все живое в радиусе нескольких километров.  </w:t>
      </w:r>
    </w:p>
    <w:p w:rsidR="002C0F56" w:rsidRDefault="00E67C6E">
      <w:pPr>
        <w:spacing w:after="0"/>
        <w:ind w:left="165" w:right="868"/>
      </w:pPr>
      <w:r>
        <w:t>Затопление шахт также является следствием нарушений работы предприятия. Интересно было бы познакомить</w:t>
      </w:r>
      <w:r>
        <w:t>ся с опытом работы в этой области сотрудника горноспасательного отряда МЧС. Я взял интервью у моего папы, Кудри Дениса Александровича, командира взвода оперативного отдела (Приложение 3).  Я рассчитал время полного затопления шахты «Бутовская» ГП «Макеевуг</w:t>
      </w:r>
      <w:r>
        <w:t xml:space="preserve">оль» зная её водоприток, длину всех выработок шахты и среднее сечение этих выработок. Полное затопление шахты нашего города может произойти через 2 месяца и 4 дня. </w:t>
      </w:r>
    </w:p>
    <w:p w:rsidR="002C0F56" w:rsidRDefault="00E67C6E">
      <w:pPr>
        <w:spacing w:after="0"/>
        <w:ind w:left="165" w:right="865"/>
      </w:pPr>
      <w:r>
        <w:t>Загрязнение атмосферного воздуха опасными газами происходит в процессе артиллерийских обстр</w:t>
      </w:r>
      <w:r>
        <w:t>елов и детонации взрывчатки. Серьезное влияние на атмосферу также оказывают пожары, в которых горючие материалы разнообразны по своему составу, поэтому и  продукты горения по химическому строению и уровню токсичности могут присутствовать самые разнообразны</w:t>
      </w:r>
      <w:r>
        <w:t>е. Среди самых распространенных - оксиды углерода, серы, азота, хлористый водород, углеводороды различных классов, спирты и др. Большинство перечисленных химических веществ оказывают вредное воздействие на живые организмы, при повышенных концентрациях пред</w:t>
      </w:r>
      <w:r>
        <w:t>ставляют собой смертельно опасный яд. Я воспользовался газоопределителем химическим ГХ-М для определения содержания оксида углерода в воздухе Измерения проводили в безветренную погоду в трех  местах (на расстоянии 50 м от костра (точка №1), 2м от костра (т</w:t>
      </w:r>
      <w:r>
        <w:t xml:space="preserve">очка №2) и непосредственно возле костра (точка №3)).  </w:t>
      </w:r>
    </w:p>
    <w:p w:rsidR="002C0F56" w:rsidRDefault="00E67C6E">
      <w:pPr>
        <w:spacing w:after="2"/>
        <w:ind w:left="165" w:right="873"/>
      </w:pPr>
      <w:r>
        <w:lastRenderedPageBreak/>
        <w:t>Измерения показали, что концентрация оксида углерода в дыму от костра превышает допустимые значения и является смертельной для человека. Можно представить, какое количество оксида углерода выделяется в воздух при больших пожарах, причиной которых служат бо</w:t>
      </w:r>
      <w:r>
        <w:t xml:space="preserve">евые действия. </w:t>
      </w:r>
    </w:p>
    <w:p w:rsidR="002C0F56" w:rsidRDefault="00E67C6E">
      <w:pPr>
        <w:spacing w:after="11"/>
        <w:ind w:left="165" w:right="865"/>
      </w:pPr>
      <w:r>
        <w:t>Изучив военную литературу, стало известно, что  влияние различных видов оружия на ландшафты проявляется по-разному. Например, осколочные снаряды поражают цель осколками разорвавшегося корпуса и отчасти действием продуктов взрыва. Высокая ко</w:t>
      </w:r>
      <w:r>
        <w:t xml:space="preserve">нцентрация различных металлов и большое количество  металлических осколков делает невозможным использование этих земель как сельскохозяйственных угодий в будущем.  </w:t>
      </w:r>
    </w:p>
    <w:p w:rsidR="002C0F56" w:rsidRDefault="00E67C6E">
      <w:pPr>
        <w:ind w:left="165" w:right="726"/>
      </w:pPr>
      <w:r>
        <w:t xml:space="preserve">Мною был выполнен Расчет массы металлических осколков снарядов от крупнокалиберных орудий, </w:t>
      </w:r>
      <w:r>
        <w:t xml:space="preserve">попадающих на территорию ДНР за сутки (11 марта 2017г). </w:t>
      </w:r>
    </w:p>
    <w:p w:rsidR="002C0F56" w:rsidRDefault="00E67C6E">
      <w:pPr>
        <w:ind w:left="165" w:right="866"/>
      </w:pPr>
      <w:r>
        <w:t xml:space="preserve"> Данный расчет нес лишь относительный характер, но он показал, что только за одни сутки масса металлических осколков составила приблизительно 10 тонн. </w:t>
      </w:r>
    </w:p>
    <w:p w:rsidR="002C0F56" w:rsidRDefault="00E67C6E">
      <w:pPr>
        <w:ind w:left="165" w:right="867"/>
      </w:pPr>
      <w:r>
        <w:t>На природоохранные территории нашего края взрыв</w:t>
      </w:r>
      <w:r>
        <w:t>ы и лесные пожары также оказывают губительное влияние. От огня пострадало 18% всех лесов и 23% степных территорий Донецкого региона. Сгорело 1200 га национального парка "Святые горы" и 1800 га регионального ландшафтного парка "Донецкий кряж", пострадал так</w:t>
      </w:r>
      <w:r>
        <w:t xml:space="preserve">же заповедник «Меотида».  </w:t>
      </w:r>
    </w:p>
    <w:p w:rsidR="002C0F56" w:rsidRDefault="00E67C6E">
      <w:pPr>
        <w:ind w:left="165" w:right="864"/>
      </w:pPr>
      <w:r>
        <w:t xml:space="preserve"> Интересно ближе  познакомиться с ландшафтными парками и природными заповедниками нашего региона, узнать много интересного. Эта тема будет следующей для моих исследований.  </w:t>
      </w:r>
    </w:p>
    <w:p w:rsidR="002C0F56" w:rsidRDefault="00E67C6E">
      <w:pPr>
        <w:ind w:left="744" w:right="302" w:firstLine="0"/>
      </w:pPr>
      <w:r>
        <w:t xml:space="preserve">Выводы </w:t>
      </w:r>
    </w:p>
    <w:p w:rsidR="002C0F56" w:rsidRDefault="00E67C6E">
      <w:pPr>
        <w:numPr>
          <w:ilvl w:val="0"/>
          <w:numId w:val="122"/>
        </w:numPr>
        <w:ind w:right="302"/>
      </w:pPr>
      <w:r>
        <w:t xml:space="preserve">Определены возможные негативные последствия боевых действий для экологии Донбасса. </w:t>
      </w:r>
    </w:p>
    <w:p w:rsidR="002C0F56" w:rsidRDefault="00E67C6E">
      <w:pPr>
        <w:numPr>
          <w:ilvl w:val="0"/>
          <w:numId w:val="122"/>
        </w:numPr>
        <w:ind w:right="302"/>
      </w:pPr>
      <w:r>
        <w:t xml:space="preserve">Проведено анкетирование обучающихся, построены диаграммы, проведен анализ результатов. </w:t>
      </w:r>
    </w:p>
    <w:p w:rsidR="002C0F56" w:rsidRDefault="00E67C6E">
      <w:pPr>
        <w:numPr>
          <w:ilvl w:val="0"/>
          <w:numId w:val="122"/>
        </w:numPr>
        <w:ind w:right="302"/>
      </w:pPr>
      <w:r>
        <w:t>Продемонстрировано экспресс-определение газоопределителем химическим ГХ-М содержание</w:t>
      </w:r>
      <w:r>
        <w:t xml:space="preserve"> оксида углерода в атмосферном воздухе. </w:t>
      </w:r>
    </w:p>
    <w:p w:rsidR="002C0F56" w:rsidRDefault="00E67C6E">
      <w:pPr>
        <w:numPr>
          <w:ilvl w:val="0"/>
          <w:numId w:val="122"/>
        </w:numPr>
        <w:ind w:right="302"/>
      </w:pPr>
      <w:r>
        <w:t xml:space="preserve">Выполнен расчет времени полного затопления шахты «Бутовская» ГП «Макеевуголь». </w:t>
      </w:r>
    </w:p>
    <w:p w:rsidR="002C0F56" w:rsidRDefault="00E67C6E">
      <w:pPr>
        <w:numPr>
          <w:ilvl w:val="0"/>
          <w:numId w:val="122"/>
        </w:numPr>
        <w:ind w:right="302"/>
      </w:pPr>
      <w:r>
        <w:t>Выполнен расчет массы металлических осколков снарядов от крупнокалиберных орудий, попадающих на территорию Донецкой народной республики</w:t>
      </w:r>
      <w:r>
        <w:t xml:space="preserve"> за сутки. </w:t>
      </w:r>
    </w:p>
    <w:p w:rsidR="002C0F56" w:rsidRDefault="00E67C6E">
      <w:pPr>
        <w:numPr>
          <w:ilvl w:val="0"/>
          <w:numId w:val="122"/>
        </w:numPr>
        <w:ind w:right="302"/>
      </w:pPr>
      <w:r>
        <w:t xml:space="preserve">Выбрана тема для моей будущей исследовательской работы. </w:t>
      </w:r>
    </w:p>
    <w:p w:rsidR="002C0F56" w:rsidRDefault="00E67C6E">
      <w:pPr>
        <w:numPr>
          <w:ilvl w:val="0"/>
          <w:numId w:val="122"/>
        </w:numPr>
        <w:ind w:right="302"/>
      </w:pPr>
      <w:r>
        <w:t xml:space="preserve">Исследования подтвердили выдвинутую гипотезу: боевые действия – достаточная угроза для экологии. Применение даже оружия немассового </w:t>
      </w:r>
      <w:r>
        <w:lastRenderedPageBreak/>
        <w:t>уничтожения ведет к разрушению окружающей среды,  приво</w:t>
      </w:r>
      <w:r>
        <w:t xml:space="preserve">дит к ухудшению состояния экосистемы на длительный период.  </w:t>
      </w:r>
    </w:p>
    <w:p w:rsidR="002C0F56" w:rsidRDefault="00E67C6E">
      <w:pPr>
        <w:spacing w:after="10"/>
        <w:ind w:left="165" w:right="865"/>
      </w:pPr>
      <w:r>
        <w:t>Необходимо сделать все, чтоб война в нашем регионе прекратилась. Важно сберечь и сохранить природные богатства, ведь Земля у нас одна. Природа, как мощная система, увидев заботу о ней – поддержит</w:t>
      </w:r>
      <w:r>
        <w:t xml:space="preserve"> в трудный час.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23"/>
        </w:numPr>
        <w:ind w:right="302" w:firstLine="278"/>
      </w:pPr>
      <w:r>
        <w:t xml:space="preserve">Мамин Р.Г. Экология войны. – М.: Просвещение. – 2011. – 180с. </w:t>
      </w:r>
    </w:p>
    <w:p w:rsidR="002C0F56" w:rsidRDefault="00E67C6E">
      <w:pPr>
        <w:numPr>
          <w:ilvl w:val="0"/>
          <w:numId w:val="123"/>
        </w:numPr>
        <w:ind w:right="302" w:firstLine="278"/>
      </w:pPr>
      <w:r>
        <w:t xml:space="preserve">Реймс Н.Ф. Азбука природы. – М.: Знание. - 2000. – 208 с. </w:t>
      </w:r>
    </w:p>
    <w:p w:rsidR="002C0F56" w:rsidRDefault="00E67C6E">
      <w:pPr>
        <w:numPr>
          <w:ilvl w:val="0"/>
          <w:numId w:val="123"/>
        </w:numPr>
        <w:ind w:right="302" w:firstLine="278"/>
      </w:pPr>
      <w:r>
        <w:t xml:space="preserve">Руководство по эксплуатации ГХ-М.000 РЭ//ПАО «Донецкий завод горноспасательной аппаратуры» </w:t>
      </w:r>
    </w:p>
    <w:p w:rsidR="002C0F56" w:rsidRDefault="00E67C6E">
      <w:pPr>
        <w:numPr>
          <w:ilvl w:val="0"/>
          <w:numId w:val="123"/>
        </w:numPr>
        <w:ind w:right="302" w:firstLine="278"/>
      </w:pPr>
      <w:r>
        <w:t>Ряб</w:t>
      </w:r>
      <w:r>
        <w:t>инина Т. Экоцид против Республики//Донецкая Республика. – 2016. -</w:t>
      </w:r>
    </w:p>
    <w:p w:rsidR="002C0F56" w:rsidRDefault="00E67C6E">
      <w:pPr>
        <w:ind w:left="165" w:right="302" w:firstLine="0"/>
      </w:pPr>
      <w:r>
        <w:t xml:space="preserve">№6(45). – С. 10 </w:t>
      </w:r>
    </w:p>
    <w:p w:rsidR="002C0F56" w:rsidRDefault="00E67C6E">
      <w:pPr>
        <w:numPr>
          <w:ilvl w:val="0"/>
          <w:numId w:val="123"/>
        </w:numPr>
        <w:ind w:right="302" w:firstLine="278"/>
      </w:pPr>
      <w:r>
        <w:t xml:space="preserve">Чернова Н.И., Былова А.М. Общая Экология, 2004, 416с. </w:t>
      </w:r>
    </w:p>
    <w:p w:rsidR="002C0F56" w:rsidRDefault="00E67C6E">
      <w:pPr>
        <w:numPr>
          <w:ilvl w:val="0"/>
          <w:numId w:val="123"/>
        </w:numPr>
        <w:ind w:right="302" w:firstLine="278"/>
      </w:pPr>
      <w:r>
        <w:t xml:space="preserve">Интернет-источники: </w:t>
      </w:r>
      <w:hyperlink r:id="rId864">
        <w:r>
          <w:t>http://alfa.moreprom.ru/index.php?option=com_content&amp;view=article&amp;id=91:2</w:t>
        </w:r>
      </w:hyperlink>
    </w:p>
    <w:p w:rsidR="002C0F56" w:rsidRDefault="00E67C6E">
      <w:pPr>
        <w:ind w:left="729" w:right="865" w:hanging="564"/>
      </w:pPr>
      <w:hyperlink r:id="rId865">
        <w:r>
          <w:t>013</w:t>
        </w:r>
      </w:hyperlink>
      <w:hyperlink r:id="rId866">
        <w:r>
          <w:t>-</w:t>
        </w:r>
      </w:hyperlink>
      <w:hyperlink r:id="rId867">
        <w:r>
          <w:t>В</w:t>
        </w:r>
      </w:hyperlink>
      <w:r>
        <w:t xml:space="preserve">лияние пожаров на экологию и здоровье населения </w:t>
      </w:r>
      <w:hyperlink r:id="rId868">
        <w:r>
          <w:t>http://dnr</w:t>
        </w:r>
      </w:hyperlink>
      <w:hyperlink r:id="rId869">
        <w:r>
          <w:t>-</w:t>
        </w:r>
      </w:hyperlink>
      <w:hyperlink r:id="rId870">
        <w:r>
          <w:t>online.ru/</w:t>
        </w:r>
      </w:hyperlink>
      <w:hyperlink r:id="rId871">
        <w:r>
          <w:t xml:space="preserve"> </w:t>
        </w:r>
      </w:hyperlink>
      <w:r>
        <w:t xml:space="preserve">- Официальный сайт Донецкой Народной Республики </w:t>
      </w:r>
      <w:hyperlink r:id="rId872">
        <w:r>
          <w:t>http://www.donbass</w:t>
        </w:r>
      </w:hyperlink>
      <w:hyperlink r:id="rId873">
        <w:r>
          <w:t>-</w:t>
        </w:r>
      </w:hyperlink>
      <w:hyperlink r:id="rId874">
        <w:r>
          <w:t>info.com/content/view/26369/26380</w:t>
        </w:r>
      </w:hyperlink>
      <w:hyperlink r:id="rId875">
        <w:r>
          <w:t xml:space="preserve"> </w:t>
        </w:r>
      </w:hyperlink>
      <w:r>
        <w:t xml:space="preserve">- Донбасс </w:t>
      </w:r>
    </w:p>
    <w:p w:rsidR="002C0F56" w:rsidRDefault="00E67C6E">
      <w:pPr>
        <w:ind w:left="729" w:right="866" w:hanging="564"/>
      </w:pPr>
      <w:r>
        <w:t xml:space="preserve">информационный </w:t>
      </w:r>
      <w:hyperlink r:id="rId876">
        <w:r>
          <w:t>http://encyclopedia.mil.ru/encyclopedia/dictionary/</w:t>
        </w:r>
      </w:hyperlink>
      <w:hyperlink r:id="rId877">
        <w:r>
          <w:t xml:space="preserve"> </w:t>
        </w:r>
      </w:hyperlink>
      <w:r>
        <w:tab/>
        <w:t xml:space="preserve">- </w:t>
      </w:r>
      <w:r>
        <w:tab/>
        <w:t xml:space="preserve">Военный </w:t>
      </w:r>
    </w:p>
    <w:p w:rsidR="002C0F56" w:rsidRDefault="00E67C6E">
      <w:pPr>
        <w:spacing w:after="10"/>
        <w:ind w:left="165" w:right="869" w:firstLine="0"/>
      </w:pPr>
      <w:r>
        <w:t xml:space="preserve">энциклопедический словарь </w:t>
      </w:r>
      <w:hyperlink r:id="rId878">
        <w:r>
          <w:t>http://greenologia.ru/eko</w:t>
        </w:r>
      </w:hyperlink>
      <w:hyperlink r:id="rId879">
        <w:r>
          <w:t>-</w:t>
        </w:r>
      </w:hyperlink>
      <w:hyperlink r:id="rId880">
        <w:r>
          <w:t>pro</w:t>
        </w:r>
        <w:r>
          <w:t>blemy/tyazhelye</w:t>
        </w:r>
      </w:hyperlink>
      <w:hyperlink r:id="rId881">
        <w:r>
          <w:t>-</w:t>
        </w:r>
      </w:hyperlink>
      <w:hyperlink r:id="rId882">
        <w:r>
          <w:t>metally</w:t>
        </w:r>
      </w:hyperlink>
      <w:hyperlink r:id="rId883">
        <w:r>
          <w:t>-</w:t>
        </w:r>
      </w:hyperlink>
      <w:hyperlink r:id="rId884">
        <w:r>
          <w:t>pochvu.html</w:t>
        </w:r>
      </w:hyperlink>
      <w:hyperlink r:id="rId885">
        <w:r>
          <w:t xml:space="preserve"> </w:t>
        </w:r>
      </w:hyperlink>
      <w:r>
        <w:t>- Загрязнение почвы тяжелыми металлами  и способы борьбы</w:t>
      </w:r>
      <w:r>
        <w:t xml:space="preserve"> с ним </w:t>
      </w:r>
      <w:hyperlink r:id="rId886">
        <w:r>
          <w:t>http://militaryarms.ru/</w:t>
        </w:r>
      </w:hyperlink>
      <w:hyperlink r:id="rId887">
        <w:r>
          <w:t xml:space="preserve"> </w:t>
        </w:r>
      </w:hyperlink>
      <w:r>
        <w:t xml:space="preserve">- Военная техника и оружие </w:t>
      </w:r>
    </w:p>
    <w:p w:rsidR="002C0F56" w:rsidRDefault="00E67C6E">
      <w:pPr>
        <w:ind w:left="744" w:right="302" w:firstLine="0"/>
      </w:pPr>
      <w:hyperlink r:id="rId888">
        <w:r>
          <w:t>http://ru</w:t>
        </w:r>
      </w:hyperlink>
      <w:hyperlink r:id="rId889">
        <w:r>
          <w:t>-</w:t>
        </w:r>
      </w:hyperlink>
      <w:hyperlink r:id="rId890">
        <w:r>
          <w:t>ecology.info/post/100767101910002/</w:t>
        </w:r>
      </w:hyperlink>
      <w:hyperlink r:id="rId891">
        <w:r>
          <w:t xml:space="preserve"> </w:t>
        </w:r>
      </w:hyperlink>
      <w:r>
        <w:t xml:space="preserve">- Основные составляющие </w:t>
      </w:r>
    </w:p>
    <w:p w:rsidR="002C0F56" w:rsidRDefault="00E67C6E">
      <w:pPr>
        <w:ind w:left="165" w:right="865" w:firstLine="0"/>
      </w:pPr>
      <w:r>
        <w:t xml:space="preserve">окружающей среды и биосферы </w:t>
      </w:r>
      <w:hyperlink r:id="rId892">
        <w:r>
          <w:t>https://ria.ru/world/20170310/1489727697.html</w:t>
        </w:r>
      </w:hyperlink>
      <w:hyperlink r:id="rId893">
        <w:r>
          <w:t xml:space="preserve"> </w:t>
        </w:r>
      </w:hyperlink>
      <w:r>
        <w:t xml:space="preserve">- РИА Новости - события в России и мире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25" w:line="259" w:lineRule="auto"/>
        <w:ind w:right="856"/>
        <w:jc w:val="right"/>
      </w:pPr>
      <w:r>
        <w:t xml:space="preserve">Кулакова А.А. </w:t>
      </w:r>
      <w:r>
        <w:rPr>
          <w:b w:val="0"/>
        </w:rPr>
        <w:t>Научный руководитель: Фаизова Э.Ф.</w:t>
      </w:r>
      <w:r>
        <w:rPr>
          <w:b w:val="0"/>
        </w:rPr>
        <w:t xml:space="preserve">, к.э.н.  </w:t>
      </w:r>
    </w:p>
    <w:p w:rsidR="002C0F56" w:rsidRDefault="00E67C6E">
      <w:pPr>
        <w:spacing w:after="0" w:line="267" w:lineRule="auto"/>
        <w:ind w:left="905" w:right="860" w:hanging="10"/>
        <w:jc w:val="right"/>
      </w:pPr>
      <w:r>
        <w:rPr>
          <w:i/>
        </w:rPr>
        <w:t xml:space="preserve">Стерлитамакский филиал «Башкирский государственный университет» </w:t>
      </w:r>
    </w:p>
    <w:p w:rsidR="002C0F56" w:rsidRDefault="00E67C6E">
      <w:pPr>
        <w:spacing w:after="0" w:line="259" w:lineRule="auto"/>
        <w:ind w:left="744" w:firstLine="0"/>
        <w:jc w:val="left"/>
      </w:pPr>
      <w:r>
        <w:t xml:space="preserve"> </w:t>
      </w:r>
    </w:p>
    <w:p w:rsidR="002C0F56" w:rsidRDefault="00E67C6E">
      <w:pPr>
        <w:spacing w:after="23" w:line="259" w:lineRule="auto"/>
        <w:ind w:left="744" w:firstLine="0"/>
        <w:jc w:val="left"/>
      </w:pPr>
      <w:r>
        <w:rPr>
          <w:b/>
        </w:rPr>
        <w:t xml:space="preserve"> </w:t>
      </w:r>
    </w:p>
    <w:p w:rsidR="002C0F56" w:rsidRDefault="00E67C6E">
      <w:pPr>
        <w:pStyle w:val="1"/>
        <w:ind w:left="700" w:right="1377"/>
      </w:pPr>
      <w:r>
        <w:t xml:space="preserve">EVENT-MARKETING КАК ПРЯМОЙ КОММУНИКАТИВНЫЙ ИНСТРУМЕНТ С ПОТРЕБИТЕЛЯМИ </w:t>
      </w:r>
    </w:p>
    <w:p w:rsidR="002C0F56" w:rsidRDefault="00E67C6E">
      <w:pPr>
        <w:spacing w:after="0" w:line="259" w:lineRule="auto"/>
        <w:ind w:left="744" w:firstLine="0"/>
        <w:jc w:val="left"/>
      </w:pPr>
      <w:r>
        <w:t xml:space="preserve"> </w:t>
      </w:r>
    </w:p>
    <w:p w:rsidR="002C0F56" w:rsidRDefault="00E67C6E">
      <w:pPr>
        <w:ind w:left="165" w:right="870"/>
      </w:pPr>
      <w:r>
        <w:lastRenderedPageBreak/>
        <w:t xml:space="preserve">В настоящее время в связи с развитием современного рынка, огромное количество рекламы обрушивается на потребителя ежедневно, где он перестает адекватно воспринимать рекламную информацию. Производители продукции ищут различные способы привлечения клиентов: </w:t>
      </w:r>
      <w:r>
        <w:t xml:space="preserve">изобретая креативные концепции, завлекая потребителя подарками, подзуживая интригующей рекламой. Event-marketing является одним из инструментов решения из сложившийся ситуации. </w:t>
      </w:r>
    </w:p>
    <w:p w:rsidR="002C0F56" w:rsidRDefault="00E67C6E">
      <w:pPr>
        <w:ind w:left="165" w:right="870"/>
      </w:pPr>
      <w:r>
        <w:t>Event-marketing или событийный маркетинг представляет собой «живые» тематическ</w:t>
      </w:r>
      <w:r>
        <w:t xml:space="preserve">ие мероприятия, непосредственно связанные с продаже рекламируемого товара. К его главным достоинствам можно отнести широкий охват целевых аудиторий и гибкость подаваемых сообщений. </w:t>
      </w:r>
    </w:p>
    <w:p w:rsidR="002C0F56" w:rsidRDefault="00E67C6E">
      <w:pPr>
        <w:ind w:left="165" w:right="527"/>
      </w:pPr>
      <w:r>
        <w:t>В рамках реализации event маркетинга, все мероприятия можно разделить на с</w:t>
      </w:r>
      <w:r>
        <w:t xml:space="preserve">ледующие виды по целям: </w:t>
      </w:r>
    </w:p>
    <w:p w:rsidR="002C0F56" w:rsidRDefault="00E67C6E">
      <w:pPr>
        <w:spacing w:after="0"/>
        <w:ind w:left="165" w:right="302"/>
      </w:pPr>
      <w:r>
        <w:t>1. TRADEEVENTS – это мероприятия для партнеров, клиентов, дилеров и дистрибьюторов. Представляют собой деловые мероприятия, не исключающие изюминки и развлекательной составляющей. Цель проведения подобных организационных процедур –</w:t>
      </w:r>
      <w:r>
        <w:t xml:space="preserve"> представить товар, наглядно продемонстрировав его достоинства и уникальность. </w:t>
      </w:r>
    </w:p>
    <w:p w:rsidR="002C0F56" w:rsidRDefault="00E67C6E">
      <w:pPr>
        <w:spacing w:after="15" w:line="268" w:lineRule="auto"/>
        <w:ind w:left="10" w:right="626" w:hanging="10"/>
        <w:jc w:val="center"/>
      </w:pPr>
      <w:r>
        <w:t xml:space="preserve">Как правило, данные мероприятия строятся по следующим принципам: </w:t>
      </w:r>
    </w:p>
    <w:p w:rsidR="002C0F56" w:rsidRDefault="00E67C6E">
      <w:pPr>
        <w:numPr>
          <w:ilvl w:val="0"/>
          <w:numId w:val="124"/>
        </w:numPr>
        <w:ind w:right="302"/>
      </w:pPr>
      <w:r>
        <w:t xml:space="preserve">привлечение промоутеров, которые распространяют листовки рекламной кампании о представлении бренда продукта; </w:t>
      </w:r>
    </w:p>
    <w:p w:rsidR="002C0F56" w:rsidRDefault="00E67C6E">
      <w:pPr>
        <w:numPr>
          <w:ilvl w:val="0"/>
          <w:numId w:val="124"/>
        </w:numPr>
        <w:ind w:right="302"/>
      </w:pPr>
      <w:r>
        <w:t xml:space="preserve">организация места, где будет проходить раздача, семплинг или дегустация с участием промо-персонала; </w:t>
      </w:r>
    </w:p>
    <w:p w:rsidR="002C0F56" w:rsidRDefault="00E67C6E">
      <w:pPr>
        <w:numPr>
          <w:ilvl w:val="0"/>
          <w:numId w:val="124"/>
        </w:numPr>
        <w:ind w:right="302"/>
      </w:pPr>
      <w:r>
        <w:t xml:space="preserve">оснащение мероприятия специальным брендового оборудования, например, промо-стойка, где могут быть размещены иллюстрации с рекламой продукта. </w:t>
      </w:r>
    </w:p>
    <w:p w:rsidR="002C0F56" w:rsidRDefault="00E67C6E">
      <w:pPr>
        <w:spacing w:after="8"/>
        <w:ind w:left="165" w:right="870"/>
      </w:pPr>
      <w:r>
        <w:t>Эффективность</w:t>
      </w:r>
      <w:r>
        <w:t xml:space="preserve"> данных мероприятий зависит от издержек, затраченных на эту организацию. При достаточно высоких затратах (заработная плата персоналу, аренда места проведения, используемое оборудование, рекламная кампания и другие затраты), результативность проведенного ме</w:t>
      </w:r>
      <w:r>
        <w:t xml:space="preserve">роприятия сводится к нулю. </w:t>
      </w:r>
    </w:p>
    <w:p w:rsidR="002C0F56" w:rsidRDefault="00E67C6E">
      <w:pPr>
        <w:spacing w:after="11" w:line="270" w:lineRule="auto"/>
        <w:ind w:left="10" w:right="862" w:hanging="10"/>
        <w:jc w:val="right"/>
      </w:pPr>
      <w:r>
        <w:t xml:space="preserve">2. CORPORATEEVENTS (HR EVENTS) – корпоративные мероприятия </w:t>
      </w:r>
    </w:p>
    <w:p w:rsidR="002C0F56" w:rsidRDefault="00E67C6E">
      <w:pPr>
        <w:ind w:left="165" w:right="873" w:firstLine="0"/>
      </w:pPr>
      <w:r>
        <w:t>(совместный отдых сотрудников, юбилеи компании, профессиональные праздники). Корпоративные мероприятия предоставляют уникальную возможность донести идеи компании непосредственно до сотрудников организации. Кроме этого, работники компании могут послужить эф</w:t>
      </w:r>
      <w:r>
        <w:t xml:space="preserve">фективным инструментом внешнего маркетинга, привлекая на данные мероприятия центральных клиентов и партнеров. Также, любое профессионально </w:t>
      </w:r>
      <w:r>
        <w:lastRenderedPageBreak/>
        <w:t>проведенное корпоративное мероприятие направлено на повышение авторитета руководства и формирование корпоративного со</w:t>
      </w:r>
      <w:r>
        <w:t xml:space="preserve">трудничества. </w:t>
      </w:r>
    </w:p>
    <w:p w:rsidR="002C0F56" w:rsidRDefault="00E67C6E">
      <w:pPr>
        <w:ind w:left="165" w:right="302"/>
      </w:pPr>
      <w:r>
        <w:t xml:space="preserve">В недавнем времени в области HR events появились новые виды мероприятий, такие как family day и teambuilding. </w:t>
      </w:r>
    </w:p>
    <w:p w:rsidR="002C0F56" w:rsidRDefault="00E67C6E">
      <w:pPr>
        <w:ind w:left="165" w:right="873"/>
      </w:pPr>
      <w:r>
        <w:t>Family day преследует цель сплочения сотрудников компании посредством проведения совместных праздников в фирме (например, традиция</w:t>
      </w:r>
      <w:r>
        <w:t xml:space="preserve"> проведения дней рождений работников). Данный инструмент способствует уменьшению оттока работников из фирмы, способствуя созданию из компании одной большой семьи. </w:t>
      </w:r>
    </w:p>
    <w:p w:rsidR="002C0F56" w:rsidRDefault="00E67C6E">
      <w:pPr>
        <w:ind w:left="165" w:right="865"/>
      </w:pPr>
      <w:r>
        <w:t>Teambuilding – это коллективный тренинг, в котором под предводительством профессионального п</w:t>
      </w:r>
      <w:r>
        <w:t>сихолога моделируются бизнесситуации, а сотрудники призваны решать их. Цель данного мероприятия – это повышение работоспособности работников, налаживание прочных корпоративных отношений между ними. В рамках подобных событий отрабатывается практика принятия</w:t>
      </w:r>
      <w:r>
        <w:t xml:space="preserve"> сложных решений через организацию комплекса ролевых игр, тренингов и отдыха.  </w:t>
      </w:r>
    </w:p>
    <w:p w:rsidR="002C0F56" w:rsidRDefault="00E67C6E">
      <w:pPr>
        <w:spacing w:after="1"/>
        <w:ind w:left="165" w:right="870"/>
      </w:pPr>
      <w:r>
        <w:t>3. SPECIALEVENTS – это специальные мероприятия (фестивали, вручение премий, мероприятия для прессы, специальные события и прочее). В данную группу мероприятий можно отнести все</w:t>
      </w:r>
      <w:r>
        <w:t>возможные фестивали, концерты, шоу, массовые мероприятия, road-show (рекламные туры). После профессионального серии pr-акции следует обширная положительная реакция целевой аудитории, выраженная в доверии к компании и повышении роста интереса со стороны кли</w:t>
      </w:r>
      <w:r>
        <w:t>ентов. Также, в эту группу входят и спонсорские благотворительные программы, обеспечивающие продвижение имиджа компании. К примеру, фестиваль Tuborg Greenfest является ярким международным проектом, который ежегодно организовывает пивной бренд Tuborg. Благо</w:t>
      </w:r>
      <w:r>
        <w:t xml:space="preserve">даря данному бренду, жители многих стран получают возможность вживую увидеть популярные зарубежные рок-группы, которые являются культовыми в музыкальной индустрии. </w:t>
      </w:r>
    </w:p>
    <w:p w:rsidR="002C0F56" w:rsidRDefault="00E67C6E">
      <w:pPr>
        <w:ind w:left="165" w:right="869"/>
      </w:pPr>
      <w:r>
        <w:t>В зависимости от типа маркетинговой деятельности выделяют множество различных форматов even</w:t>
      </w:r>
      <w:r>
        <w:t xml:space="preserve">t-marketing. Основные из них: открытие, презентация, выставка, и праздник. Каждый имеет свои особенности. </w:t>
      </w:r>
    </w:p>
    <w:p w:rsidR="002C0F56" w:rsidRDefault="00E67C6E">
      <w:pPr>
        <w:spacing w:after="10"/>
        <w:ind w:left="165" w:right="866"/>
      </w:pPr>
      <w:r>
        <w:t xml:space="preserve">Открытие является самым популярным форматом event-marketing. Его главная цель – это привлечение внимания аудитории потребителей к появлению на рынке </w:t>
      </w:r>
      <w:r>
        <w:t xml:space="preserve">товаров нового бренда. Для того, чтобы максимально привлечь потребителей к данному мероприятию, необходимо его грамотно организовать. </w:t>
      </w:r>
    </w:p>
    <w:p w:rsidR="002C0F56" w:rsidRDefault="00E67C6E">
      <w:pPr>
        <w:spacing w:after="1"/>
        <w:ind w:left="165" w:right="868"/>
      </w:pPr>
      <w:r>
        <w:t>Целью презентации является достижение максимальной заинтересованности потребителя в приобретении и использовании представ</w:t>
      </w:r>
      <w:r>
        <w:t xml:space="preserve">ляемого продукта. Данный формат event-marketing – это событие, </w:t>
      </w:r>
      <w:r>
        <w:lastRenderedPageBreak/>
        <w:t>направленное на донесение информации до потребителя о лучших свойствах продукта. Следовательно, 80% времени уделяется показу самого бренда продукта и описанию его преимуществ, а не шоу и розыгр</w:t>
      </w:r>
      <w:r>
        <w:t xml:space="preserve">ышам, которым отводится лишь оставшаяся часть времени. </w:t>
      </w:r>
    </w:p>
    <w:p w:rsidR="002C0F56" w:rsidRDefault="00E67C6E">
      <w:pPr>
        <w:ind w:left="165" w:right="868"/>
      </w:pPr>
      <w:r>
        <w:t>Выставка преследует ту же цель, что и презентация. В отличии от презентации, выставка – это длительный процесс организации мероприятия и предполагает свободный график посещения. В связи с этим его дов</w:t>
      </w:r>
      <w:r>
        <w:t xml:space="preserve">ольно сложно организовать, используя различные развлекательные элементы. Поэтому чаще всего производители ограничиваются применением стендов, небольших видеопрезентации на экране и личным консультированием каждого заинтересованного потребителя. </w:t>
      </w:r>
    </w:p>
    <w:p w:rsidR="002C0F56" w:rsidRDefault="00E67C6E">
      <w:pPr>
        <w:spacing w:after="9"/>
        <w:ind w:left="165" w:right="865"/>
      </w:pPr>
      <w:r>
        <w:t>Праздник я</w:t>
      </w:r>
      <w:r>
        <w:t>вляется самым ярким и масштабным мероприятием eventmarketing. Главное условие проведения праздника заключается в том, что 80% времени должно быть отведено развлекательной части. От грамотной организации зависит положительный маркетинговый эффект, который о</w:t>
      </w:r>
      <w:r>
        <w:t xml:space="preserve">сновывается на получении потребителем ярких эмоций. </w:t>
      </w:r>
    </w:p>
    <w:p w:rsidR="002C0F56" w:rsidRDefault="00E67C6E">
      <w:pPr>
        <w:ind w:left="165" w:right="867"/>
      </w:pPr>
      <w:r>
        <w:t xml:space="preserve">Успешность покупаемости бренда товара покупателями зависит от эффективности проведения event-marketing. Специалисты в данной области советуют придерживаться нескольких правил: </w:t>
      </w:r>
    </w:p>
    <w:p w:rsidR="002C0F56" w:rsidRDefault="00E67C6E">
      <w:pPr>
        <w:numPr>
          <w:ilvl w:val="0"/>
          <w:numId w:val="125"/>
        </w:numPr>
        <w:ind w:right="869"/>
      </w:pPr>
      <w:r>
        <w:t>Единство и ограниченность пространства и времени. Очень важно для проводимого мероприятия понятие «время». Оно не должно быть растянуто или сокращено, а имело четкие временные рамки. Это позволяет собирать вместе и проинформировать о продукте большее колич</w:t>
      </w:r>
      <w:r>
        <w:t xml:space="preserve">ество потребителей. </w:t>
      </w:r>
    </w:p>
    <w:p w:rsidR="002C0F56" w:rsidRDefault="00E67C6E">
      <w:pPr>
        <w:numPr>
          <w:ilvl w:val="0"/>
          <w:numId w:val="125"/>
        </w:numPr>
        <w:spacing w:after="2"/>
        <w:ind w:right="869"/>
      </w:pPr>
      <w:r>
        <w:t xml:space="preserve">Тотальное присутствие бренда. Логотип бренда должен наноситься на все стенды, плакаты, одежду представителей компании. У посетителя должно остаться в памяти бренд товара и понимать с какой целью компания организовала его досуг. </w:t>
      </w:r>
    </w:p>
    <w:p w:rsidR="002C0F56" w:rsidRDefault="00E67C6E">
      <w:pPr>
        <w:numPr>
          <w:ilvl w:val="0"/>
          <w:numId w:val="125"/>
        </w:numPr>
        <w:spacing w:after="2"/>
        <w:ind w:right="869"/>
      </w:pPr>
      <w:r>
        <w:t>Взаимо</w:t>
      </w:r>
      <w:r>
        <w:t>обмен материальных и нематериальных ценностей. Другими словами, экономия на подарках, призах и различной сувенирной продукции не предусматривается. Такие сюрпризы обеспечивают потребителю массу положительных эмоций, которые будут иметь ассоциацию с брендом</w:t>
      </w:r>
      <w:r>
        <w:t xml:space="preserve">. </w:t>
      </w:r>
    </w:p>
    <w:p w:rsidR="002C0F56" w:rsidRDefault="00E67C6E">
      <w:pPr>
        <w:numPr>
          <w:ilvl w:val="0"/>
          <w:numId w:val="125"/>
        </w:numPr>
        <w:spacing w:after="0"/>
        <w:ind w:right="869"/>
      </w:pPr>
      <w:r>
        <w:t>Принцип субъективности. Проведение данных мероприятий должны произвести благоприятные впечатления о бренде товара на покупателя. На тех, кто остался недоволен, можно воздействовать положительными отзывами других посетителей после окончания события. След</w:t>
      </w:r>
      <w:r>
        <w:t xml:space="preserve">овательно, недовольный посетитель переоценив свои впечатления на следующий день поменяет свое мнение и отношение к бренду. </w:t>
      </w:r>
    </w:p>
    <w:p w:rsidR="002C0F56" w:rsidRDefault="00E67C6E">
      <w:pPr>
        <w:numPr>
          <w:ilvl w:val="0"/>
          <w:numId w:val="125"/>
        </w:numPr>
        <w:spacing w:after="0"/>
        <w:ind w:right="869"/>
      </w:pPr>
      <w:r>
        <w:t>Принцип участия. Любое мероприятие должно быть спланировано таким образом, чтобы в течение всего времени его проведения чувствовалос</w:t>
      </w:r>
      <w:r>
        <w:t xml:space="preserve">ь </w:t>
      </w:r>
      <w:r>
        <w:lastRenderedPageBreak/>
        <w:t xml:space="preserve">взаимодействие ведущих и публики. Слаженное сотрудничество работников компании позволит потребителю почувствовать себя частью данного мероприятия. </w:t>
      </w:r>
    </w:p>
    <w:p w:rsidR="002C0F56" w:rsidRDefault="00E67C6E">
      <w:pPr>
        <w:numPr>
          <w:ilvl w:val="0"/>
          <w:numId w:val="125"/>
        </w:numPr>
        <w:spacing w:after="3"/>
        <w:ind w:right="869"/>
      </w:pPr>
      <w:r>
        <w:t>Непрерывное консультирование клиента. Консультация заключается в следующем: предложить участникам продегус</w:t>
      </w:r>
      <w:r>
        <w:t xml:space="preserve">тировать товар или опробовать его в действии, проинформировать о свойствах продукта. Это позволит потребителю лучше узнать о бренде продукта, оценить его субъективно. </w:t>
      </w:r>
    </w:p>
    <w:p w:rsidR="002C0F56" w:rsidRDefault="00E67C6E">
      <w:pPr>
        <w:numPr>
          <w:ilvl w:val="0"/>
          <w:numId w:val="125"/>
        </w:numPr>
        <w:ind w:right="869"/>
      </w:pPr>
      <w:r>
        <w:t>Организация с учетом интересов и образа жизни целевой аудитории. При проведении event-ma</w:t>
      </w:r>
      <w:r>
        <w:t xml:space="preserve">rketing, производители должны учитывать интересы потребителей продукта. </w:t>
      </w:r>
    </w:p>
    <w:p w:rsidR="002C0F56" w:rsidRDefault="00E67C6E">
      <w:pPr>
        <w:numPr>
          <w:ilvl w:val="0"/>
          <w:numId w:val="125"/>
        </w:numPr>
        <w:ind w:right="869"/>
      </w:pPr>
      <w:r>
        <w:t>Информационная поддержка мероприятия. При организации eventmarketing желательно взаимодействие со средствами массовой информации. Это поможет проинформировать широкий спектр аудитории</w:t>
      </w:r>
      <w:r>
        <w:t xml:space="preserve"> о грядущем событии. А также, публикации и видеорепортажи о проведенном мероприятии привлекут внимание большего количества потребителей. </w:t>
      </w:r>
    </w:p>
    <w:p w:rsidR="002C0F56" w:rsidRDefault="00E67C6E">
      <w:pPr>
        <w:ind w:left="165" w:right="866"/>
      </w:pPr>
      <w:r>
        <w:t>В настоящее время существует огромное количество event агентств, специализирующие на событийном маркетинге. Их перечен</w:t>
      </w:r>
      <w:r>
        <w:t xml:space="preserve">ь предоставляемых услуг очень велик начиная от рекламной кампании до проведения командообразующих соревнований. </w:t>
      </w:r>
    </w:p>
    <w:p w:rsidR="002C0F56" w:rsidRDefault="00E67C6E">
      <w:pPr>
        <w:spacing w:after="13"/>
        <w:ind w:left="165" w:right="868"/>
      </w:pPr>
      <w:r>
        <w:t>Таким образом, event-marketing является одним из инструментов привлечения клиентов и раскрутки бренда продукции в современном обществе. Его гла</w:t>
      </w:r>
      <w:r>
        <w:t xml:space="preserve">вная особенность – это рекламирование бренда продукции посредством тематических мероприятий. Кроме этого, event-marketing охватывает широкий спектр рекламной кампании и нацелена на многоцелевую аудиторию потребителей. </w:t>
      </w:r>
    </w:p>
    <w:p w:rsidR="002C0F56" w:rsidRDefault="00E67C6E">
      <w:pPr>
        <w:ind w:left="165" w:right="302"/>
      </w:pPr>
      <w:r>
        <w:t>Эффективность продаваемости бренда то</w:t>
      </w:r>
      <w:r>
        <w:t>вара зависит от успешного проведения event-marketing. Специализированные агентства при организации события стараются придерживаться определенных правил гарантирующие благоприятные впечатления потребителя о продукте. Следовательно, eventmarketing компании у</w:t>
      </w:r>
      <w:r>
        <w:t xml:space="preserve">деляют детальное внимание не упуская из своего рассмотрения ни одной вещи, сулящей ей гарантированную прибыль от продаж бренда. </w:t>
      </w:r>
    </w:p>
    <w:p w:rsidR="002C0F56" w:rsidRDefault="00E67C6E">
      <w:pPr>
        <w:spacing w:after="22"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126"/>
        </w:numPr>
        <w:ind w:right="302"/>
      </w:pPr>
      <w:r>
        <w:t>Новаторов В.Е. Ивент-маркетинг как трендовая технология социальнокультурной деятельности // Вестник Моско</w:t>
      </w:r>
      <w:r>
        <w:t xml:space="preserve">вского государственного университета культуры и искусств. – 2014. – № 2. – С. 175 – 180. </w:t>
      </w:r>
    </w:p>
    <w:p w:rsidR="002C0F56" w:rsidRDefault="00E67C6E">
      <w:pPr>
        <w:numPr>
          <w:ilvl w:val="0"/>
          <w:numId w:val="126"/>
        </w:numPr>
        <w:ind w:right="302"/>
      </w:pPr>
      <w:r>
        <w:t xml:space="preserve">Березина Юлия. Событие-праздник. – Электронный ресурс. – URL: </w:t>
      </w:r>
      <w:hyperlink r:id="rId894">
        <w:r>
          <w:t>https://www.psycho.ru/library/3419</w:t>
        </w:r>
      </w:hyperlink>
      <w:hyperlink r:id="rId895">
        <w:r>
          <w:t>.</w:t>
        </w:r>
      </w:hyperlink>
      <w:r>
        <w:t xml:space="preserve"> </w:t>
      </w:r>
    </w:p>
    <w:p w:rsidR="002C0F56" w:rsidRDefault="00E67C6E">
      <w:pPr>
        <w:numPr>
          <w:ilvl w:val="0"/>
          <w:numId w:val="126"/>
        </w:numPr>
        <w:ind w:right="302"/>
      </w:pPr>
      <w:r>
        <w:lastRenderedPageBreak/>
        <w:t xml:space="preserve">Что такое Event-marketing и зачем он нужен? – Электронный ресурс. – URL: </w:t>
      </w:r>
      <w:hyperlink r:id="rId896">
        <w:r>
          <w:t>https://www.psycho.ru/library/2838</w:t>
        </w:r>
      </w:hyperlink>
      <w:hyperlink r:id="rId897">
        <w:r>
          <w:t>.</w:t>
        </w:r>
      </w:hyperlink>
      <w:r>
        <w:t xml:space="preserve"> </w:t>
      </w:r>
    </w:p>
    <w:p w:rsidR="002C0F56" w:rsidRDefault="00E67C6E">
      <w:pPr>
        <w:numPr>
          <w:ilvl w:val="0"/>
          <w:numId w:val="126"/>
        </w:numPr>
        <w:spacing w:after="11"/>
        <w:ind w:right="302"/>
      </w:pPr>
      <w:r>
        <w:t xml:space="preserve">Creative Group «I.D.O.L.»  (CG «IDOL»). Рекламная студия полного цикла. – Электронный ресурс. – URL: </w:t>
      </w:r>
      <w:hyperlink r:id="rId898">
        <w:r>
          <w:t>http://www.one</w:t>
        </w:r>
      </w:hyperlink>
      <w:hyperlink r:id="rId899">
        <w:r>
          <w:t>-</w:t>
        </w:r>
      </w:hyperlink>
      <w:hyperlink r:id="rId900">
        <w:r>
          <w:t>idol.ru</w:t>
        </w:r>
      </w:hyperlink>
      <w:hyperlink r:id="rId901">
        <w:r>
          <w:t>.</w:t>
        </w:r>
      </w:hyperlink>
      <w:r>
        <w:t xml:space="preserve"> </w:t>
      </w:r>
    </w:p>
    <w:p w:rsidR="002C0F56" w:rsidRDefault="00E67C6E">
      <w:pPr>
        <w:spacing w:after="0" w:line="259" w:lineRule="auto"/>
        <w:ind w:left="744" w:firstLine="0"/>
        <w:jc w:val="left"/>
      </w:pPr>
      <w:r>
        <w:rPr>
          <w:b/>
          <w:i/>
        </w:rPr>
        <w:t xml:space="preserve"> </w:t>
      </w:r>
    </w:p>
    <w:p w:rsidR="002C0F56" w:rsidRDefault="00E67C6E">
      <w:pPr>
        <w:spacing w:after="28" w:line="259" w:lineRule="auto"/>
        <w:ind w:left="744" w:firstLine="0"/>
        <w:jc w:val="left"/>
      </w:pPr>
      <w:r>
        <w:rPr>
          <w:b/>
          <w:i/>
        </w:rPr>
        <w:t xml:space="preserve"> </w:t>
      </w:r>
    </w:p>
    <w:p w:rsidR="002C0F56" w:rsidRDefault="00E67C6E">
      <w:pPr>
        <w:pStyle w:val="1"/>
        <w:spacing w:after="25" w:line="259" w:lineRule="auto"/>
        <w:ind w:right="856"/>
        <w:jc w:val="right"/>
      </w:pPr>
      <w:r>
        <w:t xml:space="preserve">Куликова Т.В. </w:t>
      </w:r>
      <w:r>
        <w:rPr>
          <w:b w:val="0"/>
        </w:rPr>
        <w:t xml:space="preserve">Научный руководитель: Ломовцева А.В., к.э.н., доц.  </w:t>
      </w:r>
    </w:p>
    <w:p w:rsidR="002C0F56" w:rsidRDefault="00E67C6E">
      <w:pPr>
        <w:spacing w:after="0" w:line="267" w:lineRule="auto"/>
        <w:ind w:left="905" w:right="860" w:hanging="10"/>
        <w:jc w:val="right"/>
      </w:pPr>
      <w:r>
        <w:rPr>
          <w:i/>
        </w:rPr>
        <w:t>Нижегородский институт управления РАНХиГС</w:t>
      </w:r>
      <w:r>
        <w:t xml:space="preserve"> </w:t>
      </w:r>
    </w:p>
    <w:p w:rsidR="002C0F56" w:rsidRDefault="00E67C6E">
      <w:pPr>
        <w:spacing w:after="0" w:line="259" w:lineRule="auto"/>
        <w:ind w:left="744" w:firstLine="0"/>
        <w:jc w:val="left"/>
      </w:pPr>
      <w:r>
        <w:rPr>
          <w:i/>
        </w:rPr>
        <w:t xml:space="preserve"> </w:t>
      </w:r>
    </w:p>
    <w:p w:rsidR="002C0F56" w:rsidRDefault="00E67C6E">
      <w:pPr>
        <w:pStyle w:val="1"/>
        <w:ind w:left="700" w:right="1378"/>
      </w:pPr>
      <w:r>
        <w:t xml:space="preserve">РЕГИОНАЛЬНАЯ ПОДДЕРЖКА АПК НА ПРИМЕРЕ НИЖЕГОРОДСКОЙ ОБЛАСТИ </w:t>
      </w:r>
    </w:p>
    <w:p w:rsidR="002C0F56" w:rsidRDefault="00E67C6E">
      <w:pPr>
        <w:spacing w:after="0" w:line="259" w:lineRule="auto"/>
        <w:ind w:left="744" w:firstLine="0"/>
        <w:jc w:val="left"/>
      </w:pPr>
      <w:r>
        <w:rPr>
          <w:b/>
        </w:rPr>
        <w:t xml:space="preserve"> </w:t>
      </w:r>
    </w:p>
    <w:p w:rsidR="002C0F56" w:rsidRDefault="00E67C6E">
      <w:pPr>
        <w:spacing w:after="5"/>
        <w:ind w:left="165" w:right="868"/>
      </w:pPr>
      <w:r>
        <w:t>Агропромышленный комплекс Нижего</w:t>
      </w:r>
      <w:r>
        <w:t>родской области представлен совокупностью отраслей экономики, обеспечивающих производство сельскохозяйственной продукции, ее переработку и выпуск продуктов питания, а также их реализацию потребителям. АПК занимает одно из ведущих мест среди отраслей матери</w:t>
      </w:r>
      <w:r>
        <w:t xml:space="preserve">ального производства области. От его состояния зависит продовольственная самодостаточность и социальное развитие села. </w:t>
      </w:r>
    </w:p>
    <w:p w:rsidR="002C0F56" w:rsidRDefault="00E67C6E">
      <w:pPr>
        <w:spacing w:after="0"/>
        <w:ind w:left="165" w:right="871"/>
      </w:pPr>
      <w:r>
        <w:t>Увеличение объемов производства сельскохозяйственной продукции, повышение эффективности агропромышленного комплекса региона являются одн</w:t>
      </w:r>
      <w:r>
        <w:t>ими из приоритетных задач в работе министерства сельского хозяйства и продовольственных ресурсов Нижегородской области на 2017 год. Основными программами в сфере АПК являются «Государственная программа развития сельского хозяйства и регулирования рынков се</w:t>
      </w:r>
      <w:r>
        <w:t xml:space="preserve">льскохозяйственной продукции, сырья и продовольствия на 2013 – 2020 годы» и «Государственная программа развития АПК Нижегородской области».  </w:t>
      </w:r>
    </w:p>
    <w:p w:rsidR="002C0F56" w:rsidRDefault="00E67C6E">
      <w:pPr>
        <w:ind w:left="165" w:right="873"/>
      </w:pPr>
      <w:r>
        <w:t>С целью уменьшения зависимости продовольственного рынка от поставок импортной продукции, импортозамещения и повыше</w:t>
      </w:r>
      <w:r>
        <w:t xml:space="preserve">ния самообеспеченности региона основными продовольственными товарами, в Нижегородской области сегодня реализуются 7 экономически значимых программ:  </w:t>
      </w:r>
    </w:p>
    <w:p w:rsidR="002C0F56" w:rsidRDefault="00E67C6E">
      <w:pPr>
        <w:numPr>
          <w:ilvl w:val="0"/>
          <w:numId w:val="127"/>
        </w:numPr>
        <w:ind w:right="302"/>
      </w:pPr>
      <w:r>
        <w:t xml:space="preserve">Развитие молочного скотоводства с применением современных технологических решений в Нижегородской области на 2014-2017 годы. </w:t>
      </w:r>
    </w:p>
    <w:p w:rsidR="002C0F56" w:rsidRDefault="00E67C6E">
      <w:pPr>
        <w:numPr>
          <w:ilvl w:val="0"/>
          <w:numId w:val="127"/>
        </w:numPr>
        <w:ind w:right="302"/>
      </w:pPr>
      <w:r>
        <w:t xml:space="preserve">Развитие мясного скотоводства в Нижегородской области на 2015-2017 годы. </w:t>
      </w:r>
    </w:p>
    <w:p w:rsidR="002C0F56" w:rsidRDefault="00E67C6E">
      <w:pPr>
        <w:numPr>
          <w:ilvl w:val="0"/>
          <w:numId w:val="127"/>
        </w:numPr>
        <w:ind w:right="302"/>
      </w:pPr>
      <w:r>
        <w:t>Развитие семеноводства сельскохозяйственных культур Ниже</w:t>
      </w:r>
      <w:r>
        <w:t xml:space="preserve">городской области на 2015-2020 годы. </w:t>
      </w:r>
    </w:p>
    <w:p w:rsidR="002C0F56" w:rsidRDefault="00E67C6E">
      <w:pPr>
        <w:numPr>
          <w:ilvl w:val="0"/>
          <w:numId w:val="127"/>
        </w:numPr>
        <w:ind w:right="302"/>
      </w:pPr>
      <w:r>
        <w:t xml:space="preserve">Развитие свеклосахарного производства в Нижегородской области на 2015-2017 годы.  </w:t>
      </w:r>
    </w:p>
    <w:p w:rsidR="002C0F56" w:rsidRDefault="00E67C6E">
      <w:pPr>
        <w:numPr>
          <w:ilvl w:val="0"/>
          <w:numId w:val="127"/>
        </w:numPr>
        <w:ind w:right="302"/>
      </w:pPr>
      <w:r>
        <w:lastRenderedPageBreak/>
        <w:t xml:space="preserve">Развитие овощеводства защищенного грунта в Нижегородской области на 2015-2017 годы.  </w:t>
      </w:r>
    </w:p>
    <w:p w:rsidR="002C0F56" w:rsidRDefault="00E67C6E">
      <w:pPr>
        <w:numPr>
          <w:ilvl w:val="0"/>
          <w:numId w:val="127"/>
        </w:numPr>
        <w:ind w:right="302"/>
      </w:pPr>
      <w:r>
        <w:t>Предотвращение заноса и распространения вируса аф</w:t>
      </w:r>
      <w:r>
        <w:t xml:space="preserve">риканской чумы свиней на территории Нижегородской области на 2015-2017 годы.  </w:t>
      </w:r>
    </w:p>
    <w:p w:rsidR="002C0F56" w:rsidRDefault="00E67C6E">
      <w:pPr>
        <w:numPr>
          <w:ilvl w:val="0"/>
          <w:numId w:val="127"/>
        </w:numPr>
        <w:ind w:right="302"/>
      </w:pPr>
      <w:r>
        <w:t xml:space="preserve">Развитие льняного комплекса Нижегородской области на 2015-2020 годы. </w:t>
      </w:r>
    </w:p>
    <w:p w:rsidR="002C0F56" w:rsidRDefault="00E67C6E">
      <w:pPr>
        <w:ind w:left="165" w:right="871"/>
      </w:pPr>
      <w:r>
        <w:t xml:space="preserve">Проанализировав данные программы, можно сделать вывод о том, что региональные составляющие данных программ </w:t>
      </w:r>
      <w:r>
        <w:t xml:space="preserve">Нижегородской области включает в себя:  </w:t>
      </w:r>
    </w:p>
    <w:p w:rsidR="002C0F56" w:rsidRDefault="00E67C6E">
      <w:pPr>
        <w:numPr>
          <w:ilvl w:val="0"/>
          <w:numId w:val="128"/>
        </w:numPr>
        <w:spacing w:after="11" w:line="270" w:lineRule="auto"/>
        <w:ind w:right="582"/>
      </w:pPr>
      <w:r>
        <w:t xml:space="preserve">субсидии </w:t>
      </w:r>
      <w:r>
        <w:tab/>
        <w:t xml:space="preserve">на </w:t>
      </w:r>
      <w:r>
        <w:tab/>
        <w:t xml:space="preserve">создание </w:t>
      </w:r>
      <w:r>
        <w:tab/>
        <w:t xml:space="preserve">и </w:t>
      </w:r>
      <w:r>
        <w:tab/>
        <w:t xml:space="preserve">модернизацию </w:t>
      </w:r>
      <w:r>
        <w:tab/>
        <w:t xml:space="preserve">животноводческих, </w:t>
      </w:r>
    </w:p>
    <w:p w:rsidR="002C0F56" w:rsidRDefault="00E67C6E">
      <w:pPr>
        <w:ind w:left="165" w:right="302" w:firstLine="0"/>
      </w:pPr>
      <w:r>
        <w:t xml:space="preserve">свиноводческих и птицеводческих комплексов (ферм); </w:t>
      </w:r>
    </w:p>
    <w:p w:rsidR="002C0F56" w:rsidRDefault="00E67C6E">
      <w:pPr>
        <w:numPr>
          <w:ilvl w:val="0"/>
          <w:numId w:val="128"/>
        </w:numPr>
        <w:ind w:right="582"/>
      </w:pPr>
      <w:r>
        <w:t xml:space="preserve">субсидии на развитие мясного скотоводства; </w:t>
      </w:r>
    </w:p>
    <w:p w:rsidR="002C0F56" w:rsidRDefault="00E67C6E">
      <w:pPr>
        <w:numPr>
          <w:ilvl w:val="0"/>
          <w:numId w:val="128"/>
        </w:numPr>
        <w:ind w:right="582"/>
      </w:pPr>
      <w:r>
        <w:t>субсидии на возмещение части затрат на производство и реали</w:t>
      </w:r>
      <w:r>
        <w:t xml:space="preserve">зацию молока граждан, ведущих личное подсобное хозяйство; </w:t>
      </w:r>
    </w:p>
    <w:p w:rsidR="002C0F56" w:rsidRDefault="00E67C6E">
      <w:pPr>
        <w:numPr>
          <w:ilvl w:val="0"/>
          <w:numId w:val="128"/>
        </w:numPr>
        <w:spacing w:after="10"/>
        <w:ind w:right="582"/>
      </w:pPr>
      <w:r>
        <w:t>возмещение части затрат на приобретение машин и оборудования для строительства и модернизации семенных заводов, линий по производству высококачественных семян, первичной переработки зерна и зернохр</w:t>
      </w:r>
      <w:r>
        <w:t xml:space="preserve">анилищ.  </w:t>
      </w:r>
    </w:p>
    <w:p w:rsidR="002C0F56" w:rsidRDefault="00E67C6E">
      <w:pPr>
        <w:spacing w:after="2"/>
        <w:ind w:left="165" w:right="870"/>
      </w:pPr>
      <w:r>
        <w:t xml:space="preserve">Во многом благодаря этим мероприятиям, Нижегородская область по ряду видов производств сельскохозяйственной продукции достигла значений самообеспечения. Основные показатели, отражающие развитие сельского хозяйства представлены в таблице 1 [1]. </w:t>
      </w:r>
    </w:p>
    <w:p w:rsidR="002C0F56" w:rsidRDefault="00E67C6E">
      <w:pPr>
        <w:spacing w:after="0" w:line="259" w:lineRule="auto"/>
        <w:ind w:left="744" w:firstLine="0"/>
        <w:jc w:val="left"/>
      </w:pPr>
      <w:r>
        <w:t xml:space="preserve"> </w:t>
      </w:r>
    </w:p>
    <w:p w:rsidR="002C0F56" w:rsidRDefault="00E67C6E">
      <w:pPr>
        <w:spacing w:after="5" w:line="271" w:lineRule="auto"/>
        <w:ind w:left="3959" w:right="396" w:hanging="3104"/>
        <w:jc w:val="left"/>
      </w:pPr>
      <w:r>
        <w:rPr>
          <w:i/>
          <w:sz w:val="24"/>
        </w:rPr>
        <w:t>Таблица 1</w:t>
      </w:r>
      <w:r>
        <w:rPr>
          <w:sz w:val="24"/>
        </w:rPr>
        <w:t xml:space="preserve"> - </w:t>
      </w:r>
      <w:r>
        <w:rPr>
          <w:b/>
          <w:sz w:val="24"/>
        </w:rPr>
        <w:t xml:space="preserve">Ключевые показатели развития сельского хозяйства Нижегородской области за 2016 год </w:t>
      </w:r>
    </w:p>
    <w:tbl>
      <w:tblPr>
        <w:tblStyle w:val="TableGrid"/>
        <w:tblW w:w="9631" w:type="dxa"/>
        <w:tblInd w:w="185" w:type="dxa"/>
        <w:tblCellMar>
          <w:top w:w="14" w:type="dxa"/>
          <w:left w:w="593" w:type="dxa"/>
          <w:bottom w:w="0" w:type="dxa"/>
          <w:right w:w="115" w:type="dxa"/>
        </w:tblCellMar>
        <w:tblLook w:val="04A0" w:firstRow="1" w:lastRow="0" w:firstColumn="1" w:lastColumn="0" w:noHBand="0" w:noVBand="1"/>
      </w:tblPr>
      <w:tblGrid>
        <w:gridCol w:w="4815"/>
        <w:gridCol w:w="4816"/>
      </w:tblGrid>
      <w:tr w:rsidR="002C0F56">
        <w:trPr>
          <w:trHeight w:val="286"/>
        </w:trPr>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left"/>
            </w:pPr>
            <w:r>
              <w:rPr>
                <w:b/>
                <w:sz w:val="24"/>
              </w:rPr>
              <w:t xml:space="preserve">Наименование  </w:t>
            </w:r>
          </w:p>
        </w:tc>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b/>
                <w:sz w:val="24"/>
              </w:rPr>
              <w:t xml:space="preserve">тыс, тонн </w:t>
            </w:r>
          </w:p>
        </w:tc>
      </w:tr>
      <w:tr w:rsidR="002C0F56">
        <w:trPr>
          <w:trHeight w:val="286"/>
        </w:trPr>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Масличные </w:t>
            </w:r>
          </w:p>
        </w:tc>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34,3 </w:t>
            </w:r>
          </w:p>
        </w:tc>
      </w:tr>
      <w:tr w:rsidR="002C0F56">
        <w:trPr>
          <w:trHeight w:val="286"/>
        </w:trPr>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Зерно </w:t>
            </w:r>
          </w:p>
        </w:tc>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1127,5 </w:t>
            </w:r>
          </w:p>
        </w:tc>
      </w:tr>
      <w:tr w:rsidR="002C0F56">
        <w:trPr>
          <w:trHeight w:val="288"/>
        </w:trPr>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Скот и птица </w:t>
            </w:r>
          </w:p>
        </w:tc>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151,4 </w:t>
            </w:r>
          </w:p>
        </w:tc>
      </w:tr>
      <w:tr w:rsidR="002C0F56">
        <w:trPr>
          <w:trHeight w:val="286"/>
        </w:trPr>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Молоко </w:t>
            </w:r>
          </w:p>
        </w:tc>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602,7 </w:t>
            </w:r>
          </w:p>
        </w:tc>
      </w:tr>
      <w:tr w:rsidR="002C0F56">
        <w:trPr>
          <w:trHeight w:val="286"/>
        </w:trPr>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Картофель </w:t>
            </w:r>
          </w:p>
        </w:tc>
        <w:tc>
          <w:tcPr>
            <w:tcW w:w="4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883 </w:t>
            </w:r>
          </w:p>
        </w:tc>
      </w:tr>
    </w:tbl>
    <w:p w:rsidR="002C0F56" w:rsidRDefault="00E67C6E">
      <w:pPr>
        <w:spacing w:after="0" w:line="259" w:lineRule="auto"/>
        <w:ind w:left="744" w:firstLine="0"/>
        <w:jc w:val="left"/>
      </w:pPr>
      <w:r>
        <w:rPr>
          <w:b/>
        </w:rPr>
        <w:t xml:space="preserve"> </w:t>
      </w:r>
    </w:p>
    <w:p w:rsidR="002C0F56" w:rsidRDefault="00E67C6E">
      <w:pPr>
        <w:spacing w:after="10"/>
        <w:ind w:left="165" w:right="870"/>
      </w:pPr>
      <w:r>
        <w:t xml:space="preserve">По объемам производства пищевых продуктов Нижегородская область в 2016 году занимала четвертое место среди регионов Приволжского федерального округа. </w:t>
      </w:r>
    </w:p>
    <w:p w:rsidR="002C0F56" w:rsidRDefault="00E67C6E">
      <w:pPr>
        <w:spacing w:after="0"/>
        <w:ind w:left="165" w:right="302"/>
      </w:pPr>
      <w:r>
        <w:t>В 2016 году министерством сельского хозяйства и продовольственных ресурсов Нижегородской области проведен</w:t>
      </w:r>
      <w:r>
        <w:t>а предварительная работа с муниципальными районами и городскими округами Нижегородской области по вопросам вовлечения в оборот неиспользуемых земель сельскохозяйственного назначения. Таким образом, определен ряд мер, направленных на оптимизацию работы по в</w:t>
      </w:r>
      <w:r>
        <w:t xml:space="preserve">овлечению в оборот </w:t>
      </w:r>
      <w:r>
        <w:lastRenderedPageBreak/>
        <w:t>неиспользуемых земель сельскохозяйственного назначения. Вследствие чего в 2017 году будет увеличена посевная площадь региона. В настоящее время реализуются инвестиционные проекты, направленные на увеличение объемов производства картофеля</w:t>
      </w:r>
      <w:r>
        <w:t xml:space="preserve"> и овощей. </w:t>
      </w:r>
    </w:p>
    <w:p w:rsidR="002C0F56" w:rsidRDefault="00E67C6E">
      <w:pPr>
        <w:ind w:left="165" w:right="870"/>
      </w:pPr>
      <w:r>
        <w:t xml:space="preserve">Одной из основных задач на 2017 год является недопущение снижения темпа обновления материально-технической базы агропромышленного комплекса региона, что позволит провести сезонные полевые работы в агрономические сроки. </w:t>
      </w:r>
    </w:p>
    <w:p w:rsidR="002C0F56" w:rsidRDefault="00E67C6E">
      <w:pPr>
        <w:spacing w:after="0"/>
        <w:ind w:left="165" w:right="864"/>
      </w:pPr>
      <w:r>
        <w:t xml:space="preserve">В 2017 году планируется </w:t>
      </w:r>
      <w:r>
        <w:t>произвести 1,5 млн тонн зерна. Стоит отметить, что нижегородские аграрии уже начали первые полевые работы. К яровому севу приступили в Починковском и Арзамасском районах. Хочется отметить, что сегодня Нижегородская область полностью обеспечиваем себя как п</w:t>
      </w:r>
      <w:r>
        <w:t xml:space="preserve">родовольственным, так и фуражным зерном, несмотря даже на то, что находится в зоне рискового земледелия.  </w:t>
      </w:r>
    </w:p>
    <w:p w:rsidR="002C0F56" w:rsidRDefault="00E67C6E">
      <w:pPr>
        <w:spacing w:after="2"/>
        <w:ind w:left="165" w:right="866"/>
      </w:pPr>
      <w:r>
        <w:t>Один из факторов, влияющих на урожайность является количество внесенных удобрений. И несомненным плюсом является то, что в Нижегородской области откр</w:t>
      </w:r>
      <w:r>
        <w:t>ылось собственное производство минеральных удобрений – ООО «ММА» в Дзержинске, где производят сульфат аммония, который на 20-30% дешевле, чем у других поставщиков. Мощность его производства составляет 500 тонн ежемесячно. И поэтому для более удобной трансп</w:t>
      </w:r>
      <w:r>
        <w:t>ортировки удобрений в хозяйства региона ООО «АгроХимАзот» (Дзержинск) открыло фасовочное производство сульфата аммония производства ООО «ММА» в мягкие контейнеры по 800 кг [2]. Также в целях содействия развитию АПК, повышению продуктивности земель, недопущ</w:t>
      </w:r>
      <w:r>
        <w:t xml:space="preserve">ению дальнейшего распространения злостного сорняка борщевик Сосновского на территории региона в области функционирует государственное учреждение Агрохимцентр «Нижегородский». </w:t>
      </w:r>
    </w:p>
    <w:p w:rsidR="002C0F56" w:rsidRDefault="00E67C6E">
      <w:pPr>
        <w:ind w:left="165" w:right="865"/>
      </w:pPr>
      <w:r>
        <w:t>Сегодня сельское хозяйство Нижегородской области демонстрирует динамичное развит</w:t>
      </w:r>
      <w:r>
        <w:t xml:space="preserve">ие, о чем свидетельствуют производственные и экономические показатели отрасли и хороший приток инвестиций. Но в то же время существует следующие две группы проблем, которые, на мой взгляд, сдерживают развитие сельскохозяйственных предприятий Нижегородской </w:t>
      </w:r>
      <w:r>
        <w:t xml:space="preserve">области: </w:t>
      </w:r>
    </w:p>
    <w:p w:rsidR="002C0F56" w:rsidRDefault="00E67C6E">
      <w:pPr>
        <w:ind w:left="165" w:right="868"/>
      </w:pPr>
      <w:r>
        <w:t xml:space="preserve">1.Кадровые проблемы - это сокращение численности работников, сокращение выпуска специалистов с высшим и средне-специальным аграрным образованием, ограниченное количество курсов переподготовки работников АПК, а также низкая мотивация персонала. </w:t>
      </w:r>
    </w:p>
    <w:p w:rsidR="002C0F56" w:rsidRDefault="00E67C6E">
      <w:pPr>
        <w:ind w:left="165" w:right="866"/>
      </w:pPr>
      <w:r>
        <w:lastRenderedPageBreak/>
        <w:t>2</w:t>
      </w:r>
      <w:r>
        <w:t xml:space="preserve">.Производственные проблемы — это  изношенность технических средств, низкий уровень инфраструктурного обеспечения, высокие цены на технику и энергоносители, слабая сырьевая база. </w:t>
      </w:r>
    </w:p>
    <w:p w:rsidR="002C0F56" w:rsidRDefault="00E67C6E">
      <w:pPr>
        <w:spacing w:after="0"/>
        <w:ind w:left="165" w:right="865"/>
      </w:pPr>
      <w:r>
        <w:t xml:space="preserve">Одна из указанные выше проблем — это сокращение численности работников АПК и </w:t>
      </w:r>
      <w:r>
        <w:t>старение кадров. Современное сельскохозяйственное производство просто невозможно без высококвалифицированных специалистов и требует принципиально новых подходов к их подготовке. Для привлечения и закрепления специалистов важнейшей задачей является развитие</w:t>
      </w:r>
      <w:r>
        <w:t xml:space="preserve"> целевой контактной подготовки кадров для сельхозпроизводства области по заявкам сельхозорганизаций. </w:t>
      </w:r>
    </w:p>
    <w:p w:rsidR="002C0F56" w:rsidRDefault="00E67C6E">
      <w:pPr>
        <w:ind w:left="165" w:right="871"/>
      </w:pPr>
      <w:r>
        <w:t xml:space="preserve">Для стимулирования молодежи к трудоустройству в АПК министерство сельского хозяйства и продовольственных ресурсов Нижегородской области совместно с ФГБОУ </w:t>
      </w:r>
      <w:r>
        <w:t xml:space="preserve">ВПО «Нижегородская государственная сельскохозяйственная академия» ежегодно проводит Ярмарку вакансий рабочих мест с целью привлечения молодых специалистов для работы на предприятиях агропромышленного комплекса Нижегородского региона.  </w:t>
      </w:r>
    </w:p>
    <w:p w:rsidR="002C0F56" w:rsidRDefault="00E67C6E">
      <w:pPr>
        <w:ind w:left="165" w:right="302"/>
      </w:pPr>
      <w:r>
        <w:t>На мой взгляд, главн</w:t>
      </w:r>
      <w:r>
        <w:t xml:space="preserve">ым условием того, чтобы молодёжь шла работать на село, является наличие жилья, достойная зарплата, обустроенный быт. </w:t>
      </w:r>
    </w:p>
    <w:p w:rsidR="002C0F56" w:rsidRDefault="00E67C6E">
      <w:pPr>
        <w:spacing w:after="6"/>
        <w:ind w:left="165" w:right="866"/>
      </w:pPr>
      <w:r>
        <w:t>Так, например, строительство жилья для молодых специалистов АПК предусматривает федеральная целевая программа «Устойчивое развитие сельски</w:t>
      </w:r>
      <w:r>
        <w:t>х территорий на 2014 – 2017 годы и на период до 2020 года» [3]. К тому же в целях привлечения и закрепления на селе молодых специалистов в области действует закон от 1 ноября 2008 года № 149-З «О мерах государственной поддержки кадрового потенциала агропро</w:t>
      </w:r>
      <w:r>
        <w:t>мышленного комплекса Нижегородской области». Он предусматривает, меры государственной поддержки в форме установления ежемесячных доплат к заработной плате для молодых специалистов сроком до двух лет, получивших высшее образование – 2,5 тысячи рублей, получ</w:t>
      </w:r>
      <w:r>
        <w:t xml:space="preserve">ившим среднее профессиональное образование – 2 тысячи рублей. Кроме того, в законе предусмотрена выплата единовременного пособия указанной категории специалистов, размер которой составляет 100 тысяч рублей и 70 тысяч рублей соответственно. [4] </w:t>
      </w:r>
    </w:p>
    <w:p w:rsidR="002C0F56" w:rsidRDefault="00E67C6E">
      <w:pPr>
        <w:spacing w:after="0"/>
        <w:ind w:left="165" w:right="866"/>
      </w:pPr>
      <w:r>
        <w:t xml:space="preserve">В 2016 году решением комиссии министерства сельского хозяйства и продовольственных ресурсов 94 молодых специалиста стали получателями ежемесячной доплаты, 85 было выплачено единовременное пособие, 46 работникам установлена ежемесячная доплата к заработной </w:t>
      </w:r>
      <w:r>
        <w:t xml:space="preserve">плате. На эти цели в 2016 году из средств областного бюджета было направлено около 18 миллионов рублей [5]. Но стоит отметить, что на сегодняшний день существуют предпосылки повышения этих выплат, так как в настоящее время кадровый </w:t>
      </w:r>
      <w:r>
        <w:lastRenderedPageBreak/>
        <w:t>потенциал аграрного сект</w:t>
      </w:r>
      <w:r>
        <w:t xml:space="preserve">ора экономики Нижегородской области недостаточен для обеспечения конкурентоспособности сельского хозяйства.  </w:t>
      </w:r>
    </w:p>
    <w:p w:rsidR="002C0F56" w:rsidRDefault="00E67C6E">
      <w:pPr>
        <w:ind w:left="165" w:right="864"/>
      </w:pPr>
      <w:r>
        <w:t>На заседании рабочей группы комитета по агропромышленному комплексу Нижегородской области 9 марта 2017 года председатель комитета Игорь Тюрин выск</w:t>
      </w:r>
      <w:r>
        <w:t xml:space="preserve">азал предложение увеличить размер ежемесячной доплаты молодым специалистам на селе в два раза. Данный вопрос находится в стадии обсуждения. </w:t>
      </w:r>
    </w:p>
    <w:p w:rsidR="002C0F56" w:rsidRDefault="00E67C6E">
      <w:pPr>
        <w:spacing w:after="0"/>
        <w:ind w:left="165" w:right="869"/>
      </w:pPr>
      <w:r>
        <w:t>Таким образом, для поддержки сельскохозяйственного производства в АПК министерство сельского хозяйства и продовольс</w:t>
      </w:r>
      <w:r>
        <w:t>твенных ресурсов Нижегородской области уже вводит новые подходы к регулированию агропромышленного производства, обеспечивает процесс расширенного воспроизводства в АПК, а также способствует комплексному развитию сельских территорий и решению социальных про</w:t>
      </w:r>
      <w:r>
        <w:t xml:space="preserve">блем в данной отрасли по средствам реализации своих региональных программ. </w:t>
      </w:r>
    </w:p>
    <w:p w:rsidR="002C0F56" w:rsidRDefault="00E67C6E">
      <w:pPr>
        <w:spacing w:after="25" w:line="259" w:lineRule="auto"/>
        <w:ind w:left="744" w:firstLine="0"/>
        <w:jc w:val="left"/>
      </w:pPr>
      <w:r>
        <w:t xml:space="preserve"> </w:t>
      </w:r>
    </w:p>
    <w:p w:rsidR="002C0F56" w:rsidRDefault="00E67C6E">
      <w:pPr>
        <w:spacing w:after="15" w:line="268" w:lineRule="auto"/>
        <w:ind w:left="1262" w:right="1373" w:hanging="10"/>
        <w:jc w:val="center"/>
      </w:pPr>
      <w:r>
        <w:t xml:space="preserve">Список литературы: </w:t>
      </w:r>
    </w:p>
    <w:p w:rsidR="002C0F56" w:rsidRDefault="00E67C6E">
      <w:pPr>
        <w:numPr>
          <w:ilvl w:val="0"/>
          <w:numId w:val="129"/>
        </w:numPr>
        <w:ind w:right="302"/>
      </w:pPr>
      <w:r>
        <w:t xml:space="preserve">Первое собственное производство минеральных удобрений открылось в Нижегородской области [Электронный ресурс]. - Режим доступа: </w:t>
      </w:r>
    </w:p>
    <w:p w:rsidR="002C0F56" w:rsidRDefault="00E67C6E">
      <w:pPr>
        <w:spacing w:after="15"/>
        <w:ind w:left="165" w:right="302" w:firstLine="0"/>
      </w:pPr>
      <w:r>
        <w:t>http://mcx.ru/press-service/re</w:t>
      </w:r>
      <w:r>
        <w:t xml:space="preserve">gions/pervoe-sobstvennoe-proizvodstvo-mineralnykhudobreniy-otkrylos-v-nizhegorodskoy-oblasti/ </w:t>
      </w:r>
    </w:p>
    <w:p w:rsidR="002C0F56" w:rsidRDefault="00E67C6E">
      <w:pPr>
        <w:numPr>
          <w:ilvl w:val="0"/>
          <w:numId w:val="129"/>
        </w:numPr>
        <w:ind w:right="302"/>
      </w:pPr>
      <w:r>
        <w:t xml:space="preserve">Правительство РФ </w:t>
      </w:r>
      <w:hyperlink r:id="rId902">
        <w:r>
          <w:t>http://government.ru/</w:t>
        </w:r>
      </w:hyperlink>
      <w:hyperlink r:id="rId903">
        <w:r>
          <w:t xml:space="preserve"> </w:t>
        </w:r>
      </w:hyperlink>
      <w:r>
        <w:t xml:space="preserve"> </w:t>
      </w:r>
    </w:p>
    <w:p w:rsidR="002C0F56" w:rsidRDefault="00E67C6E">
      <w:pPr>
        <w:numPr>
          <w:ilvl w:val="0"/>
          <w:numId w:val="129"/>
        </w:numPr>
        <w:spacing w:after="12"/>
        <w:ind w:right="302"/>
      </w:pPr>
      <w:r>
        <w:t>Закон от 1 ноября 2008 года (с посл. и</w:t>
      </w:r>
      <w:r>
        <w:t xml:space="preserve">зменениями 07.11.2014) № 149-З </w:t>
      </w:r>
    </w:p>
    <w:p w:rsidR="002C0F56" w:rsidRDefault="00E67C6E">
      <w:pPr>
        <w:ind w:left="165" w:right="302" w:firstLine="0"/>
      </w:pPr>
      <w:r>
        <w:t xml:space="preserve">«О мерах государственной поддержки кадрового потенциала агропромышленного комплекса Нижегородской области» [Электронный </w:t>
      </w:r>
    </w:p>
    <w:p w:rsidR="002C0F56" w:rsidRDefault="00E67C6E">
      <w:pPr>
        <w:ind w:left="165" w:right="302" w:firstLine="0"/>
      </w:pPr>
      <w:r>
        <w:t xml:space="preserve">ресурс]. - Режим доступа: http://docs.cntd.ru/document/944936339 </w:t>
      </w:r>
    </w:p>
    <w:p w:rsidR="002C0F56" w:rsidRDefault="00E67C6E">
      <w:pPr>
        <w:numPr>
          <w:ilvl w:val="0"/>
          <w:numId w:val="129"/>
        </w:numPr>
        <w:spacing w:after="10"/>
        <w:ind w:right="302"/>
      </w:pPr>
      <w:r>
        <w:t>Министерство сельского хозяйства и пр</w:t>
      </w:r>
      <w:r>
        <w:t xml:space="preserve">одовольственных ресурсов Нижегородской области. [Электронный ресурс]. - Режим доступа: http://www.mcx-nnov.ru/kadr_ob/ </w:t>
      </w:r>
    </w:p>
    <w:p w:rsidR="002C0F56" w:rsidRDefault="00E67C6E">
      <w:pPr>
        <w:spacing w:after="0" w:line="259" w:lineRule="auto"/>
        <w:ind w:left="744" w:firstLine="0"/>
        <w:jc w:val="left"/>
      </w:pPr>
      <w:r>
        <w:rPr>
          <w:b/>
          <w:i/>
        </w:rPr>
        <w:t xml:space="preserve"> </w:t>
      </w:r>
    </w:p>
    <w:p w:rsidR="002C0F56" w:rsidRDefault="00E67C6E">
      <w:pPr>
        <w:spacing w:after="28" w:line="259" w:lineRule="auto"/>
        <w:ind w:left="744" w:firstLine="0"/>
        <w:jc w:val="left"/>
      </w:pPr>
      <w:r>
        <w:rPr>
          <w:b/>
          <w:i/>
        </w:rPr>
        <w:t xml:space="preserve"> </w:t>
      </w:r>
    </w:p>
    <w:p w:rsidR="002C0F56" w:rsidRDefault="00E67C6E">
      <w:pPr>
        <w:pStyle w:val="1"/>
        <w:spacing w:after="25" w:line="259" w:lineRule="auto"/>
        <w:ind w:right="856"/>
        <w:jc w:val="right"/>
      </w:pPr>
      <w:r>
        <w:t xml:space="preserve">Кулинич А. </w:t>
      </w:r>
      <w:r>
        <w:rPr>
          <w:b w:val="0"/>
        </w:rPr>
        <w:t xml:space="preserve">Научный руководитель: Перькова Е.А., к.э.н., доц. </w:t>
      </w:r>
    </w:p>
    <w:p w:rsidR="002C0F56" w:rsidRDefault="00E67C6E">
      <w:pPr>
        <w:spacing w:after="0" w:line="267" w:lineRule="auto"/>
        <w:ind w:left="905" w:right="860" w:hanging="10"/>
        <w:jc w:val="right"/>
      </w:pPr>
      <w:r>
        <w:rPr>
          <w:i/>
        </w:rPr>
        <w:t xml:space="preserve">Макеевский экономико-гуманитарный институт </w:t>
      </w:r>
    </w:p>
    <w:p w:rsidR="002C0F56" w:rsidRDefault="00E67C6E">
      <w:pPr>
        <w:spacing w:after="32" w:line="259" w:lineRule="auto"/>
        <w:ind w:left="744" w:firstLine="0"/>
        <w:jc w:val="left"/>
      </w:pPr>
      <w:r>
        <w:t xml:space="preserve"> </w:t>
      </w:r>
    </w:p>
    <w:p w:rsidR="002C0F56" w:rsidRDefault="00E67C6E">
      <w:pPr>
        <w:pStyle w:val="1"/>
        <w:ind w:left="700" w:right="1376"/>
      </w:pPr>
      <w:r>
        <w:t xml:space="preserve">ВЛИЯНИЕ ИНФЛЯЦИИ НА ЭКОНОМИКУ </w:t>
      </w:r>
    </w:p>
    <w:p w:rsidR="002C0F56" w:rsidRDefault="00E67C6E">
      <w:pPr>
        <w:spacing w:after="0" w:line="259" w:lineRule="auto"/>
        <w:ind w:left="744" w:firstLine="0"/>
        <w:jc w:val="left"/>
      </w:pPr>
      <w:r>
        <w:t xml:space="preserve"> </w:t>
      </w:r>
    </w:p>
    <w:p w:rsidR="002C0F56" w:rsidRDefault="00E67C6E">
      <w:pPr>
        <w:ind w:left="165" w:right="870"/>
      </w:pPr>
      <w:r>
        <w:t xml:space="preserve">Явление инфляции присуще в той или иной степени любой рыночной и переходной к ней экономикам, в том числе и экономикам промышленно развитых стран. Инфляция проникает во все сферы экономической жизни и </w:t>
      </w:r>
      <w:r>
        <w:lastRenderedPageBreak/>
        <w:t>начинает их разрушать.</w:t>
      </w:r>
      <w:r>
        <w:t xml:space="preserve"> От нее страдают государство, производство, финансовый рынок и рыночная экономика, но больше всего страдают люди. </w:t>
      </w:r>
    </w:p>
    <w:p w:rsidR="002C0F56" w:rsidRDefault="00E67C6E">
      <w:pPr>
        <w:ind w:left="165" w:right="866"/>
      </w:pPr>
      <w:r>
        <w:t>Инфляция является очень сложным социально-экономическим явлением. На протяжении столетий с изменением форм собственности, типов ценообразован</w:t>
      </w:r>
      <w:r>
        <w:t xml:space="preserve">ия, денежных систем изменялись причины, следствия, формы проявления инфляционного процесса. Неизменной оставалась лишь сущность инфляции — обесценение денег.  </w:t>
      </w:r>
    </w:p>
    <w:p w:rsidR="002C0F56" w:rsidRDefault="00E67C6E">
      <w:pPr>
        <w:spacing w:after="0"/>
        <w:ind w:left="165" w:right="869"/>
      </w:pPr>
      <w:r>
        <w:t>В настоящее время инфляция - один из самых болезненных и опасных процессов, негативно воздейству</w:t>
      </w:r>
      <w:r>
        <w:t>ющих на финансы, денежную и экономическую систему в целом. Инфляция не только означает снижение покупательной способности денег, но и подрывает возможности хозяйственного регулирования, сводит на нет усилия по проведению структурных преобразований, восстан</w:t>
      </w:r>
      <w:r>
        <w:t xml:space="preserve">овлению нарушенных пропорций. </w:t>
      </w:r>
    </w:p>
    <w:p w:rsidR="002C0F56" w:rsidRDefault="00E67C6E">
      <w:pPr>
        <w:ind w:left="165" w:right="302"/>
      </w:pPr>
      <w:r>
        <w:t xml:space="preserve">Инфляция — это долговременный процесс снижения покупательной способности денег (повышение общего уровня цен). </w:t>
      </w:r>
    </w:p>
    <w:p w:rsidR="002C0F56" w:rsidRDefault="00E67C6E">
      <w:pPr>
        <w:ind w:left="165" w:right="872"/>
      </w:pPr>
      <w:r>
        <w:t xml:space="preserve">Инфляция — </w:t>
      </w:r>
      <w:r>
        <w:t xml:space="preserve">это повышение общего уровня цен, сопровождаемое соответствующим снижением покупательной способности денег (обесцениванием денег) и ведущее к перераспределению национального дохода. </w:t>
      </w:r>
    </w:p>
    <w:p w:rsidR="002C0F56" w:rsidRDefault="00E67C6E">
      <w:pPr>
        <w:ind w:left="744" w:right="302" w:firstLine="0"/>
      </w:pPr>
      <w:r>
        <w:t xml:space="preserve">Дефляция — это снижение общего уровня цен. </w:t>
      </w:r>
    </w:p>
    <w:p w:rsidR="002C0F56" w:rsidRDefault="00E67C6E">
      <w:pPr>
        <w:ind w:left="165" w:right="302"/>
      </w:pPr>
      <w:r>
        <w:t>Инфляция является основным дес</w:t>
      </w:r>
      <w:r>
        <w:t xml:space="preserve">табилизирующим фактором </w:t>
      </w:r>
      <w:hyperlink r:id="rId904">
        <w:r>
          <w:t xml:space="preserve">рыночной </w:t>
        </w:r>
      </w:hyperlink>
      <w:hyperlink r:id="rId905">
        <w:r>
          <w:t>экономики.</w:t>
        </w:r>
      </w:hyperlink>
      <w:r>
        <w:t xml:space="preserve"> Чем выше ее уровень тем, она опа</w:t>
      </w:r>
      <w:r>
        <w:t xml:space="preserve">снее. </w:t>
      </w:r>
    </w:p>
    <w:p w:rsidR="002C0F56" w:rsidRDefault="00E67C6E">
      <w:pPr>
        <w:ind w:left="165" w:right="866"/>
      </w:pPr>
      <w:r>
        <w:t xml:space="preserve">Инфляция оказывает сильное влияние на экономических агентов, кто-то из-за неё выигрывает, кто-то проигрывает, но большинство считают инфляцию серьезнейшей проблемой. </w:t>
      </w:r>
    </w:p>
    <w:p w:rsidR="002C0F56" w:rsidRDefault="00E67C6E">
      <w:pPr>
        <w:spacing w:after="10"/>
        <w:ind w:left="165" w:right="866"/>
      </w:pPr>
      <w:r>
        <w:t xml:space="preserve">Если сравнивать характер инфляционных процессов в условиях </w:t>
      </w:r>
      <w:hyperlink r:id="rId906">
        <w:r>
          <w:t>металлической</w:t>
        </w:r>
      </w:hyperlink>
      <w:hyperlink r:id="rId907">
        <w:r>
          <w:t xml:space="preserve"> </w:t>
        </w:r>
      </w:hyperlink>
      <w:r>
        <w:t xml:space="preserve">денежной системы и в современных условиях, когда функционируют бумажные и электронные деньги, то </w:t>
      </w:r>
      <w:r>
        <w:t xml:space="preserve">в период </w:t>
      </w:r>
      <w:hyperlink r:id="rId908">
        <w:r>
          <w:t xml:space="preserve">золотого </w:t>
        </w:r>
      </w:hyperlink>
      <w:hyperlink r:id="rId909">
        <w:r>
          <w:t>стандарта</w:t>
        </w:r>
      </w:hyperlink>
      <w:hyperlink r:id="rId910">
        <w:r>
          <w:t xml:space="preserve"> </w:t>
        </w:r>
      </w:hyperlink>
      <w:r>
        <w:t>инфляция возникала периодически: при резком возрастании спроса, связанном, прежде всего, с войнами. В современных условиях процесс инфляции стал постоянным и периоды снижения цен на</w:t>
      </w:r>
      <w:r>
        <w:t xml:space="preserve">блюдаются теперь все реже и реже. </w:t>
      </w:r>
    </w:p>
    <w:p w:rsidR="002C0F56" w:rsidRDefault="00E67C6E">
      <w:pPr>
        <w:ind w:left="165" w:right="302"/>
      </w:pPr>
      <w:r>
        <w:t xml:space="preserve">В зависимости от темпов (скорости протекания) выделяют следующие виды инфляции: </w:t>
      </w:r>
    </w:p>
    <w:p w:rsidR="002C0F56" w:rsidRDefault="00E67C6E">
      <w:pPr>
        <w:numPr>
          <w:ilvl w:val="0"/>
          <w:numId w:val="130"/>
        </w:numPr>
        <w:ind w:right="867"/>
      </w:pPr>
      <w:r>
        <w:rPr>
          <w:b/>
        </w:rPr>
        <w:t>Ползучая</w:t>
      </w:r>
      <w:r>
        <w:t xml:space="preserve"> (умеренная) — рост цен не более 10% в год. Сохраняется стоимость денег, контракты подписываются в номинальных ценах. Экономическая </w:t>
      </w:r>
      <w:r>
        <w:t xml:space="preserve">теория такую инфляцию рассматривает как наилучшую, поскольку она идет за счет обновляемости ассортимента, она дает возможность корректировать цены, сменяющиеся условями спроса и предложения. Эта инфляция управляемая, поскольку ее можно регулировать. </w:t>
      </w:r>
    </w:p>
    <w:p w:rsidR="002C0F56" w:rsidRDefault="00E67C6E">
      <w:pPr>
        <w:numPr>
          <w:ilvl w:val="0"/>
          <w:numId w:val="130"/>
        </w:numPr>
        <w:ind w:right="867"/>
      </w:pPr>
      <w:r>
        <w:rPr>
          <w:b/>
        </w:rPr>
        <w:lastRenderedPageBreak/>
        <w:t>Галоп</w:t>
      </w:r>
      <w:r>
        <w:rPr>
          <w:b/>
        </w:rPr>
        <w:t>ирующая</w:t>
      </w:r>
      <w:r>
        <w:t xml:space="preserve"> (скачкообразная) — рост цен от 10-20 до 50-200% в год. В контрактах начинают учитывать рост цен, население вкладывает деньги в материальные ценности. Инфляция трудно управляемая, часто проводятся </w:t>
      </w:r>
      <w:hyperlink r:id="rId911">
        <w:r>
          <w:t>денежные реформы.</w:t>
        </w:r>
      </w:hyperlink>
      <w:r>
        <w:t xml:space="preserve"> Данные изменения свидетельствуют о больной экономике, ведущей к стагнации, то есть к экономическому кризису. </w:t>
      </w:r>
    </w:p>
    <w:p w:rsidR="002C0F56" w:rsidRDefault="00E67C6E">
      <w:pPr>
        <w:numPr>
          <w:ilvl w:val="0"/>
          <w:numId w:val="130"/>
        </w:numPr>
        <w:spacing w:after="0"/>
        <w:ind w:right="867"/>
      </w:pPr>
      <w:r>
        <w:rPr>
          <w:b/>
        </w:rPr>
        <w:t>Гиперинфляция</w:t>
      </w:r>
      <w:r>
        <w:t xml:space="preserve"> — рост цен более 50% в месяц. Годовая норма более 100%. Благосостояние даже обеспече</w:t>
      </w:r>
      <w:r>
        <w:t xml:space="preserve">нных слоев общества и нормальные экономические отношения разрушаются. Неуправляемая и требует чрезвычайных мер. В результате гиперинфляции производство и обмен останавливаются, снижается реальный объем национального производства, растет </w:t>
      </w:r>
      <w:hyperlink r:id="rId912">
        <w:r>
          <w:t>безработица,</w:t>
        </w:r>
      </w:hyperlink>
      <w:r>
        <w:t xml:space="preserve"> закрываются предприятия и происходит </w:t>
      </w:r>
      <w:hyperlink r:id="rId913">
        <w:r>
          <w:t>банкротство</w:t>
        </w:r>
      </w:hyperlink>
      <w:hyperlink r:id="rId914">
        <w:r>
          <w:t>.</w:t>
        </w:r>
      </w:hyperlink>
      <w:r>
        <w:t xml:space="preserve"> </w:t>
      </w:r>
    </w:p>
    <w:p w:rsidR="002C0F56" w:rsidRDefault="00E67C6E">
      <w:pPr>
        <w:spacing w:after="5"/>
        <w:ind w:left="165" w:right="302"/>
      </w:pPr>
      <w:r>
        <w:t>Гиперинфляция означает крах денежной систем</w:t>
      </w:r>
      <w:hyperlink r:id="rId915">
        <w:r>
          <w:t>ы,</w:t>
        </w:r>
      </w:hyperlink>
      <w:r>
        <w:t xml:space="preserve"> паралич всего денежного механизма. Наиболее высокий</w:t>
      </w:r>
      <w:r>
        <w:t xml:space="preserve"> из всех известных уровень гиперинфляции наблюдался в Венгрии (август 1945 — июль 1946 г.), когда уровень цен за год вырос в 3,8*10</w:t>
      </w:r>
      <w:r>
        <w:rPr>
          <w:vertAlign w:val="superscript"/>
        </w:rPr>
        <w:t>27</w:t>
      </w:r>
      <w:r>
        <w:t xml:space="preserve"> раз при среднемесячном росте в 198 раз. </w:t>
      </w:r>
    </w:p>
    <w:p w:rsidR="002C0F56" w:rsidRDefault="00E67C6E">
      <w:pPr>
        <w:spacing w:after="12"/>
        <w:ind w:left="744" w:right="302" w:firstLine="0"/>
      </w:pPr>
      <w:r>
        <w:t xml:space="preserve">Инфляция вызывается монетарными и структурными причинами: </w:t>
      </w:r>
    </w:p>
    <w:p w:rsidR="002C0F56" w:rsidRDefault="00E67C6E">
      <w:pPr>
        <w:numPr>
          <w:ilvl w:val="0"/>
          <w:numId w:val="130"/>
        </w:numPr>
        <w:ind w:right="867"/>
      </w:pPr>
      <w:r>
        <w:rPr>
          <w:b/>
        </w:rPr>
        <w:t>монетарные</w:t>
      </w:r>
      <w:r>
        <w:t>: несоответс</w:t>
      </w:r>
      <w:r>
        <w:t>твие денежного спроса и товарной массы, когда спрос на товары и услуги превышает размер товарооборота; превышение доходов над потребительскими расходами; дефицит государственного бюджета; чрезмерное инвестирование — объем инвестиций превышает возможность э</w:t>
      </w:r>
      <w:r>
        <w:t xml:space="preserve">кономики; опережающий рост заработной платы по сравнению с ростом производства и повышением производительности труда; </w:t>
      </w:r>
    </w:p>
    <w:p w:rsidR="002C0F56" w:rsidRDefault="00E67C6E">
      <w:pPr>
        <w:numPr>
          <w:ilvl w:val="0"/>
          <w:numId w:val="130"/>
        </w:numPr>
        <w:ind w:right="867"/>
      </w:pPr>
      <w:r>
        <w:rPr>
          <w:b/>
        </w:rPr>
        <w:t>структурные</w:t>
      </w:r>
      <w:r>
        <w:t xml:space="preserve"> причины: деформация народно-хозяйственной структуры, выражающаяся в отставании развития отраслей потребительского сектора; сн</w:t>
      </w:r>
      <w:r>
        <w:t xml:space="preserve">ижение эффективности капиталовложения и сдерживание роста потребления; несовершенство системы управления экономикой; </w:t>
      </w:r>
    </w:p>
    <w:p w:rsidR="002C0F56" w:rsidRDefault="00E67C6E">
      <w:pPr>
        <w:numPr>
          <w:ilvl w:val="0"/>
          <w:numId w:val="130"/>
        </w:numPr>
        <w:ind w:right="867"/>
      </w:pPr>
      <w:r>
        <w:rPr>
          <w:b/>
        </w:rPr>
        <w:t>внешние</w:t>
      </w:r>
      <w:r>
        <w:t xml:space="preserve"> причины — сокращение поступлений от внешней торговли, отрицательное сальдо внешнеторгового платежного баланса. </w:t>
      </w:r>
    </w:p>
    <w:p w:rsidR="002C0F56" w:rsidRDefault="00E67C6E">
      <w:pPr>
        <w:ind w:left="165" w:right="302"/>
      </w:pPr>
      <w:r>
        <w:t>Как любой многофак</w:t>
      </w:r>
      <w:r>
        <w:t xml:space="preserve">торный экономический процесс инфляция имеет целый ряд последствий: </w:t>
      </w:r>
    </w:p>
    <w:p w:rsidR="002C0F56" w:rsidRDefault="00E67C6E">
      <w:pPr>
        <w:numPr>
          <w:ilvl w:val="0"/>
          <w:numId w:val="130"/>
        </w:numPr>
        <w:spacing w:after="1"/>
        <w:ind w:right="867"/>
      </w:pPr>
      <w:r>
        <w:t xml:space="preserve">расхождение в оценках между </w:t>
      </w:r>
      <w:hyperlink r:id="rId916">
        <w:r>
          <w:t>денежными потоками</w:t>
        </w:r>
      </w:hyperlink>
      <w:hyperlink r:id="rId917">
        <w:r>
          <w:t xml:space="preserve"> </w:t>
        </w:r>
      </w:hyperlink>
      <w:r>
        <w:t xml:space="preserve">и денежными запасами. Все денежные запасы (вклады, кредиты, остатки на счетах и др.) обесцениваются. Обесцениваются также и </w:t>
      </w:r>
      <w:hyperlink r:id="rId918">
        <w:r>
          <w:t>ценные бумаги.</w:t>
        </w:r>
      </w:hyperlink>
      <w:r>
        <w:t xml:space="preserve"> Резко обостряются проблемы</w:t>
      </w:r>
      <w:r>
        <w:t xml:space="preserve"> </w:t>
      </w:r>
      <w:hyperlink r:id="rId919">
        <w:r>
          <w:t>эмиссии денег</w:t>
        </w:r>
      </w:hyperlink>
      <w:hyperlink r:id="rId920">
        <w:r>
          <w:t>;</w:t>
        </w:r>
      </w:hyperlink>
      <w:r>
        <w:t xml:space="preserve"> </w:t>
      </w:r>
    </w:p>
    <w:p w:rsidR="002C0F56" w:rsidRDefault="00E67C6E">
      <w:pPr>
        <w:numPr>
          <w:ilvl w:val="0"/>
          <w:numId w:val="130"/>
        </w:numPr>
        <w:ind w:right="867"/>
      </w:pPr>
      <w:r>
        <w:t>стихийное, неконтролируемое перераспределение доходов: при инфляции проигрывают кредиторы, продавцы, экспортеры, работники бюджетных предприятий, а выигрывают должники, покупатели, импортеры, работники реального сектора. Благодаря инфляции возникают «мнимы</w:t>
      </w:r>
      <w:r>
        <w:t xml:space="preserve">е» доходы, которые могут и не поступать в </w:t>
      </w:r>
      <w:hyperlink r:id="rId921">
        <w:r>
          <w:t>финансовую систему</w:t>
        </w:r>
      </w:hyperlink>
      <w:hyperlink r:id="rId922">
        <w:r>
          <w:t>;</w:t>
        </w:r>
      </w:hyperlink>
      <w:r>
        <w:t xml:space="preserve"> </w:t>
      </w:r>
    </w:p>
    <w:p w:rsidR="002C0F56" w:rsidRDefault="00E67C6E">
      <w:pPr>
        <w:numPr>
          <w:ilvl w:val="0"/>
          <w:numId w:val="130"/>
        </w:numPr>
        <w:ind w:right="867"/>
      </w:pPr>
      <w:r>
        <w:lastRenderedPageBreak/>
        <w:t xml:space="preserve">искажает все основные </w:t>
      </w:r>
      <w:hyperlink r:id="rId923">
        <w:r>
          <w:t>экономические показатели</w:t>
        </w:r>
      </w:hyperlink>
      <w:hyperlink r:id="rId924">
        <w:r>
          <w:t>:</w:t>
        </w:r>
      </w:hyperlink>
      <w:hyperlink r:id="rId925">
        <w:r>
          <w:t xml:space="preserve"> </w:t>
        </w:r>
      </w:hyperlink>
      <w:hyperlink r:id="rId926">
        <w:r>
          <w:t>ВВП</w:t>
        </w:r>
      </w:hyperlink>
      <w:hyperlink r:id="rId927">
        <w:r>
          <w:t>,</w:t>
        </w:r>
      </w:hyperlink>
      <w:hyperlink r:id="rId928">
        <w:r>
          <w:t xml:space="preserve"> </w:t>
        </w:r>
      </w:hyperlink>
      <w:hyperlink r:id="rId929">
        <w:r>
          <w:t>рентабельность</w:t>
        </w:r>
      </w:hyperlink>
      <w:hyperlink r:id="rId930">
        <w:r>
          <w:t>,</w:t>
        </w:r>
      </w:hyperlink>
      <w:r>
        <w:t xml:space="preserve"> </w:t>
      </w:r>
      <w:hyperlink r:id="rId931">
        <w:r>
          <w:t>процент</w:t>
        </w:r>
      </w:hyperlink>
      <w:hyperlink r:id="rId932">
        <w:r>
          <w:t xml:space="preserve"> </w:t>
        </w:r>
      </w:hyperlink>
      <w:r>
        <w:t xml:space="preserve">и т. п.; </w:t>
      </w:r>
    </w:p>
    <w:p w:rsidR="002C0F56" w:rsidRDefault="00E67C6E">
      <w:pPr>
        <w:numPr>
          <w:ilvl w:val="0"/>
          <w:numId w:val="130"/>
        </w:numPr>
        <w:ind w:right="867"/>
      </w:pPr>
      <w:r>
        <w:t xml:space="preserve">рост цен сопровождается падением </w:t>
      </w:r>
      <w:hyperlink r:id="rId933">
        <w:r>
          <w:t>валютного курса</w:t>
        </w:r>
      </w:hyperlink>
      <w:hyperlink r:id="rId934">
        <w:r>
          <w:t xml:space="preserve"> </w:t>
        </w:r>
      </w:hyperlink>
      <w:r>
        <w:t xml:space="preserve">национальной денежной единицы. </w:t>
      </w:r>
    </w:p>
    <w:p w:rsidR="002C0F56" w:rsidRDefault="00E67C6E">
      <w:pPr>
        <w:spacing w:after="7"/>
        <w:ind w:left="165" w:right="873"/>
      </w:pPr>
      <w:r>
        <w:t>Негативны</w:t>
      </w:r>
      <w:r>
        <w:t>е социальные и экономические последствия инфляции вынуждают правительства разных стран проводить определённую экономическую политику. При этом в первую очередь экономисты пытаются найти ответ на такой важный вопрос – ликвидировать инфляцию путём радикальны</w:t>
      </w:r>
      <w:r>
        <w:t>х мер или адаптироваться к ней? Эта дилемма в разных странах решается по-разному. В США и Англии, например, на государственном уровне ставится задача борьбы с инфляцией. Некоторые другие страны разрабатывают комплекс адаптационных мероприятий (используя ин</w:t>
      </w:r>
      <w:r>
        <w:t xml:space="preserve">дексацию доходов и пр.).  </w:t>
      </w:r>
    </w:p>
    <w:p w:rsidR="002C0F56" w:rsidRDefault="00E67C6E">
      <w:pPr>
        <w:ind w:left="165" w:right="302"/>
      </w:pPr>
      <w:r>
        <w:t xml:space="preserve">В зависимости от подхода государства к проблеме инфляции антиинфляционная политика подразделяется на </w:t>
      </w:r>
      <w:r>
        <w:rPr>
          <w:b/>
        </w:rPr>
        <w:t>активную и адаптивную.</w:t>
      </w:r>
      <w:r>
        <w:t xml:space="preserve"> </w:t>
      </w:r>
    </w:p>
    <w:p w:rsidR="002C0F56" w:rsidRDefault="00E67C6E">
      <w:pPr>
        <w:ind w:left="165" w:right="302"/>
      </w:pPr>
      <w:r>
        <w:t>Активная антиинфляционная политика</w:t>
      </w:r>
      <w:r>
        <w:rPr>
          <w:i/>
        </w:rPr>
        <w:t xml:space="preserve"> </w:t>
      </w:r>
      <w:r>
        <w:t xml:space="preserve">направлена на ликвидацию причин, вызвавших инфляцию.  </w:t>
      </w:r>
    </w:p>
    <w:p w:rsidR="002C0F56" w:rsidRDefault="00E67C6E">
      <w:pPr>
        <w:spacing w:after="10"/>
        <w:ind w:left="165" w:right="867"/>
      </w:pPr>
      <w:r>
        <w:t>Адаптивная ант</w:t>
      </w:r>
      <w:r>
        <w:t>иинфляционная политика</w:t>
      </w:r>
      <w:r>
        <w:rPr>
          <w:i/>
        </w:rPr>
        <w:t xml:space="preserve"> </w:t>
      </w:r>
      <w:r>
        <w:t xml:space="preserve">представляет собой приспособление к условиям инфляции, смягчение ее отрицательных последствий. </w:t>
      </w:r>
    </w:p>
    <w:p w:rsidR="002C0F56" w:rsidRDefault="00E67C6E">
      <w:pPr>
        <w:ind w:left="165" w:right="872"/>
      </w:pPr>
      <w:r>
        <w:t>Инфляция и безработица представляют две основные проблемы, стоящие перед любым правительством. Решение этих проблем находится в тесной за</w:t>
      </w:r>
      <w:r>
        <w:t xml:space="preserve">висимости. </w:t>
      </w:r>
    </w:p>
    <w:p w:rsidR="002C0F56" w:rsidRDefault="00E67C6E">
      <w:pPr>
        <w:ind w:left="165" w:right="875"/>
      </w:pPr>
      <w:r>
        <w:t xml:space="preserve">Основные рычаги управления инфляционными процессами находятся в руках у государства, так как именно государство ответственно за денежное предложение и, соответственно, величину денежной массы. </w:t>
      </w:r>
    </w:p>
    <w:p w:rsidR="002C0F56" w:rsidRDefault="00E67C6E">
      <w:pPr>
        <w:spacing w:after="10"/>
        <w:ind w:left="165" w:right="871"/>
      </w:pPr>
      <w:r>
        <w:t>Однако сокращение находящихся в обращении денег со</w:t>
      </w:r>
      <w:r>
        <w:t xml:space="preserve">здает лишь условия для прекращения инфляции, для эффективности же борьбы с инфляцией необходимо устранение причин, ее породивших. </w:t>
      </w:r>
    </w:p>
    <w:p w:rsidR="002C0F56" w:rsidRDefault="00E67C6E">
      <w:pPr>
        <w:ind w:left="165" w:right="873"/>
      </w:pPr>
      <w:r>
        <w:t>Считается, что антиинфляционные меры можно применять только к открытой инфляции, подавленная инфляция не поддается лечению, п</w:t>
      </w:r>
      <w:r>
        <w:t xml:space="preserve">отому что ее нельзя измерить. </w:t>
      </w:r>
    </w:p>
    <w:p w:rsidR="002C0F56" w:rsidRDefault="00E67C6E">
      <w:pPr>
        <w:spacing w:after="10"/>
        <w:ind w:left="165" w:right="866"/>
      </w:pPr>
      <w:r>
        <w:t>Бороться с инфляцией – это значит ограничивать ее, удерживать на стабильном уровне цены, но не устранять полностью. Инфляцию нельзя ликвидировать раз и навсегда, поскольку глубинной основой ее существования является циклическ</w:t>
      </w:r>
      <w:r>
        <w:t xml:space="preserve">ий характер развития экономики. Поэтому инфляция и безработица – постоянные спутники рыночного хозяйствования, а государственная политика поддержания полной занятости и стабильности цен – важнейшая цель макроэкономического регулирования. </w:t>
      </w:r>
    </w:p>
    <w:p w:rsidR="002C0F56" w:rsidRDefault="00E67C6E">
      <w:pPr>
        <w:spacing w:after="22" w:line="259" w:lineRule="auto"/>
        <w:ind w:left="744" w:firstLine="0"/>
        <w:jc w:val="left"/>
      </w:pPr>
      <w:r>
        <w:t xml:space="preserve">                 </w:t>
      </w:r>
      <w:r>
        <w:t xml:space="preserve">                   </w:t>
      </w:r>
    </w:p>
    <w:p w:rsidR="002C0F56" w:rsidRDefault="00E67C6E">
      <w:pPr>
        <w:spacing w:after="15" w:line="268" w:lineRule="auto"/>
        <w:ind w:left="1262" w:right="1373" w:hanging="10"/>
        <w:jc w:val="center"/>
      </w:pPr>
      <w:r>
        <w:lastRenderedPageBreak/>
        <w:t xml:space="preserve">Список литературы: </w:t>
      </w:r>
    </w:p>
    <w:p w:rsidR="002C0F56" w:rsidRDefault="00E67C6E">
      <w:pPr>
        <w:numPr>
          <w:ilvl w:val="0"/>
          <w:numId w:val="131"/>
        </w:numPr>
        <w:ind w:right="302" w:firstLine="720"/>
      </w:pPr>
      <w:r>
        <w:t xml:space="preserve">Чепурин М.Н.. «Курс экономической теории» Киров, 1995г. журнал «Экономика и бизнес» №5 1996 г.  </w:t>
      </w:r>
    </w:p>
    <w:p w:rsidR="002C0F56" w:rsidRDefault="00E67C6E">
      <w:pPr>
        <w:numPr>
          <w:ilvl w:val="0"/>
          <w:numId w:val="131"/>
        </w:numPr>
        <w:spacing w:after="12"/>
        <w:ind w:right="302" w:firstLine="720"/>
      </w:pPr>
      <w:r>
        <w:t xml:space="preserve">Булатов А.С. «Экономика» М., 1996г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11"/>
        <w:ind w:left="4974" w:right="862"/>
        <w:jc w:val="right"/>
      </w:pPr>
      <w:r>
        <w:t xml:space="preserve">Лапикова А. В. </w:t>
      </w:r>
      <w:r>
        <w:rPr>
          <w:b w:val="0"/>
        </w:rPr>
        <w:t xml:space="preserve">Научный руководитель: Погорелая Т. А. </w:t>
      </w:r>
    </w:p>
    <w:p w:rsidR="002C0F56" w:rsidRDefault="00E67C6E">
      <w:pPr>
        <w:spacing w:after="0" w:line="267" w:lineRule="auto"/>
        <w:ind w:left="905" w:right="1152" w:hanging="10"/>
        <w:jc w:val="right"/>
      </w:pPr>
      <w:r>
        <w:rPr>
          <w:i/>
        </w:rPr>
        <w:t xml:space="preserve">Кузбасский государственный технический университет имени </w:t>
      </w:r>
    </w:p>
    <w:p w:rsidR="002C0F56" w:rsidRDefault="00E67C6E">
      <w:pPr>
        <w:spacing w:after="0" w:line="267" w:lineRule="auto"/>
        <w:ind w:left="905" w:right="1151" w:hanging="10"/>
        <w:jc w:val="right"/>
      </w:pPr>
      <w:r>
        <w:rPr>
          <w:i/>
        </w:rPr>
        <w:t>Т.Ф. Горбачева</w:t>
      </w:r>
      <w:r>
        <w:rPr>
          <w:b/>
        </w:rPr>
        <w:t xml:space="preserve"> </w:t>
      </w:r>
    </w:p>
    <w:p w:rsidR="002C0F56" w:rsidRDefault="00E67C6E">
      <w:pPr>
        <w:spacing w:after="30" w:line="259" w:lineRule="auto"/>
        <w:ind w:left="744" w:firstLine="0"/>
        <w:jc w:val="left"/>
      </w:pPr>
      <w:r>
        <w:rPr>
          <w:b/>
        </w:rPr>
        <w:t xml:space="preserve"> </w:t>
      </w:r>
    </w:p>
    <w:p w:rsidR="002C0F56" w:rsidRDefault="00E67C6E">
      <w:pPr>
        <w:pStyle w:val="1"/>
        <w:ind w:right="689"/>
      </w:pPr>
      <w:r>
        <w:t xml:space="preserve">ВЛИЯНИЕ МИРОВОГО КРИЗИСА НА РАЗВИТИЕ СТРАН БРИКС </w:t>
      </w:r>
    </w:p>
    <w:p w:rsidR="002C0F56" w:rsidRDefault="00E67C6E">
      <w:pPr>
        <w:spacing w:after="0" w:line="259" w:lineRule="auto"/>
        <w:ind w:left="744" w:firstLine="0"/>
        <w:jc w:val="left"/>
      </w:pPr>
      <w:r>
        <w:rPr>
          <w:b/>
        </w:rPr>
        <w:t xml:space="preserve"> </w:t>
      </w:r>
    </w:p>
    <w:p w:rsidR="002C0F56" w:rsidRDefault="00E67C6E">
      <w:pPr>
        <w:spacing w:after="0"/>
        <w:ind w:left="165" w:right="1006"/>
      </w:pPr>
      <w:r>
        <w:t>Мировой экономический кризис стал одним из главных испытаний последних десятилетий. Его последствия до сих пор ощущаются во многих странах, которые так и не смогли вернуть развитие национальной экономики на траекторию устойчивого роста. В этой связи растет</w:t>
      </w:r>
      <w:r>
        <w:t xml:space="preserve"> привлекательность интеграционных объединений, участники которых имеют сопоставимые условия и проблемы развития, сопоставимые задачи и инструменты регулирования процессов модернизации. Поэтому объединение Бразилии, России, Индии и Китая в группу БРИК (посл</w:t>
      </w:r>
      <w:r>
        <w:t>е присоединения ЮжноАфриканской Республики (ЮАР) в 2011 г. – БРИКС) стало, по-сути, ответом на углубляющийся мировой финансовый кризис. Одновременно эта инициатива продемонстрировала желание этих крупных государств с формирующимися рынками активно отстаива</w:t>
      </w:r>
      <w:r>
        <w:t xml:space="preserve">ть свои интересы на международной арене, поддерживая друг друга, усиливая свои позиции на мировом рынке товаров  и технологий.  </w:t>
      </w:r>
    </w:p>
    <w:p w:rsidR="002C0F56" w:rsidRDefault="00E67C6E">
      <w:pPr>
        <w:spacing w:after="0"/>
        <w:ind w:left="165" w:right="1008"/>
      </w:pPr>
      <w:r>
        <w:t xml:space="preserve">С целью уменьшения зависимости от ведущих игроков на мировом рынке капитала, лидеры стран БРИКС, на которые сегодня приходится </w:t>
      </w:r>
      <w:r>
        <w:t xml:space="preserve">29,7 % мирового ВВП, что превышает долю США (16,6 %) и стран Еврозоны (12,2 %) вместе взятых, посчитали необходимым повысить уровень взаимодействия для координации антикризисных мер, а также обозначить возможность выработки совместных глобальных инициатив </w:t>
      </w:r>
      <w:r>
        <w:t xml:space="preserve">[1, c. 41]. </w:t>
      </w:r>
    </w:p>
    <w:p w:rsidR="002C0F56" w:rsidRDefault="00E67C6E">
      <w:pPr>
        <w:spacing w:after="0"/>
        <w:ind w:left="165" w:right="1006"/>
      </w:pPr>
      <w:r>
        <w:t>В своём первом совместном заявлении на встрече в Екатеринбурге в 2009 г. главы стран блока заложили долгосрочную основу позиции БРИКС и взглядов стран-участниц на послекризисное устройство мировой экономики. Кризис либеральной концепции отрази</w:t>
      </w:r>
      <w:r>
        <w:t xml:space="preserve">л основные противоречия центропреиферийного строения мирового хозяйства. Финансовая экспансия </w:t>
      </w:r>
      <w:r>
        <w:lastRenderedPageBreak/>
        <w:t>стран Запада всегда подчинена интересам развитых стран, усиливая неравномерность развития стран, относящихся к различным по уровню развития группам. Поэтому принц</w:t>
      </w:r>
      <w:r>
        <w:t>ипиальной основой позиции БРИКС стали требования изменений в системе глобального финансового управления. Он стал принципиальным для развивающихся стран, еще и потому, что позволял на наиболее высоком уровне подтвердить и зафиксировать произошедшее смещение</w:t>
      </w:r>
      <w:r>
        <w:t xml:space="preserve"> центров тяжести в мировой экономике, а также придать этому процессу легитимность за счёт предоставления большего веса государствам с формирующимися рыночными экономиками [1, c 47]. </w:t>
      </w:r>
    </w:p>
    <w:p w:rsidR="002C0F56" w:rsidRDefault="00E67C6E">
      <w:pPr>
        <w:spacing w:after="7"/>
        <w:ind w:left="165" w:right="1008"/>
      </w:pPr>
      <w:r>
        <w:t xml:space="preserve">Китайская экономика имеет наиболее стабильное положение среди всех стран </w:t>
      </w:r>
      <w:r>
        <w:t>группы БРИКС. С одной стороны, китайскую экономику страхуют максимальные резервы (более 3 трлн долл.), а с другой – Китай имеет серьезную поддержку из-за рубежа в виде стабильных поступлений от экспорта и притока капитала (в т.ч. из стран Запада, стремящих</w:t>
      </w:r>
      <w:r>
        <w:t>ся вынести за пределы своих территорий грязное и трудоемкое производство). Именно Китай, а впоследствии и Индия, по мнению экономистов, будут доминирующими глобальными поставщиками товаров промышленного назначения и услуг в будущем. А Бразилия (соя, железн</w:t>
      </w:r>
      <w:r>
        <w:t xml:space="preserve">ая руда) и Россия (нефть, природный газ) станут доминирующими поставщиками сырья.  </w:t>
      </w:r>
    </w:p>
    <w:p w:rsidR="002C0F56" w:rsidRDefault="00E67C6E">
      <w:pPr>
        <w:ind w:left="165" w:right="1008"/>
      </w:pPr>
      <w:r>
        <w:t>В условиях последнего мирового финансового кризиса предпочтение стран в выборе способов преодоления его последствий было отдано активной государственной помощи в виде крупн</w:t>
      </w:r>
      <w:r>
        <w:t xml:space="preserve">ых финансовых средств для поддержки проблемных секторов экономики. Антикризисная политика руководства стран БРИКС строилась преимущественно на решении следующих задач [2]: </w:t>
      </w:r>
    </w:p>
    <w:p w:rsidR="002C0F56" w:rsidRDefault="00E67C6E">
      <w:pPr>
        <w:numPr>
          <w:ilvl w:val="0"/>
          <w:numId w:val="132"/>
        </w:numPr>
        <w:ind w:left="955" w:right="302" w:hanging="211"/>
      </w:pPr>
      <w:r>
        <w:t xml:space="preserve">поиск инструментов по преодолению негативных тенденций; </w:t>
      </w:r>
    </w:p>
    <w:p w:rsidR="002C0F56" w:rsidRDefault="00E67C6E">
      <w:pPr>
        <w:numPr>
          <w:ilvl w:val="0"/>
          <w:numId w:val="132"/>
        </w:numPr>
        <w:ind w:left="955" w:right="302" w:hanging="211"/>
      </w:pPr>
      <w:r>
        <w:t xml:space="preserve">повышение стабильности; </w:t>
      </w:r>
    </w:p>
    <w:p w:rsidR="002C0F56" w:rsidRDefault="00E67C6E">
      <w:pPr>
        <w:numPr>
          <w:ilvl w:val="0"/>
          <w:numId w:val="132"/>
        </w:numPr>
        <w:spacing w:after="12"/>
        <w:ind w:left="955" w:right="302" w:hanging="211"/>
      </w:pPr>
      <w:r>
        <w:t>с</w:t>
      </w:r>
      <w:r>
        <w:t xml:space="preserve">тимулирование экономического развития. </w:t>
      </w:r>
    </w:p>
    <w:p w:rsidR="002C0F56" w:rsidRDefault="00E67C6E">
      <w:pPr>
        <w:spacing w:after="14"/>
        <w:ind w:left="165" w:right="1007"/>
      </w:pPr>
      <w:r>
        <w:t xml:space="preserve">Особенно высокое значение экспорт в страны БРИКС в настоящее время имеет для Бразилии, где на него приходится 22,4 % от совокупного объёма экспорта. Наименьшую долю страны БРИКС занимают в экспорте Китая - </w:t>
      </w:r>
      <w:r>
        <w:t xml:space="preserve">по состоянию на 2014 г. она составляет всего 6,8 %. Для России на экспорт в государства - партнёры по БРИКС приходится 9,4 % от общего объёма экспорта (табл. 1) [3]. </w:t>
      </w:r>
    </w:p>
    <w:p w:rsidR="002C0F56" w:rsidRDefault="00E67C6E">
      <w:pPr>
        <w:spacing w:after="0" w:line="259" w:lineRule="auto"/>
        <w:ind w:left="744" w:firstLine="0"/>
        <w:jc w:val="left"/>
      </w:pPr>
      <w:r>
        <w:t xml:space="preserve"> </w:t>
      </w:r>
    </w:p>
    <w:p w:rsidR="002C0F56" w:rsidRDefault="00E67C6E">
      <w:pPr>
        <w:spacing w:after="5" w:line="271" w:lineRule="auto"/>
        <w:ind w:left="4396" w:right="396" w:hanging="3524"/>
        <w:jc w:val="left"/>
      </w:pPr>
      <w:r>
        <w:rPr>
          <w:i/>
          <w:sz w:val="24"/>
        </w:rPr>
        <w:t xml:space="preserve">Таблица 1 </w:t>
      </w:r>
      <w:r>
        <w:rPr>
          <w:sz w:val="24"/>
        </w:rPr>
        <w:t>-</w:t>
      </w:r>
      <w:r>
        <w:rPr>
          <w:i/>
          <w:sz w:val="24"/>
        </w:rPr>
        <w:t xml:space="preserve"> </w:t>
      </w:r>
      <w:r>
        <w:rPr>
          <w:b/>
          <w:sz w:val="24"/>
        </w:rPr>
        <w:t>Динамика экспорта и импорта товаров стран БРИКС в 2000–2014 гг. (млрд дол.)</w:t>
      </w:r>
      <w:r>
        <w:rPr>
          <w:sz w:val="24"/>
        </w:rPr>
        <w:t xml:space="preserve"> </w:t>
      </w:r>
    </w:p>
    <w:tbl>
      <w:tblPr>
        <w:tblStyle w:val="TableGrid"/>
        <w:tblW w:w="9782" w:type="dxa"/>
        <w:tblInd w:w="180" w:type="dxa"/>
        <w:tblCellMar>
          <w:top w:w="14" w:type="dxa"/>
          <w:left w:w="0" w:type="dxa"/>
          <w:bottom w:w="0" w:type="dxa"/>
          <w:right w:w="168" w:type="dxa"/>
        </w:tblCellMar>
        <w:tblLook w:val="04A0" w:firstRow="1" w:lastRow="0" w:firstColumn="1" w:lastColumn="0" w:noHBand="0" w:noVBand="1"/>
      </w:tblPr>
      <w:tblGrid>
        <w:gridCol w:w="1750"/>
        <w:gridCol w:w="1138"/>
        <w:gridCol w:w="1138"/>
        <w:gridCol w:w="1142"/>
        <w:gridCol w:w="2204"/>
        <w:gridCol w:w="2410"/>
      </w:tblGrid>
      <w:tr w:rsidR="002C0F56">
        <w:trPr>
          <w:trHeight w:val="903"/>
        </w:trPr>
        <w:tc>
          <w:tcPr>
            <w:tcW w:w="175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6" w:firstLine="0"/>
              <w:jc w:val="center"/>
            </w:pPr>
            <w:r>
              <w:rPr>
                <w:b/>
                <w:sz w:val="24"/>
              </w:rPr>
              <w:t xml:space="preserve">Страна </w:t>
            </w:r>
          </w:p>
        </w:tc>
        <w:tc>
          <w:tcPr>
            <w:tcW w:w="11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59" w:firstLine="0"/>
              <w:jc w:val="left"/>
            </w:pPr>
            <w:r>
              <w:rPr>
                <w:b/>
                <w:sz w:val="24"/>
              </w:rPr>
              <w:t xml:space="preserve">2000 </w:t>
            </w:r>
          </w:p>
        </w:tc>
        <w:tc>
          <w:tcPr>
            <w:tcW w:w="11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59" w:firstLine="0"/>
              <w:jc w:val="left"/>
            </w:pPr>
            <w:r>
              <w:rPr>
                <w:b/>
                <w:sz w:val="24"/>
              </w:rPr>
              <w:t xml:space="preserve">2007 </w:t>
            </w:r>
          </w:p>
        </w:tc>
        <w:tc>
          <w:tcPr>
            <w:tcW w:w="114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62" w:firstLine="0"/>
              <w:jc w:val="left"/>
            </w:pPr>
            <w:r>
              <w:rPr>
                <w:b/>
                <w:sz w:val="24"/>
              </w:rPr>
              <w:t xml:space="preserve">2014 </w:t>
            </w:r>
          </w:p>
        </w:tc>
        <w:tc>
          <w:tcPr>
            <w:tcW w:w="22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right="85" w:firstLine="454"/>
              <w:jc w:val="left"/>
            </w:pPr>
            <w:r>
              <w:rPr>
                <w:b/>
                <w:sz w:val="24"/>
              </w:rPr>
              <w:t xml:space="preserve">Прирост с 2000 по 2007 гг. </w:t>
            </w:r>
          </w:p>
        </w:tc>
        <w:tc>
          <w:tcPr>
            <w:tcW w:w="241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38" w:right="63" w:firstLine="0"/>
              <w:jc w:val="center"/>
            </w:pPr>
            <w:r>
              <w:rPr>
                <w:b/>
                <w:sz w:val="24"/>
              </w:rPr>
              <w:t xml:space="preserve">Прирост с 2007 по 2014 гг. </w:t>
            </w:r>
          </w:p>
        </w:tc>
      </w:tr>
      <w:tr w:rsidR="002C0F56">
        <w:trPr>
          <w:trHeight w:val="355"/>
        </w:trPr>
        <w:tc>
          <w:tcPr>
            <w:tcW w:w="1750"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138"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138"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3346" w:type="dxa"/>
            <w:gridSpan w:val="2"/>
            <w:tcBorders>
              <w:top w:val="single" w:sz="4" w:space="0" w:color="000000"/>
              <w:left w:val="nil"/>
              <w:bottom w:val="single" w:sz="4" w:space="0" w:color="000000"/>
              <w:right w:val="nil"/>
            </w:tcBorders>
          </w:tcPr>
          <w:p w:rsidR="002C0F56" w:rsidRDefault="00E67C6E">
            <w:pPr>
              <w:spacing w:after="0" w:line="259" w:lineRule="auto"/>
              <w:ind w:left="-120" w:firstLine="0"/>
              <w:jc w:val="left"/>
            </w:pPr>
            <w:r>
              <w:rPr>
                <w:b/>
                <w:sz w:val="24"/>
              </w:rPr>
              <w:t>Экспорт</w:t>
            </w:r>
            <w:r>
              <w:rPr>
                <w:sz w:val="24"/>
              </w:rPr>
              <w:t xml:space="preserve"> </w:t>
            </w:r>
            <w:r>
              <w:rPr>
                <w:b/>
                <w:sz w:val="24"/>
              </w:rPr>
              <w:t xml:space="preserve">в целом </w:t>
            </w:r>
          </w:p>
        </w:tc>
        <w:tc>
          <w:tcPr>
            <w:tcW w:w="2410"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617"/>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1130"/>
                <w:tab w:val="right" w:pos="1582"/>
              </w:tabs>
              <w:spacing w:after="25" w:line="259" w:lineRule="auto"/>
              <w:ind w:left="0" w:firstLine="0"/>
              <w:jc w:val="left"/>
            </w:pPr>
            <w:r>
              <w:rPr>
                <w:sz w:val="24"/>
              </w:rPr>
              <w:t xml:space="preserve">БРИКС </w:t>
            </w:r>
            <w:r>
              <w:rPr>
                <w:sz w:val="24"/>
              </w:rPr>
              <w:tab/>
              <w:t xml:space="preserve"> </w:t>
            </w:r>
            <w:r>
              <w:rPr>
                <w:sz w:val="24"/>
              </w:rPr>
              <w:tab/>
              <w:t xml:space="preserve">в </w:t>
            </w:r>
          </w:p>
          <w:p w:rsidR="002C0F56" w:rsidRDefault="00E67C6E">
            <w:pPr>
              <w:spacing w:after="0" w:line="259" w:lineRule="auto"/>
              <w:ind w:left="108" w:firstLine="0"/>
              <w:jc w:val="left"/>
            </w:pPr>
            <w:r>
              <w:rPr>
                <w:sz w:val="24"/>
              </w:rPr>
              <w:t xml:space="preserve">целом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476,07 </w:t>
            </w:r>
          </w:p>
          <w:p w:rsidR="002C0F56" w:rsidRDefault="00E67C6E">
            <w:pPr>
              <w:spacing w:after="0" w:line="259" w:lineRule="auto"/>
              <w:ind w:left="88" w:firstLine="0"/>
              <w:jc w:val="center"/>
            </w:pPr>
            <w:r>
              <w:rPr>
                <w:sz w:val="24"/>
              </w:rPr>
              <w:t xml:space="preserve">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1942,91 </w:t>
            </w:r>
          </w:p>
          <w:p w:rsidR="002C0F56" w:rsidRDefault="00E67C6E">
            <w:pPr>
              <w:spacing w:after="0" w:line="259" w:lineRule="auto"/>
              <w:ind w:left="89" w:firstLine="0"/>
              <w:jc w:val="center"/>
            </w:pPr>
            <w:r>
              <w:rPr>
                <w:sz w:val="24"/>
              </w:rPr>
              <w:t xml:space="preserve">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3" w:firstLine="0"/>
              <w:jc w:val="left"/>
            </w:pPr>
            <w:r>
              <w:rPr>
                <w:sz w:val="24"/>
              </w:rPr>
              <w:t xml:space="preserve">3472,94 </w:t>
            </w:r>
          </w:p>
          <w:p w:rsidR="002C0F56" w:rsidRDefault="00E67C6E">
            <w:pPr>
              <w:spacing w:after="0" w:line="259" w:lineRule="auto"/>
              <w:ind w:left="89" w:firstLine="0"/>
              <w:jc w:val="center"/>
            </w:pPr>
            <w:r>
              <w:rPr>
                <w:sz w:val="24"/>
              </w:rPr>
              <w:t xml:space="preserve">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308,1 % </w:t>
            </w:r>
          </w:p>
          <w:p w:rsidR="002C0F56" w:rsidRDefault="00E67C6E">
            <w:pPr>
              <w:spacing w:after="0" w:line="259" w:lineRule="auto"/>
              <w:ind w:left="89" w:firstLine="0"/>
              <w:jc w:val="center"/>
            </w:pPr>
            <w:r>
              <w:rPr>
                <w:sz w:val="24"/>
              </w:rPr>
              <w:t xml:space="preserve">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3" w:firstLine="0"/>
              <w:jc w:val="center"/>
            </w:pPr>
            <w:r>
              <w:rPr>
                <w:sz w:val="24"/>
              </w:rPr>
              <w:t xml:space="preserve">78,8 % </w:t>
            </w:r>
          </w:p>
          <w:p w:rsidR="002C0F56" w:rsidRDefault="00E67C6E">
            <w:pPr>
              <w:spacing w:after="0" w:line="259" w:lineRule="auto"/>
              <w:ind w:left="89" w:firstLine="0"/>
              <w:jc w:val="center"/>
            </w:pPr>
            <w:r>
              <w:rPr>
                <w:sz w:val="24"/>
              </w:rPr>
              <w:t xml:space="preserve"> </w:t>
            </w:r>
          </w:p>
        </w:tc>
      </w:tr>
      <w:tr w:rsidR="002C0F56">
        <w:trPr>
          <w:trHeight w:val="307"/>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Бразилия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55,12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160,65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3" w:firstLine="0"/>
              <w:jc w:val="left"/>
            </w:pPr>
            <w:r>
              <w:rPr>
                <w:sz w:val="24"/>
              </w:rPr>
              <w:t xml:space="preserve">225,10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191,5 %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3" w:firstLine="0"/>
              <w:jc w:val="center"/>
            </w:pPr>
            <w:r>
              <w:rPr>
                <w:sz w:val="24"/>
              </w:rPr>
              <w:t xml:space="preserve">40,1 % </w:t>
            </w:r>
          </w:p>
        </w:tc>
      </w:tr>
      <w:tr w:rsidR="002C0F56">
        <w:trPr>
          <w:trHeight w:val="288"/>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Россия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103,09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352,27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3" w:firstLine="0"/>
              <w:jc w:val="left"/>
            </w:pPr>
            <w:r>
              <w:rPr>
                <w:sz w:val="24"/>
              </w:rPr>
              <w:t xml:space="preserve">469,94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241,7 %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3" w:firstLine="0"/>
              <w:jc w:val="center"/>
            </w:pPr>
            <w:r>
              <w:rPr>
                <w:sz w:val="24"/>
              </w:rPr>
              <w:t xml:space="preserve">33,4 %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Индия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42,36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145,90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3" w:firstLine="0"/>
              <w:jc w:val="left"/>
            </w:pPr>
            <w:r>
              <w:rPr>
                <w:sz w:val="24"/>
              </w:rPr>
              <w:t xml:space="preserve">317,54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244,4 %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117,6 %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Китай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249,20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0" w:firstLine="0"/>
              <w:jc w:val="left"/>
            </w:pPr>
            <w:r>
              <w:rPr>
                <w:sz w:val="24"/>
              </w:rPr>
              <w:t xml:space="preserve">1220,06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3" w:firstLine="0"/>
              <w:jc w:val="left"/>
            </w:pPr>
            <w:r>
              <w:rPr>
                <w:sz w:val="24"/>
              </w:rPr>
              <w:t xml:space="preserve">2342,75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389,6 %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3" w:firstLine="0"/>
              <w:jc w:val="center"/>
            </w:pPr>
            <w:r>
              <w:rPr>
                <w:sz w:val="24"/>
              </w:rPr>
              <w:t xml:space="preserve">92,0 %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ЮАР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26,30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64,03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3" w:firstLine="0"/>
              <w:jc w:val="left"/>
            </w:pPr>
            <w:r>
              <w:rPr>
                <w:sz w:val="24"/>
              </w:rPr>
              <w:t xml:space="preserve">90,61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143,5 %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3" w:firstLine="0"/>
              <w:jc w:val="center"/>
            </w:pPr>
            <w:r>
              <w:rPr>
                <w:sz w:val="24"/>
              </w:rPr>
              <w:t xml:space="preserve">41,5 % </w:t>
            </w:r>
          </w:p>
        </w:tc>
      </w:tr>
      <w:tr w:rsidR="002C0F56">
        <w:trPr>
          <w:trHeight w:val="286"/>
        </w:trPr>
        <w:tc>
          <w:tcPr>
            <w:tcW w:w="1750" w:type="dxa"/>
            <w:tcBorders>
              <w:top w:val="single" w:sz="4" w:space="0" w:color="000000"/>
              <w:left w:val="single" w:sz="4" w:space="0" w:color="000000"/>
              <w:bottom w:val="single" w:sz="4" w:space="0" w:color="000000"/>
              <w:right w:val="nil"/>
            </w:tcBorders>
          </w:tcPr>
          <w:p w:rsidR="002C0F56" w:rsidRDefault="002C0F56">
            <w:pPr>
              <w:spacing w:after="160" w:line="259" w:lineRule="auto"/>
              <w:ind w:left="0" w:firstLine="0"/>
              <w:jc w:val="left"/>
            </w:pPr>
          </w:p>
        </w:tc>
        <w:tc>
          <w:tcPr>
            <w:tcW w:w="1138"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1138" w:type="dxa"/>
            <w:tcBorders>
              <w:top w:val="single" w:sz="4" w:space="0" w:color="000000"/>
              <w:left w:val="nil"/>
              <w:bottom w:val="single" w:sz="4" w:space="0" w:color="000000"/>
              <w:right w:val="nil"/>
            </w:tcBorders>
          </w:tcPr>
          <w:p w:rsidR="002C0F56" w:rsidRDefault="002C0F56">
            <w:pPr>
              <w:spacing w:after="160" w:line="259" w:lineRule="auto"/>
              <w:ind w:left="0" w:firstLine="0"/>
              <w:jc w:val="left"/>
            </w:pPr>
          </w:p>
        </w:tc>
        <w:tc>
          <w:tcPr>
            <w:tcW w:w="3346" w:type="dxa"/>
            <w:gridSpan w:val="2"/>
            <w:tcBorders>
              <w:top w:val="single" w:sz="4" w:space="0" w:color="000000"/>
              <w:left w:val="nil"/>
              <w:bottom w:val="single" w:sz="4" w:space="0" w:color="000000"/>
              <w:right w:val="nil"/>
            </w:tcBorders>
          </w:tcPr>
          <w:p w:rsidR="002C0F56" w:rsidRDefault="00E67C6E">
            <w:pPr>
              <w:spacing w:after="0" w:line="259" w:lineRule="auto"/>
              <w:ind w:left="-91" w:firstLine="0"/>
              <w:jc w:val="left"/>
            </w:pPr>
            <w:r>
              <w:rPr>
                <w:b/>
                <w:sz w:val="24"/>
              </w:rPr>
              <w:t>Импорт</w:t>
            </w:r>
            <w:r>
              <w:rPr>
                <w:sz w:val="24"/>
              </w:rPr>
              <w:t xml:space="preserve"> </w:t>
            </w:r>
            <w:r>
              <w:rPr>
                <w:b/>
                <w:sz w:val="24"/>
              </w:rPr>
              <w:t xml:space="preserve">в целом </w:t>
            </w:r>
          </w:p>
        </w:tc>
        <w:tc>
          <w:tcPr>
            <w:tcW w:w="2410"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593"/>
        </w:trPr>
        <w:tc>
          <w:tcPr>
            <w:tcW w:w="175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6" w:firstLine="0"/>
              <w:jc w:val="center"/>
            </w:pPr>
            <w:r>
              <w:rPr>
                <w:b/>
                <w:sz w:val="24"/>
              </w:rPr>
              <w:t>Страна</w:t>
            </w:r>
            <w:r>
              <w:rPr>
                <w:sz w:val="24"/>
              </w:rPr>
              <w:t xml:space="preserve"> </w:t>
            </w:r>
          </w:p>
        </w:tc>
        <w:tc>
          <w:tcPr>
            <w:tcW w:w="11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59" w:firstLine="0"/>
              <w:jc w:val="left"/>
            </w:pPr>
            <w:r>
              <w:rPr>
                <w:b/>
                <w:sz w:val="24"/>
              </w:rPr>
              <w:t>2000</w:t>
            </w:r>
            <w:r>
              <w:rPr>
                <w:sz w:val="24"/>
              </w:rPr>
              <w:t xml:space="preserve"> </w:t>
            </w:r>
          </w:p>
        </w:tc>
        <w:tc>
          <w:tcPr>
            <w:tcW w:w="11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59" w:firstLine="0"/>
              <w:jc w:val="left"/>
            </w:pPr>
            <w:r>
              <w:rPr>
                <w:b/>
                <w:sz w:val="24"/>
              </w:rPr>
              <w:t>2007</w:t>
            </w:r>
            <w:r>
              <w:rPr>
                <w:sz w:val="24"/>
              </w:rPr>
              <w:t xml:space="preserve"> </w:t>
            </w:r>
          </w:p>
        </w:tc>
        <w:tc>
          <w:tcPr>
            <w:tcW w:w="114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62" w:firstLine="0"/>
              <w:jc w:val="left"/>
            </w:pPr>
            <w:r>
              <w:rPr>
                <w:b/>
                <w:sz w:val="24"/>
              </w:rPr>
              <w:t>2014</w:t>
            </w:r>
            <w:r>
              <w:rPr>
                <w:sz w:val="24"/>
              </w:rPr>
              <w:t xml:space="preserve">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64" w:hanging="284"/>
            </w:pPr>
            <w:r>
              <w:rPr>
                <w:b/>
                <w:sz w:val="24"/>
              </w:rPr>
              <w:t>Прирост  с 2000 по 2007 гг.</w:t>
            </w:r>
            <w:r>
              <w:rPr>
                <w:sz w:val="24"/>
              </w:rPr>
              <w:t xml:space="preserve">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28" w:hanging="574"/>
              <w:jc w:val="left"/>
            </w:pPr>
            <w:r>
              <w:rPr>
                <w:b/>
                <w:sz w:val="24"/>
              </w:rPr>
              <w:t>Прирост с 2007 по 2014 гг.</w:t>
            </w:r>
            <w:r>
              <w:rPr>
                <w:sz w:val="24"/>
              </w:rPr>
              <w:t xml:space="preserve"> </w:t>
            </w:r>
          </w:p>
        </w:tc>
      </w:tr>
      <w:tr w:rsidR="002C0F56">
        <w:trPr>
          <w:trHeight w:val="57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1130"/>
                <w:tab w:val="right" w:pos="1582"/>
              </w:tabs>
              <w:spacing w:after="26" w:line="259" w:lineRule="auto"/>
              <w:ind w:left="0" w:firstLine="0"/>
              <w:jc w:val="left"/>
            </w:pPr>
            <w:r>
              <w:rPr>
                <w:sz w:val="24"/>
              </w:rPr>
              <w:t xml:space="preserve">БРИКС </w:t>
            </w:r>
            <w:r>
              <w:rPr>
                <w:sz w:val="24"/>
              </w:rPr>
              <w:tab/>
              <w:t xml:space="preserve"> </w:t>
            </w:r>
            <w:r>
              <w:rPr>
                <w:sz w:val="24"/>
              </w:rPr>
              <w:tab/>
              <w:t xml:space="preserve">в </w:t>
            </w:r>
          </w:p>
          <w:p w:rsidR="002C0F56" w:rsidRDefault="00E67C6E">
            <w:pPr>
              <w:spacing w:after="0" w:line="259" w:lineRule="auto"/>
              <w:ind w:left="108" w:firstLine="0"/>
              <w:jc w:val="left"/>
            </w:pPr>
            <w:r>
              <w:rPr>
                <w:sz w:val="24"/>
              </w:rPr>
              <w:t xml:space="preserve">целом </w:t>
            </w:r>
          </w:p>
        </w:tc>
        <w:tc>
          <w:tcPr>
            <w:tcW w:w="11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70" w:firstLine="0"/>
              <w:jc w:val="left"/>
            </w:pPr>
            <w:r>
              <w:rPr>
                <w:sz w:val="24"/>
              </w:rPr>
              <w:t xml:space="preserve">394,53 </w:t>
            </w:r>
          </w:p>
        </w:tc>
        <w:tc>
          <w:tcPr>
            <w:tcW w:w="113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0" w:firstLine="0"/>
              <w:jc w:val="left"/>
            </w:pPr>
            <w:r>
              <w:rPr>
                <w:sz w:val="24"/>
              </w:rPr>
              <w:t xml:space="preserve">1574,99 </w:t>
            </w:r>
          </w:p>
        </w:tc>
        <w:tc>
          <w:tcPr>
            <w:tcW w:w="114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3" w:firstLine="0"/>
              <w:jc w:val="left"/>
            </w:pPr>
            <w:r>
              <w:rPr>
                <w:sz w:val="24"/>
              </w:rPr>
              <w:t xml:space="preserve">3070,59 </w:t>
            </w:r>
          </w:p>
        </w:tc>
        <w:tc>
          <w:tcPr>
            <w:tcW w:w="22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8" w:firstLine="0"/>
              <w:jc w:val="center"/>
            </w:pPr>
            <w:r>
              <w:rPr>
                <w:sz w:val="24"/>
              </w:rPr>
              <w:t xml:space="preserve">299,21 % </w:t>
            </w:r>
          </w:p>
        </w:tc>
        <w:tc>
          <w:tcPr>
            <w:tcW w:w="2410"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1" w:firstLine="0"/>
              <w:jc w:val="center"/>
            </w:pPr>
            <w:r>
              <w:rPr>
                <w:sz w:val="24"/>
              </w:rPr>
              <w:t xml:space="preserve">94,96 %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Бразилия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55,85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120,62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3" w:firstLine="0"/>
              <w:jc w:val="left"/>
            </w:pPr>
            <w:r>
              <w:rPr>
                <w:sz w:val="24"/>
              </w:rPr>
              <w:t xml:space="preserve">229,06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115,97 %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89,90 % </w:t>
            </w:r>
          </w:p>
        </w:tc>
      </w:tr>
      <w:tr w:rsidR="002C0F56">
        <w:trPr>
          <w:trHeight w:val="288"/>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Россия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33,88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199,73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3" w:firstLine="0"/>
              <w:jc w:val="left"/>
            </w:pPr>
            <w:r>
              <w:rPr>
                <w:sz w:val="24"/>
              </w:rPr>
              <w:t xml:space="preserve">285,98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489,52 %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43,18 %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Индия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52,94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218,65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3" w:firstLine="0"/>
              <w:jc w:val="left"/>
            </w:pPr>
            <w:r>
              <w:rPr>
                <w:sz w:val="24"/>
              </w:rPr>
              <w:t xml:space="preserve">495,37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313,01 %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126,56 %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Китай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225,09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70" w:firstLine="0"/>
              <w:jc w:val="left"/>
            </w:pPr>
            <w:r>
              <w:rPr>
                <w:sz w:val="24"/>
              </w:rPr>
              <w:t xml:space="preserve">956,12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3" w:firstLine="0"/>
              <w:jc w:val="left"/>
            </w:pPr>
            <w:r>
              <w:rPr>
                <w:sz w:val="24"/>
              </w:rPr>
              <w:t xml:space="preserve">1960,29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324,77 %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105,03 % </w:t>
            </w:r>
          </w:p>
        </w:tc>
      </w:tr>
      <w:tr w:rsidR="002C0F56">
        <w:trPr>
          <w:trHeight w:val="286"/>
        </w:trPr>
        <w:tc>
          <w:tcPr>
            <w:tcW w:w="17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8" w:firstLine="0"/>
              <w:jc w:val="left"/>
            </w:pPr>
            <w:r>
              <w:rPr>
                <w:sz w:val="24"/>
              </w:rPr>
              <w:t xml:space="preserve">ЮАР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26,77 </w:t>
            </w:r>
          </w:p>
        </w:tc>
        <w:tc>
          <w:tcPr>
            <w:tcW w:w="11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0" w:firstLine="0"/>
              <w:jc w:val="left"/>
            </w:pPr>
            <w:r>
              <w:rPr>
                <w:sz w:val="24"/>
              </w:rPr>
              <w:t xml:space="preserve">79,87 </w:t>
            </w:r>
          </w:p>
        </w:tc>
        <w:tc>
          <w:tcPr>
            <w:tcW w:w="11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33" w:firstLine="0"/>
              <w:jc w:val="left"/>
            </w:pPr>
            <w:r>
              <w:rPr>
                <w:sz w:val="24"/>
              </w:rPr>
              <w:t xml:space="preserve">99,89 </w:t>
            </w:r>
          </w:p>
        </w:tc>
        <w:tc>
          <w:tcPr>
            <w:tcW w:w="22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8" w:firstLine="0"/>
              <w:jc w:val="center"/>
            </w:pPr>
            <w:r>
              <w:rPr>
                <w:sz w:val="24"/>
              </w:rPr>
              <w:t xml:space="preserve">198,36 %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1" w:firstLine="0"/>
              <w:jc w:val="center"/>
            </w:pPr>
            <w:r>
              <w:rPr>
                <w:sz w:val="24"/>
              </w:rPr>
              <w:t xml:space="preserve">25,07 % </w:t>
            </w:r>
          </w:p>
        </w:tc>
      </w:tr>
    </w:tbl>
    <w:p w:rsidR="002C0F56" w:rsidRDefault="00E67C6E">
      <w:pPr>
        <w:spacing w:after="0" w:line="259" w:lineRule="auto"/>
        <w:ind w:left="744" w:firstLine="0"/>
        <w:jc w:val="left"/>
      </w:pPr>
      <w:r>
        <w:t xml:space="preserve"> </w:t>
      </w:r>
    </w:p>
    <w:p w:rsidR="002C0F56" w:rsidRDefault="00E67C6E">
      <w:pPr>
        <w:ind w:left="165" w:right="1010"/>
      </w:pPr>
      <w:r>
        <w:t>При этом, несмотря на господствующее мнение о высокого уровня развития государственного регулирования, все страны БРИКС отличаются высокой степенью «открытости» своей экономики по отношению к внешнему миру, о чем можно судить по соотношению их экспорта и и</w:t>
      </w:r>
      <w:r>
        <w:t xml:space="preserve">мпорта к ВВП. Несколько меньше «открыта» экономика Бразилии.  </w:t>
      </w:r>
    </w:p>
    <w:p w:rsidR="002C0F56" w:rsidRDefault="00E67C6E">
      <w:pPr>
        <w:ind w:left="165" w:right="1006"/>
      </w:pPr>
      <w:r>
        <w:t>Доля стран-партнёров по БРИКС в общем объёме импорта государств - участников объединения выросла до 11,6 % в 2014 г. и превысила аналогичный показатель по экспорту. Наибольший прирост импорта и</w:t>
      </w:r>
      <w:r>
        <w:t xml:space="preserve">з стран БРИКС в период по 2000 гг. наблюдался в Бразилии (120,2 %) и Индии (83,8 %), с 2000 по 2007 гг. - в России (1115,6 %) и ЮАР (675,3 %), а с 2007 по 2014 гг. - в Бразилии (180 %) и Китае (160 %) [3].  </w:t>
      </w:r>
    </w:p>
    <w:p w:rsidR="002C0F56" w:rsidRDefault="00E67C6E">
      <w:pPr>
        <w:spacing w:after="0"/>
        <w:ind w:left="165" w:right="1011"/>
      </w:pPr>
      <w:r>
        <w:t>Развитие национального промышленного производств</w:t>
      </w:r>
      <w:r>
        <w:t xml:space="preserve">а стало характерной чертой каждой из стран, но существенная разница в обеспеченности природными, капитальными, трудовыми (особенно интеллектуальными) ресурсами определяет разные скорости структурных преобразований. На сегодня доля импорта товаров из стран </w:t>
      </w:r>
      <w:r>
        <w:t>БРИКС составляет более 20 % от общего объёма импорта ЮАР, Бразилии и России. В свою очередь, в совокупном импорте Китая БРИКС занимает менее 8 %. Для России импорт товаров из стран-партнёров по БРИКС имеет более высокую важность, чем экспорт российских тов</w:t>
      </w:r>
      <w:r>
        <w:t xml:space="preserve">аров в них.  </w:t>
      </w:r>
    </w:p>
    <w:p w:rsidR="002C0F56" w:rsidRDefault="00E67C6E">
      <w:pPr>
        <w:spacing w:after="10"/>
        <w:ind w:left="165" w:right="1009"/>
      </w:pPr>
      <w:r>
        <w:lastRenderedPageBreak/>
        <w:t>Очевидно, что интеграция такого уровня не способна в короткий период обеспечить условия для выравнивания уровней экономического развития стран-участниц, для решения в них проблем социально-экономического развития. Поэтому остаются серьезные о</w:t>
      </w:r>
      <w:r>
        <w:t xml:space="preserve">тличия в соотношении долей экономически активного населения и безработных (табл. 2) [4]. </w:t>
      </w:r>
    </w:p>
    <w:p w:rsidR="002C0F56" w:rsidRDefault="00E67C6E">
      <w:pPr>
        <w:spacing w:after="0" w:line="259" w:lineRule="auto"/>
        <w:ind w:left="744" w:firstLine="0"/>
        <w:jc w:val="left"/>
      </w:pPr>
      <w:r>
        <w:t xml:space="preserve"> </w:t>
      </w:r>
    </w:p>
    <w:p w:rsidR="002C0F56" w:rsidRDefault="00E67C6E">
      <w:pPr>
        <w:spacing w:after="5" w:line="271" w:lineRule="auto"/>
        <w:ind w:left="672" w:right="396" w:hanging="10"/>
        <w:jc w:val="left"/>
      </w:pPr>
      <w:r>
        <w:rPr>
          <w:i/>
          <w:sz w:val="24"/>
        </w:rPr>
        <w:t>Таблица 2</w:t>
      </w:r>
      <w:r>
        <w:rPr>
          <w:sz w:val="24"/>
        </w:rPr>
        <w:t xml:space="preserve"> – </w:t>
      </w:r>
      <w:r>
        <w:rPr>
          <w:b/>
          <w:sz w:val="24"/>
        </w:rPr>
        <w:t>Социально-экономические показатели стран БРИКС(%)</w:t>
      </w:r>
      <w:r>
        <w:rPr>
          <w:sz w:val="24"/>
        </w:rPr>
        <w:t xml:space="preserve"> </w:t>
      </w:r>
    </w:p>
    <w:tbl>
      <w:tblPr>
        <w:tblStyle w:val="TableGrid"/>
        <w:tblW w:w="9753" w:type="dxa"/>
        <w:tblInd w:w="72" w:type="dxa"/>
        <w:tblCellMar>
          <w:top w:w="14" w:type="dxa"/>
          <w:left w:w="115" w:type="dxa"/>
          <w:bottom w:w="0" w:type="dxa"/>
          <w:right w:w="10" w:type="dxa"/>
        </w:tblCellMar>
        <w:tblLook w:val="04A0" w:firstRow="1" w:lastRow="0" w:firstColumn="1" w:lastColumn="0" w:noHBand="0" w:noVBand="1"/>
      </w:tblPr>
      <w:tblGrid>
        <w:gridCol w:w="6124"/>
        <w:gridCol w:w="1814"/>
        <w:gridCol w:w="1815"/>
      </w:tblGrid>
      <w:tr w:rsidR="002C0F56">
        <w:trPr>
          <w:trHeight w:val="312"/>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87" w:firstLine="0"/>
              <w:jc w:val="center"/>
            </w:pPr>
            <w:r>
              <w:rPr>
                <w:sz w:val="24"/>
              </w:rPr>
              <w:t xml:space="preserve">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4" w:firstLine="0"/>
              <w:jc w:val="center"/>
            </w:pPr>
            <w:r>
              <w:rPr>
                <w:b/>
                <w:sz w:val="24"/>
              </w:rPr>
              <w:t>Год</w:t>
            </w:r>
            <w:r>
              <w:rPr>
                <w:sz w:val="24"/>
              </w:rPr>
              <w:t xml:space="preserve">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b/>
                <w:sz w:val="24"/>
              </w:rPr>
              <w:t>Значение</w:t>
            </w:r>
            <w:r>
              <w:rPr>
                <w:sz w:val="24"/>
              </w:rPr>
              <w:t xml:space="preserve"> </w:t>
            </w:r>
          </w:p>
        </w:tc>
      </w:tr>
      <w:tr w:rsidR="002C0F56">
        <w:trPr>
          <w:trHeight w:val="286"/>
        </w:trPr>
        <w:tc>
          <w:tcPr>
            <w:tcW w:w="6124" w:type="dxa"/>
            <w:tcBorders>
              <w:top w:val="single" w:sz="4" w:space="0" w:color="000000"/>
              <w:left w:val="single" w:sz="4" w:space="0" w:color="000000"/>
              <w:bottom w:val="single" w:sz="4" w:space="0" w:color="000000"/>
              <w:right w:val="nil"/>
            </w:tcBorders>
          </w:tcPr>
          <w:p w:rsidR="002C0F56" w:rsidRDefault="00E67C6E">
            <w:pPr>
              <w:spacing w:after="0" w:line="259" w:lineRule="auto"/>
              <w:ind w:left="0" w:right="304" w:firstLine="0"/>
              <w:jc w:val="right"/>
            </w:pPr>
            <w:r>
              <w:rPr>
                <w:b/>
                <w:sz w:val="24"/>
              </w:rPr>
              <w:t>Экономически активное население</w:t>
            </w:r>
            <w:r>
              <w:rPr>
                <w:sz w:val="24"/>
              </w:rPr>
              <w:t xml:space="preserve"> </w:t>
            </w:r>
          </w:p>
        </w:tc>
        <w:tc>
          <w:tcPr>
            <w:tcW w:w="1814"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84" w:firstLine="0"/>
              <w:jc w:val="center"/>
            </w:pPr>
            <w:r>
              <w:rPr>
                <w:sz w:val="24"/>
              </w:rPr>
              <w:t xml:space="preserve">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6" w:firstLine="0"/>
              <w:jc w:val="center"/>
            </w:pPr>
            <w:r>
              <w:rPr>
                <w:sz w:val="24"/>
              </w:rPr>
              <w:t xml:space="preserve">Бразилия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2013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65,5 </w:t>
            </w:r>
          </w:p>
        </w:tc>
      </w:tr>
      <w:tr w:rsidR="002C0F56">
        <w:trPr>
          <w:trHeight w:val="288"/>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8" w:firstLine="0"/>
              <w:jc w:val="center"/>
            </w:pPr>
            <w:r>
              <w:rPr>
                <w:sz w:val="24"/>
              </w:rPr>
              <w:t xml:space="preserve">Россия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52,6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6" w:firstLine="0"/>
              <w:jc w:val="center"/>
            </w:pPr>
            <w:r>
              <w:rPr>
                <w:sz w:val="24"/>
              </w:rPr>
              <w:t xml:space="preserve">Индия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2013–14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55,6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7" w:firstLine="0"/>
              <w:jc w:val="center"/>
            </w:pPr>
            <w:r>
              <w:rPr>
                <w:sz w:val="24"/>
              </w:rPr>
              <w:t xml:space="preserve">Китай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56,5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6" w:firstLine="0"/>
              <w:jc w:val="center"/>
            </w:pPr>
            <w:r>
              <w:rPr>
                <w:sz w:val="24"/>
              </w:rPr>
              <w:t xml:space="preserve">ЮАР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37,6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4" w:firstLine="0"/>
              <w:jc w:val="center"/>
            </w:pPr>
            <w:r>
              <w:rPr>
                <w:b/>
                <w:sz w:val="24"/>
              </w:rPr>
              <w:t xml:space="preserve">Безработица </w:t>
            </w:r>
          </w:p>
        </w:tc>
        <w:tc>
          <w:tcPr>
            <w:tcW w:w="1814" w:type="dxa"/>
            <w:tcBorders>
              <w:top w:val="single" w:sz="4" w:space="0" w:color="000000"/>
              <w:left w:val="single" w:sz="4" w:space="0" w:color="000000"/>
              <w:bottom w:val="single" w:sz="4" w:space="0" w:color="000000"/>
              <w:right w:val="nil"/>
            </w:tcBorders>
          </w:tcPr>
          <w:p w:rsidR="002C0F56" w:rsidRDefault="00E67C6E">
            <w:pPr>
              <w:spacing w:after="0" w:line="259" w:lineRule="auto"/>
              <w:ind w:left="0" w:firstLine="0"/>
              <w:jc w:val="right"/>
            </w:pPr>
            <w:r>
              <w:rPr>
                <w:sz w:val="24"/>
              </w:rPr>
              <w:t xml:space="preserve"> </w:t>
            </w:r>
          </w:p>
        </w:tc>
        <w:tc>
          <w:tcPr>
            <w:tcW w:w="1815" w:type="dxa"/>
            <w:tcBorders>
              <w:top w:val="single" w:sz="4" w:space="0" w:color="000000"/>
              <w:left w:val="nil"/>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6" w:firstLine="0"/>
              <w:jc w:val="center"/>
            </w:pPr>
            <w:r>
              <w:rPr>
                <w:sz w:val="24"/>
              </w:rPr>
              <w:t xml:space="preserve">Бразилия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2013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6,5 </w:t>
            </w:r>
          </w:p>
        </w:tc>
      </w:tr>
      <w:tr w:rsidR="002C0F56">
        <w:trPr>
          <w:trHeight w:val="288"/>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8" w:firstLine="0"/>
              <w:jc w:val="center"/>
            </w:pPr>
            <w:r>
              <w:rPr>
                <w:sz w:val="24"/>
              </w:rPr>
              <w:t xml:space="preserve">Россия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5,2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6" w:firstLine="0"/>
              <w:jc w:val="center"/>
            </w:pPr>
            <w:r>
              <w:rPr>
                <w:sz w:val="24"/>
              </w:rPr>
              <w:t xml:space="preserve">Индия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2013-14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3,4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7" w:firstLine="0"/>
              <w:jc w:val="center"/>
            </w:pPr>
            <w:r>
              <w:rPr>
                <w:sz w:val="24"/>
              </w:rPr>
              <w:t xml:space="preserve">Китай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4,1 </w:t>
            </w:r>
          </w:p>
        </w:tc>
      </w:tr>
      <w:tr w:rsidR="002C0F56">
        <w:trPr>
          <w:trHeight w:val="286"/>
        </w:trPr>
        <w:tc>
          <w:tcPr>
            <w:tcW w:w="61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6" w:firstLine="0"/>
              <w:jc w:val="center"/>
            </w:pPr>
            <w:r>
              <w:rPr>
                <w:sz w:val="24"/>
              </w:rPr>
              <w:t xml:space="preserve">ЮАР </w:t>
            </w:r>
          </w:p>
        </w:tc>
        <w:tc>
          <w:tcPr>
            <w:tcW w:w="181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5" w:firstLine="0"/>
              <w:jc w:val="center"/>
            </w:pPr>
            <w:r>
              <w:rPr>
                <w:sz w:val="24"/>
              </w:rPr>
              <w:t xml:space="preserve">2014 </w:t>
            </w:r>
          </w:p>
        </w:tc>
        <w:tc>
          <w:tcPr>
            <w:tcW w:w="18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242" w:firstLine="0"/>
              <w:jc w:val="center"/>
            </w:pPr>
            <w:r>
              <w:rPr>
                <w:sz w:val="24"/>
              </w:rPr>
              <w:t xml:space="preserve">25,1 </w:t>
            </w:r>
          </w:p>
        </w:tc>
      </w:tr>
    </w:tbl>
    <w:p w:rsidR="002C0F56" w:rsidRDefault="00E67C6E">
      <w:pPr>
        <w:spacing w:after="14" w:line="259" w:lineRule="auto"/>
        <w:ind w:left="180" w:firstLine="0"/>
        <w:jc w:val="left"/>
      </w:pPr>
      <w:r>
        <w:rPr>
          <w:sz w:val="24"/>
        </w:rPr>
        <w:t xml:space="preserve"> </w:t>
      </w:r>
    </w:p>
    <w:p w:rsidR="002C0F56" w:rsidRDefault="00E67C6E">
      <w:pPr>
        <w:spacing w:after="0"/>
        <w:ind w:left="165" w:right="1007"/>
      </w:pPr>
      <w:r>
        <w:t>Анализируя динамику уровня безработицы в этих странах, мы увидим существенные отличия, вызванные действием разных факторов [2]. Так, в Китае на основе данных статистики с 2002 г., можно увидеть, что минимальный уровень безработицы в Китае был в 2003 г., ко</w:t>
      </w:r>
      <w:r>
        <w:t xml:space="preserve">гда показатель опустился до 3.9%, а максимальный уровень безработицы пришёлся на 2009 г., тогда показатель поднимался до 4.7%. Этот показатель показывает высокую степень зависимости экономики КНР от ситуации на внешнем рынке, который потребовал пересмотра </w:t>
      </w:r>
      <w:r>
        <w:t>приоритетов китайским руководством в пользу быстрого развития внутреннего рынка, т.е. развития производства, ориентированного на внутреннее потребление. Текущий уровень безработицы в Китае находится на уровне 4.1%. В свою очередь, динамика уровня безработи</w:t>
      </w:r>
      <w:r>
        <w:t>цы в Бразилии, по данным официальной статистики с 2001г., характеризуется иной тенденцией: максимальный уровень безработицы в Бразилии пришёлся на 2004г, тогда показатель поднимался до 13.1%. С тех пор уровень безработицы непрерывно снижался  и в начале 20</w:t>
      </w:r>
      <w:r>
        <w:t xml:space="preserve">14г. он опустился до 4.2%. Текущий уровень безработицы в Бразилии  находится на отметке 4.90%. Во многом это связано с подготовкой к летней Олимпиаде 2016 г., которая задала импульс развитию </w:t>
      </w:r>
      <w:r>
        <w:lastRenderedPageBreak/>
        <w:t>многих отраслей национального производства. Безработица в России,</w:t>
      </w:r>
      <w:r>
        <w:t xml:space="preserve"> особенности которой определяются характером рыночных реформ, требуют анализа с начала 1990-х гг.  Учитывая статистические данные, начиная с 1993 г., мы видим, что максимальный уровень безработицы в России пришёлся на 1999  г., после объявления в 1998 г. д</w:t>
      </w:r>
      <w:r>
        <w:t>ефолта по ГКО. Тогда данный показатель поднимался до 14.1%. На пике кризиса 2008-2009гг. в России произошёл резкий рост уровня безработицы с 5.5% до 9.5%, но постепенная адаптация к новым условиям хозяйствования позволила обеспечить непрерывное снижение ур</w:t>
      </w:r>
      <w:r>
        <w:t>овня безработицы, который сейчас по официальным данным находится на своём историческом минимуме за последние 24 года и составляет 4.90%. Данные статистики по уровню безработицы в Индии с 1983 г. показывают, что именно мировой финансовый кризис оказал сдерж</w:t>
      </w:r>
      <w:r>
        <w:t>ивающее на развитие индийской экономики. Так, максимальный уровень безработицы в Индии был отмечен в январе 2010  г., тогда  данный показатель поднимался до 9.4%. С тех пор уровень безработицы в Индии плавно снижался и сейчас он  достиг  своего историческо</w:t>
      </w:r>
      <w:r>
        <w:t>го минимума за последние 31 год и находится на уровне 5.2%.  Уровень безработицы в Южно-Африканской Республике также неоднозначно отреагировал на изменения на мировом рынке. Очевидно, что экономика ЮАР имеет самые слабые позиции среди стран БРИКС. Так, учи</w:t>
      </w:r>
      <w:r>
        <w:t xml:space="preserve">тывая динамику ее показателя с 2000 г., следует отметить, что максимальный уровень безработицы в пришёлся на 2004 г. (до 31.3%), а минимальный уровень безработицы был зафиксирован в конце 2008 г. (21.5%).  </w:t>
      </w:r>
    </w:p>
    <w:p w:rsidR="002C0F56" w:rsidRDefault="00E67C6E">
      <w:pPr>
        <w:spacing w:after="135" w:line="259" w:lineRule="auto"/>
        <w:ind w:left="820" w:firstLine="0"/>
        <w:jc w:val="left"/>
      </w:pPr>
      <w:r>
        <w:rPr>
          <w:rFonts w:ascii="Calibri" w:eastAsia="Calibri" w:hAnsi="Calibri" w:cs="Calibri"/>
          <w:noProof/>
          <w:sz w:val="22"/>
        </w:rPr>
        <mc:AlternateContent>
          <mc:Choice Requires="wpg">
            <w:drawing>
              <wp:inline distT="0" distB="0" distL="0" distR="0">
                <wp:extent cx="6058153" cy="2057685"/>
                <wp:effectExtent l="0" t="0" r="0" b="0"/>
                <wp:docPr id="614917" name="Group 614917"/>
                <wp:cNvGraphicFramePr/>
                <a:graphic xmlns:a="http://schemas.openxmlformats.org/drawingml/2006/main">
                  <a:graphicData uri="http://schemas.microsoft.com/office/word/2010/wordprocessingGroup">
                    <wpg:wgp>
                      <wpg:cNvGrpSpPr/>
                      <wpg:grpSpPr>
                        <a:xfrm>
                          <a:off x="0" y="0"/>
                          <a:ext cx="6058153" cy="2057685"/>
                          <a:chOff x="0" y="0"/>
                          <a:chExt cx="6058153" cy="2057685"/>
                        </a:xfrm>
                      </wpg:grpSpPr>
                      <wps:wsp>
                        <wps:cNvPr id="45641" name="Shape 45641"/>
                        <wps:cNvSpPr/>
                        <wps:spPr>
                          <a:xfrm>
                            <a:off x="0" y="0"/>
                            <a:ext cx="6058153" cy="2057685"/>
                          </a:xfrm>
                          <a:custGeom>
                            <a:avLst/>
                            <a:gdLst/>
                            <a:ahLst/>
                            <a:cxnLst/>
                            <a:rect l="0" t="0" r="0" b="0"/>
                            <a:pathLst>
                              <a:path w="6058153" h="2057685">
                                <a:moveTo>
                                  <a:pt x="0" y="0"/>
                                </a:moveTo>
                                <a:lnTo>
                                  <a:pt x="6058153" y="0"/>
                                </a:lnTo>
                                <a:lnTo>
                                  <a:pt x="6058153" y="2057685"/>
                                </a:lnTo>
                                <a:lnTo>
                                  <a:pt x="0" y="2057684"/>
                                </a:lnTo>
                                <a:lnTo>
                                  <a:pt x="0" y="0"/>
                                </a:lnTo>
                                <a:close/>
                              </a:path>
                            </a:pathLst>
                          </a:custGeom>
                          <a:ln w="9484" cap="flat">
                            <a:round/>
                          </a:ln>
                        </wps:spPr>
                        <wps:style>
                          <a:lnRef idx="1">
                            <a:srgbClr val="C0C0C0"/>
                          </a:lnRef>
                          <a:fillRef idx="0">
                            <a:srgbClr val="FFFFFF"/>
                          </a:fillRef>
                          <a:effectRef idx="0">
                            <a:scrgbClr r="0" g="0" b="0"/>
                          </a:effectRef>
                          <a:fontRef idx="none"/>
                        </wps:style>
                        <wps:bodyPr/>
                      </wps:wsp>
                      <wps:wsp>
                        <wps:cNvPr id="45643" name="Shape 45643"/>
                        <wps:cNvSpPr/>
                        <wps:spPr>
                          <a:xfrm>
                            <a:off x="423849" y="1576548"/>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44" name="Shape 45644"/>
                        <wps:cNvSpPr/>
                        <wps:spPr>
                          <a:xfrm>
                            <a:off x="423849" y="1395411"/>
                            <a:ext cx="5486575" cy="1"/>
                          </a:xfrm>
                          <a:custGeom>
                            <a:avLst/>
                            <a:gdLst/>
                            <a:ahLst/>
                            <a:cxnLst/>
                            <a:rect l="0" t="0" r="0" b="0"/>
                            <a:pathLst>
                              <a:path w="5486575" h="1">
                                <a:moveTo>
                                  <a:pt x="0" y="0"/>
                                </a:moveTo>
                                <a:lnTo>
                                  <a:pt x="5486575" y="1"/>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45" name="Shape 45645"/>
                        <wps:cNvSpPr/>
                        <wps:spPr>
                          <a:xfrm>
                            <a:off x="423849" y="1214591"/>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46" name="Shape 45646"/>
                        <wps:cNvSpPr/>
                        <wps:spPr>
                          <a:xfrm>
                            <a:off x="423849" y="1033455"/>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47" name="Shape 45647"/>
                        <wps:cNvSpPr/>
                        <wps:spPr>
                          <a:xfrm>
                            <a:off x="423849" y="862118"/>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48" name="Shape 45648"/>
                        <wps:cNvSpPr/>
                        <wps:spPr>
                          <a:xfrm>
                            <a:off x="423849" y="680944"/>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49" name="Shape 45649"/>
                        <wps:cNvSpPr/>
                        <wps:spPr>
                          <a:xfrm>
                            <a:off x="423849" y="500123"/>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50" name="Shape 45650"/>
                        <wps:cNvSpPr/>
                        <wps:spPr>
                          <a:xfrm>
                            <a:off x="423849" y="319051"/>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51" name="Shape 45651"/>
                        <wps:cNvSpPr/>
                        <wps:spPr>
                          <a:xfrm>
                            <a:off x="423849" y="138230"/>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53" name="Shape 45653"/>
                        <wps:cNvSpPr/>
                        <wps:spPr>
                          <a:xfrm>
                            <a:off x="789367" y="350637"/>
                            <a:ext cx="342376" cy="1394086"/>
                          </a:xfrm>
                          <a:custGeom>
                            <a:avLst/>
                            <a:gdLst/>
                            <a:ahLst/>
                            <a:cxnLst/>
                            <a:rect l="0" t="0" r="0" b="0"/>
                            <a:pathLst>
                              <a:path w="342376" h="1394086">
                                <a:moveTo>
                                  <a:pt x="0" y="0"/>
                                </a:moveTo>
                                <a:lnTo>
                                  <a:pt x="342376" y="0"/>
                                </a:lnTo>
                                <a:lnTo>
                                  <a:pt x="342376" y="1394086"/>
                                </a:lnTo>
                                <a:lnTo>
                                  <a:pt x="0" y="1394086"/>
                                </a:lnTo>
                                <a:lnTo>
                                  <a:pt x="0" y="0"/>
                                </a:lnTo>
                                <a:close/>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705027" name="Shape 705027"/>
                        <wps:cNvSpPr/>
                        <wps:spPr>
                          <a:xfrm>
                            <a:off x="1883068" y="350637"/>
                            <a:ext cx="342376" cy="1394086"/>
                          </a:xfrm>
                          <a:custGeom>
                            <a:avLst/>
                            <a:gdLst/>
                            <a:ahLst/>
                            <a:cxnLst/>
                            <a:rect l="0" t="0" r="0" b="0"/>
                            <a:pathLst>
                              <a:path w="342376" h="1394086">
                                <a:moveTo>
                                  <a:pt x="0" y="0"/>
                                </a:moveTo>
                                <a:lnTo>
                                  <a:pt x="342376" y="0"/>
                                </a:lnTo>
                                <a:lnTo>
                                  <a:pt x="342376" y="1394086"/>
                                </a:lnTo>
                                <a:lnTo>
                                  <a:pt x="0" y="1394086"/>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705028" name="Shape 705028"/>
                        <wps:cNvSpPr/>
                        <wps:spPr>
                          <a:xfrm>
                            <a:off x="2986279" y="1630921"/>
                            <a:ext cx="342376" cy="113802"/>
                          </a:xfrm>
                          <a:custGeom>
                            <a:avLst/>
                            <a:gdLst/>
                            <a:ahLst/>
                            <a:cxnLst/>
                            <a:rect l="0" t="0" r="0" b="0"/>
                            <a:pathLst>
                              <a:path w="342376" h="113802">
                                <a:moveTo>
                                  <a:pt x="0" y="0"/>
                                </a:moveTo>
                                <a:lnTo>
                                  <a:pt x="342376" y="0"/>
                                </a:lnTo>
                                <a:lnTo>
                                  <a:pt x="342376" y="113802"/>
                                </a:lnTo>
                                <a:lnTo>
                                  <a:pt x="0" y="113802"/>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705029" name="Shape 705029"/>
                        <wps:cNvSpPr/>
                        <wps:spPr>
                          <a:xfrm>
                            <a:off x="4079981" y="1697306"/>
                            <a:ext cx="342376" cy="47417"/>
                          </a:xfrm>
                          <a:custGeom>
                            <a:avLst/>
                            <a:gdLst/>
                            <a:ahLst/>
                            <a:cxnLst/>
                            <a:rect l="0" t="0" r="0" b="0"/>
                            <a:pathLst>
                              <a:path w="342376" h="47417">
                                <a:moveTo>
                                  <a:pt x="0" y="0"/>
                                </a:moveTo>
                                <a:lnTo>
                                  <a:pt x="342376" y="0"/>
                                </a:lnTo>
                                <a:lnTo>
                                  <a:pt x="342376" y="47417"/>
                                </a:lnTo>
                                <a:lnTo>
                                  <a:pt x="0" y="47417"/>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705030" name="Shape 705030"/>
                        <wps:cNvSpPr/>
                        <wps:spPr>
                          <a:xfrm>
                            <a:off x="5183192" y="1735240"/>
                            <a:ext cx="342376" cy="9483"/>
                          </a:xfrm>
                          <a:custGeom>
                            <a:avLst/>
                            <a:gdLst/>
                            <a:ahLst/>
                            <a:cxnLst/>
                            <a:rect l="0" t="0" r="0" b="0"/>
                            <a:pathLst>
                              <a:path w="342376" h="9483">
                                <a:moveTo>
                                  <a:pt x="0" y="0"/>
                                </a:moveTo>
                                <a:lnTo>
                                  <a:pt x="342376" y="0"/>
                                </a:lnTo>
                                <a:lnTo>
                                  <a:pt x="342376" y="9483"/>
                                </a:lnTo>
                                <a:lnTo>
                                  <a:pt x="0" y="9483"/>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45659" name="Shape 45659"/>
                        <wps:cNvSpPr/>
                        <wps:spPr>
                          <a:xfrm>
                            <a:off x="423849" y="1757368"/>
                            <a:ext cx="5486575" cy="0"/>
                          </a:xfrm>
                          <a:custGeom>
                            <a:avLst/>
                            <a:gdLst/>
                            <a:ahLst/>
                            <a:cxnLst/>
                            <a:rect l="0" t="0" r="0" b="0"/>
                            <a:pathLst>
                              <a:path w="5486575">
                                <a:moveTo>
                                  <a:pt x="0" y="0"/>
                                </a:moveTo>
                                <a:lnTo>
                                  <a:pt x="5486575" y="0"/>
                                </a:lnTo>
                              </a:path>
                            </a:pathLst>
                          </a:custGeom>
                          <a:ln w="9484" cap="sq">
                            <a:round/>
                          </a:ln>
                        </wps:spPr>
                        <wps:style>
                          <a:lnRef idx="1">
                            <a:srgbClr val="C0C0C0"/>
                          </a:lnRef>
                          <a:fillRef idx="0">
                            <a:srgbClr val="000000">
                              <a:alpha val="0"/>
                            </a:srgbClr>
                          </a:fillRef>
                          <a:effectRef idx="0">
                            <a:scrgbClr r="0" g="0" b="0"/>
                          </a:effectRef>
                          <a:fontRef idx="none"/>
                        </wps:style>
                        <wps:bodyPr/>
                      </wps:wsp>
                      <wps:wsp>
                        <wps:cNvPr id="45661" name="Rectangle 45661"/>
                        <wps:cNvSpPr/>
                        <wps:spPr>
                          <a:xfrm>
                            <a:off x="266927" y="1705051"/>
                            <a:ext cx="77383"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0</w:t>
                              </w:r>
                            </w:p>
                          </w:txbxContent>
                        </wps:txbx>
                        <wps:bodyPr horzOverflow="overflow" vert="horz" lIns="0" tIns="0" rIns="0" bIns="0" rtlCol="0">
                          <a:noAutofit/>
                        </wps:bodyPr>
                      </wps:wsp>
                      <wps:wsp>
                        <wps:cNvPr id="45662" name="Rectangle 45662"/>
                        <wps:cNvSpPr/>
                        <wps:spPr>
                          <a:xfrm>
                            <a:off x="95422" y="1523914"/>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1000</w:t>
                              </w:r>
                            </w:p>
                          </w:txbxContent>
                        </wps:txbx>
                        <wps:bodyPr horzOverflow="overflow" vert="horz" lIns="0" tIns="0" rIns="0" bIns="0" rtlCol="0">
                          <a:noAutofit/>
                        </wps:bodyPr>
                      </wps:wsp>
                      <wps:wsp>
                        <wps:cNvPr id="45663" name="Rectangle 45663"/>
                        <wps:cNvSpPr/>
                        <wps:spPr>
                          <a:xfrm>
                            <a:off x="95422" y="1343094"/>
                            <a:ext cx="305066" cy="15502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2000</w:t>
                              </w:r>
                            </w:p>
                          </w:txbxContent>
                        </wps:txbx>
                        <wps:bodyPr horzOverflow="overflow" vert="horz" lIns="0" tIns="0" rIns="0" bIns="0" rtlCol="0">
                          <a:noAutofit/>
                        </wps:bodyPr>
                      </wps:wsp>
                      <wps:wsp>
                        <wps:cNvPr id="45664" name="Rectangle 45664"/>
                        <wps:cNvSpPr/>
                        <wps:spPr>
                          <a:xfrm>
                            <a:off x="95422" y="1161957"/>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3000</w:t>
                              </w:r>
                            </w:p>
                          </w:txbxContent>
                        </wps:txbx>
                        <wps:bodyPr horzOverflow="overflow" vert="horz" lIns="0" tIns="0" rIns="0" bIns="0" rtlCol="0">
                          <a:noAutofit/>
                        </wps:bodyPr>
                      </wps:wsp>
                      <wps:wsp>
                        <wps:cNvPr id="45665" name="Rectangle 45665"/>
                        <wps:cNvSpPr/>
                        <wps:spPr>
                          <a:xfrm>
                            <a:off x="95422" y="981137"/>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4000</w:t>
                              </w:r>
                            </w:p>
                          </w:txbxContent>
                        </wps:txbx>
                        <wps:bodyPr horzOverflow="overflow" vert="horz" lIns="0" tIns="0" rIns="0" bIns="0" rtlCol="0">
                          <a:noAutofit/>
                        </wps:bodyPr>
                      </wps:wsp>
                      <wps:wsp>
                        <wps:cNvPr id="45666" name="Rectangle 45666"/>
                        <wps:cNvSpPr/>
                        <wps:spPr>
                          <a:xfrm>
                            <a:off x="95422" y="809484"/>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5000</w:t>
                              </w:r>
                            </w:p>
                          </w:txbxContent>
                        </wps:txbx>
                        <wps:bodyPr horzOverflow="overflow" vert="horz" lIns="0" tIns="0" rIns="0" bIns="0" rtlCol="0">
                          <a:noAutofit/>
                        </wps:bodyPr>
                      </wps:wsp>
                      <wps:wsp>
                        <wps:cNvPr id="45667" name="Rectangle 45667"/>
                        <wps:cNvSpPr/>
                        <wps:spPr>
                          <a:xfrm>
                            <a:off x="95422" y="628626"/>
                            <a:ext cx="305066" cy="15502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6000</w:t>
                              </w:r>
                            </w:p>
                          </w:txbxContent>
                        </wps:txbx>
                        <wps:bodyPr horzOverflow="overflow" vert="horz" lIns="0" tIns="0" rIns="0" bIns="0" rtlCol="0">
                          <a:noAutofit/>
                        </wps:bodyPr>
                      </wps:wsp>
                      <wps:wsp>
                        <wps:cNvPr id="45668" name="Rectangle 45668"/>
                        <wps:cNvSpPr/>
                        <wps:spPr>
                          <a:xfrm>
                            <a:off x="95422" y="447553"/>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7000</w:t>
                              </w:r>
                            </w:p>
                          </w:txbxContent>
                        </wps:txbx>
                        <wps:bodyPr horzOverflow="overflow" vert="horz" lIns="0" tIns="0" rIns="0" bIns="0" rtlCol="0">
                          <a:noAutofit/>
                        </wps:bodyPr>
                      </wps:wsp>
                      <wps:wsp>
                        <wps:cNvPr id="45669" name="Rectangle 45669"/>
                        <wps:cNvSpPr/>
                        <wps:spPr>
                          <a:xfrm>
                            <a:off x="95422" y="266733"/>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8000</w:t>
                              </w:r>
                            </w:p>
                          </w:txbxContent>
                        </wps:txbx>
                        <wps:bodyPr horzOverflow="overflow" vert="horz" lIns="0" tIns="0" rIns="0" bIns="0" rtlCol="0">
                          <a:noAutofit/>
                        </wps:bodyPr>
                      </wps:wsp>
                      <wps:wsp>
                        <wps:cNvPr id="45670" name="Rectangle 45670"/>
                        <wps:cNvSpPr/>
                        <wps:spPr>
                          <a:xfrm>
                            <a:off x="95422" y="85533"/>
                            <a:ext cx="305066" cy="15502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9000</w:t>
                              </w:r>
                            </w:p>
                          </w:txbxContent>
                        </wps:txbx>
                        <wps:bodyPr horzOverflow="overflow" vert="horz" lIns="0" tIns="0" rIns="0" bIns="0" rtlCol="0">
                          <a:noAutofit/>
                        </wps:bodyPr>
                      </wps:wsp>
                      <wps:wsp>
                        <wps:cNvPr id="45672" name="Rectangle 45672"/>
                        <wps:cNvSpPr/>
                        <wps:spPr>
                          <a:xfrm>
                            <a:off x="743083" y="1885871"/>
                            <a:ext cx="615709" cy="15502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color w:val="333333"/>
                                  <w:sz w:val="18"/>
                                </w:rPr>
                                <w:t>Бразилия</w:t>
                              </w:r>
                            </w:p>
                          </w:txbxContent>
                        </wps:txbx>
                        <wps:bodyPr horzOverflow="overflow" vert="horz" lIns="0" tIns="0" rIns="0" bIns="0" rtlCol="0">
                          <a:noAutofit/>
                        </wps:bodyPr>
                      </wps:wsp>
                      <wps:wsp>
                        <wps:cNvPr id="45673" name="Rectangle 45673"/>
                        <wps:cNvSpPr/>
                        <wps:spPr>
                          <a:xfrm>
                            <a:off x="1924280" y="1898044"/>
                            <a:ext cx="408239" cy="1678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color w:val="333333"/>
                                  <w:sz w:val="20"/>
                                </w:rPr>
                                <w:t>Китай</w:t>
                              </w:r>
                            </w:p>
                          </w:txbxContent>
                        </wps:txbx>
                        <wps:bodyPr horzOverflow="overflow" vert="horz" lIns="0" tIns="0" rIns="0" bIns="0" rtlCol="0">
                          <a:noAutofit/>
                        </wps:bodyPr>
                      </wps:wsp>
                      <wps:wsp>
                        <wps:cNvPr id="45674" name="Rectangle 45674"/>
                        <wps:cNvSpPr/>
                        <wps:spPr>
                          <a:xfrm>
                            <a:off x="3010119" y="1898044"/>
                            <a:ext cx="449063" cy="1678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color w:val="333333"/>
                                  <w:sz w:val="20"/>
                                </w:rPr>
                                <w:t>Россия</w:t>
                              </w:r>
                            </w:p>
                          </w:txbxContent>
                        </wps:txbx>
                        <wps:bodyPr horzOverflow="overflow" vert="horz" lIns="0" tIns="0" rIns="0" bIns="0" rtlCol="0">
                          <a:noAutofit/>
                        </wps:bodyPr>
                      </wps:wsp>
                      <wps:wsp>
                        <wps:cNvPr id="45675" name="Rectangle 45675"/>
                        <wps:cNvSpPr/>
                        <wps:spPr>
                          <a:xfrm>
                            <a:off x="4114852" y="1898044"/>
                            <a:ext cx="423775" cy="1678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color w:val="333333"/>
                                  <w:sz w:val="20"/>
                                </w:rPr>
                                <w:t>Индия</w:t>
                              </w:r>
                            </w:p>
                          </w:txbxContent>
                        </wps:txbx>
                        <wps:bodyPr horzOverflow="overflow" vert="horz" lIns="0" tIns="0" rIns="0" bIns="0" rtlCol="0">
                          <a:noAutofit/>
                        </wps:bodyPr>
                      </wps:wsp>
                      <wps:wsp>
                        <wps:cNvPr id="45676" name="Rectangle 45676"/>
                        <wps:cNvSpPr/>
                        <wps:spPr>
                          <a:xfrm>
                            <a:off x="5248497" y="1898044"/>
                            <a:ext cx="316148" cy="1678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color w:val="333333"/>
                                  <w:sz w:val="20"/>
                                </w:rPr>
                                <w:t>ЮАР</w:t>
                              </w:r>
                            </w:p>
                          </w:txbxContent>
                        </wps:txbx>
                        <wps:bodyPr horzOverflow="overflow" vert="horz" lIns="0" tIns="0" rIns="0" bIns="0" rtlCol="0">
                          <a:noAutofit/>
                        </wps:bodyPr>
                      </wps:wsp>
                      <wps:wsp>
                        <wps:cNvPr id="45678" name="Shape 45678"/>
                        <wps:cNvSpPr/>
                        <wps:spPr>
                          <a:xfrm>
                            <a:off x="0" y="0"/>
                            <a:ext cx="6058153" cy="2057685"/>
                          </a:xfrm>
                          <a:custGeom>
                            <a:avLst/>
                            <a:gdLst/>
                            <a:ahLst/>
                            <a:cxnLst/>
                            <a:rect l="0" t="0" r="0" b="0"/>
                            <a:pathLst>
                              <a:path w="6058153" h="2057685">
                                <a:moveTo>
                                  <a:pt x="0" y="2057684"/>
                                </a:moveTo>
                                <a:lnTo>
                                  <a:pt x="6058153" y="2057685"/>
                                </a:lnTo>
                                <a:lnTo>
                                  <a:pt x="6058153" y="0"/>
                                </a:lnTo>
                                <a:lnTo>
                                  <a:pt x="0" y="0"/>
                                </a:lnTo>
                                <a:close/>
                              </a:path>
                            </a:pathLst>
                          </a:custGeom>
                          <a:ln w="9484" cap="flat">
                            <a:round/>
                          </a:ln>
                        </wps:spPr>
                        <wps:style>
                          <a:lnRef idx="1">
                            <a:srgbClr val="C0C0C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14917" style="width:477.02pt;height:162.022pt;mso-position-horizontal-relative:char;mso-position-vertical-relative:line" coordsize="60581,20576">
                <v:shape id="Shape 45641" style="position:absolute;width:60581;height:20576;left:0;top:0;" coordsize="6058153,2057685" path="m0,0l6058153,0l6058153,2057685l0,2057684l0,0x">
                  <v:stroke weight="0.746739pt" endcap="flat" joinstyle="round" on="true" color="#c0c0c0"/>
                  <v:fill on="false" color="#ffffff"/>
                </v:shape>
                <v:shape id="Shape 45643" style="position:absolute;width:54865;height:0;left:4238;top:15765;" coordsize="5486575,0" path="m0,0l5486575,0">
                  <v:stroke weight="0.746739pt" endcap="square" joinstyle="round" on="true" color="#c0c0c0"/>
                  <v:fill on="false" color="#000000" opacity="0"/>
                </v:shape>
                <v:shape id="Shape 45644" style="position:absolute;width:54865;height:0;left:4238;top:13954;" coordsize="5486575,1" path="m0,0l5486575,1">
                  <v:stroke weight="0.746739pt" endcap="square" joinstyle="round" on="true" color="#c0c0c0"/>
                  <v:fill on="false" color="#000000" opacity="0"/>
                </v:shape>
                <v:shape id="Shape 45645" style="position:absolute;width:54865;height:0;left:4238;top:12145;" coordsize="5486575,0" path="m0,0l5486575,0">
                  <v:stroke weight="0.746739pt" endcap="square" joinstyle="round" on="true" color="#c0c0c0"/>
                  <v:fill on="false" color="#000000" opacity="0"/>
                </v:shape>
                <v:shape id="Shape 45646" style="position:absolute;width:54865;height:0;left:4238;top:10334;" coordsize="5486575,0" path="m0,0l5486575,0">
                  <v:stroke weight="0.746739pt" endcap="square" joinstyle="round" on="true" color="#c0c0c0"/>
                  <v:fill on="false" color="#000000" opacity="0"/>
                </v:shape>
                <v:shape id="Shape 45647" style="position:absolute;width:54865;height:0;left:4238;top:8621;" coordsize="5486575,0" path="m0,0l5486575,0">
                  <v:stroke weight="0.746739pt" endcap="square" joinstyle="round" on="true" color="#c0c0c0"/>
                  <v:fill on="false" color="#000000" opacity="0"/>
                </v:shape>
                <v:shape id="Shape 45648" style="position:absolute;width:54865;height:0;left:4238;top:6809;" coordsize="5486575,0" path="m0,0l5486575,0">
                  <v:stroke weight="0.746739pt" endcap="square" joinstyle="round" on="true" color="#c0c0c0"/>
                  <v:fill on="false" color="#000000" opacity="0"/>
                </v:shape>
                <v:shape id="Shape 45649" style="position:absolute;width:54865;height:0;left:4238;top:5001;" coordsize="5486575,0" path="m0,0l5486575,0">
                  <v:stroke weight="0.746739pt" endcap="square" joinstyle="round" on="true" color="#c0c0c0"/>
                  <v:fill on="false" color="#000000" opacity="0"/>
                </v:shape>
                <v:shape id="Shape 45650" style="position:absolute;width:54865;height:0;left:4238;top:3190;" coordsize="5486575,0" path="m0,0l5486575,0">
                  <v:stroke weight="0.746739pt" endcap="square" joinstyle="round" on="true" color="#c0c0c0"/>
                  <v:fill on="false" color="#000000" opacity="0"/>
                </v:shape>
                <v:shape id="Shape 45651" style="position:absolute;width:54865;height:0;left:4238;top:1382;" coordsize="5486575,0" path="m0,0l5486575,0">
                  <v:stroke weight="0.746739pt" endcap="square" joinstyle="round" on="true" color="#c0c0c0"/>
                  <v:fill on="false" color="#000000" opacity="0"/>
                </v:shape>
                <v:shape id="Shape 45653" style="position:absolute;width:3423;height:13940;left:7893;top:3506;" coordsize="342376,1394086" path="m0,0l342376,0l342376,1394086l0,1394086l0,0x">
                  <v:stroke weight="0pt" endcap="flat" joinstyle="miter" miterlimit="10" on="false" color="#000000" opacity="0"/>
                  <v:fill on="true" color="#4f81bd"/>
                </v:shape>
                <v:shape id="Shape 705031" style="position:absolute;width:3423;height:13940;left:18830;top:3506;" coordsize="342376,1394086" path="m0,0l342376,0l342376,1394086l0,1394086l0,0">
                  <v:stroke weight="0pt" endcap="flat" joinstyle="miter" miterlimit="10" on="false" color="#000000" opacity="0"/>
                  <v:fill on="true" color="#4f81bd"/>
                </v:shape>
                <v:shape id="Shape 705032" style="position:absolute;width:3423;height:1138;left:29862;top:16309;" coordsize="342376,113802" path="m0,0l342376,0l342376,113802l0,113802l0,0">
                  <v:stroke weight="0pt" endcap="flat" joinstyle="miter" miterlimit="10" on="false" color="#000000" opacity="0"/>
                  <v:fill on="true" color="#4f81bd"/>
                </v:shape>
                <v:shape id="Shape 705033" style="position:absolute;width:3423;height:474;left:40799;top:16973;" coordsize="342376,47417" path="m0,0l342376,0l342376,47417l0,47417l0,0">
                  <v:stroke weight="0pt" endcap="flat" joinstyle="miter" miterlimit="10" on="false" color="#000000" opacity="0"/>
                  <v:fill on="true" color="#4f81bd"/>
                </v:shape>
                <v:shape id="Shape 705034" style="position:absolute;width:3423;height:94;left:51831;top:17352;" coordsize="342376,9483" path="m0,0l342376,0l342376,9483l0,9483l0,0">
                  <v:stroke weight="0pt" endcap="flat" joinstyle="miter" miterlimit="10" on="false" color="#000000" opacity="0"/>
                  <v:fill on="true" color="#4f81bd"/>
                </v:shape>
                <v:shape id="Shape 45659" style="position:absolute;width:54865;height:0;left:4238;top:17573;" coordsize="5486575,0" path="m0,0l5486575,0">
                  <v:stroke weight="0.746739pt" endcap="square" joinstyle="round" on="true" color="#c0c0c0"/>
                  <v:fill on="false" color="#000000" opacity="0"/>
                </v:shape>
                <v:rect id="Rectangle 45661" style="position:absolute;width:773;height:1550;left:2669;top:17050;" filled="f" stroked="f">
                  <v:textbox inset="0,0,0,0">
                    <w:txbxContent>
                      <w:p>
                        <w:pPr>
                          <w:spacing w:before="0" w:after="160" w:line="259" w:lineRule="auto"/>
                          <w:ind w:left="0" w:firstLine="0"/>
                          <w:jc w:val="left"/>
                        </w:pPr>
                        <w:r>
                          <w:rPr>
                            <w:rFonts w:cs="Calibri" w:hAnsi="Calibri" w:eastAsia="Calibri" w:ascii="Calibri"/>
                            <w:color w:val="333333"/>
                            <w:sz w:val="18"/>
                          </w:rPr>
                          <w:t xml:space="preserve">0</w:t>
                        </w:r>
                      </w:p>
                    </w:txbxContent>
                  </v:textbox>
                </v:rect>
                <v:rect id="Rectangle 45662" style="position:absolute;width:3050;height:1550;left:954;top:15239;" filled="f" stroked="f">
                  <v:textbox inset="0,0,0,0">
                    <w:txbxContent>
                      <w:p>
                        <w:pPr>
                          <w:spacing w:before="0" w:after="160" w:line="259" w:lineRule="auto"/>
                          <w:ind w:left="0" w:firstLine="0"/>
                          <w:jc w:val="left"/>
                        </w:pPr>
                        <w:r>
                          <w:rPr>
                            <w:rFonts w:cs="Calibri" w:hAnsi="Calibri" w:eastAsia="Calibri" w:ascii="Calibri"/>
                            <w:color w:val="333333"/>
                            <w:sz w:val="18"/>
                          </w:rPr>
                          <w:t xml:space="preserve">1000</w:t>
                        </w:r>
                      </w:p>
                    </w:txbxContent>
                  </v:textbox>
                </v:rect>
                <v:rect id="Rectangle 45663" style="position:absolute;width:3050;height:1550;left:954;top:13430;" filled="f" stroked="f">
                  <v:textbox inset="0,0,0,0">
                    <w:txbxContent>
                      <w:p>
                        <w:pPr>
                          <w:spacing w:before="0" w:after="160" w:line="259" w:lineRule="auto"/>
                          <w:ind w:left="0" w:firstLine="0"/>
                          <w:jc w:val="left"/>
                        </w:pPr>
                        <w:r>
                          <w:rPr>
                            <w:rFonts w:cs="Calibri" w:hAnsi="Calibri" w:eastAsia="Calibri" w:ascii="Calibri"/>
                            <w:color w:val="333333"/>
                            <w:sz w:val="18"/>
                          </w:rPr>
                          <w:t xml:space="preserve">2000</w:t>
                        </w:r>
                      </w:p>
                    </w:txbxContent>
                  </v:textbox>
                </v:rect>
                <v:rect id="Rectangle 45664" style="position:absolute;width:3050;height:1550;left:954;top:11619;" filled="f" stroked="f">
                  <v:textbox inset="0,0,0,0">
                    <w:txbxContent>
                      <w:p>
                        <w:pPr>
                          <w:spacing w:before="0" w:after="160" w:line="259" w:lineRule="auto"/>
                          <w:ind w:left="0" w:firstLine="0"/>
                          <w:jc w:val="left"/>
                        </w:pPr>
                        <w:r>
                          <w:rPr>
                            <w:rFonts w:cs="Calibri" w:hAnsi="Calibri" w:eastAsia="Calibri" w:ascii="Calibri"/>
                            <w:color w:val="333333"/>
                            <w:sz w:val="18"/>
                          </w:rPr>
                          <w:t xml:space="preserve">3000</w:t>
                        </w:r>
                      </w:p>
                    </w:txbxContent>
                  </v:textbox>
                </v:rect>
                <v:rect id="Rectangle 45665" style="position:absolute;width:3050;height:1550;left:954;top:9811;" filled="f" stroked="f">
                  <v:textbox inset="0,0,0,0">
                    <w:txbxContent>
                      <w:p>
                        <w:pPr>
                          <w:spacing w:before="0" w:after="160" w:line="259" w:lineRule="auto"/>
                          <w:ind w:left="0" w:firstLine="0"/>
                          <w:jc w:val="left"/>
                        </w:pPr>
                        <w:r>
                          <w:rPr>
                            <w:rFonts w:cs="Calibri" w:hAnsi="Calibri" w:eastAsia="Calibri" w:ascii="Calibri"/>
                            <w:color w:val="333333"/>
                            <w:sz w:val="18"/>
                          </w:rPr>
                          <w:t xml:space="preserve">4000</w:t>
                        </w:r>
                      </w:p>
                    </w:txbxContent>
                  </v:textbox>
                </v:rect>
                <v:rect id="Rectangle 45666" style="position:absolute;width:3050;height:1550;left:954;top:8094;" filled="f" stroked="f">
                  <v:textbox inset="0,0,0,0">
                    <w:txbxContent>
                      <w:p>
                        <w:pPr>
                          <w:spacing w:before="0" w:after="160" w:line="259" w:lineRule="auto"/>
                          <w:ind w:left="0" w:firstLine="0"/>
                          <w:jc w:val="left"/>
                        </w:pPr>
                        <w:r>
                          <w:rPr>
                            <w:rFonts w:cs="Calibri" w:hAnsi="Calibri" w:eastAsia="Calibri" w:ascii="Calibri"/>
                            <w:color w:val="333333"/>
                            <w:sz w:val="18"/>
                          </w:rPr>
                          <w:t xml:space="preserve">5000</w:t>
                        </w:r>
                      </w:p>
                    </w:txbxContent>
                  </v:textbox>
                </v:rect>
                <v:rect id="Rectangle 45667" style="position:absolute;width:3050;height:1550;left:954;top:6286;" filled="f" stroked="f">
                  <v:textbox inset="0,0,0,0">
                    <w:txbxContent>
                      <w:p>
                        <w:pPr>
                          <w:spacing w:before="0" w:after="160" w:line="259" w:lineRule="auto"/>
                          <w:ind w:left="0" w:firstLine="0"/>
                          <w:jc w:val="left"/>
                        </w:pPr>
                        <w:r>
                          <w:rPr>
                            <w:rFonts w:cs="Calibri" w:hAnsi="Calibri" w:eastAsia="Calibri" w:ascii="Calibri"/>
                            <w:color w:val="333333"/>
                            <w:sz w:val="18"/>
                          </w:rPr>
                          <w:t xml:space="preserve">6000</w:t>
                        </w:r>
                      </w:p>
                    </w:txbxContent>
                  </v:textbox>
                </v:rect>
                <v:rect id="Rectangle 45668" style="position:absolute;width:3050;height:1550;left:954;top:4475;" filled="f" stroked="f">
                  <v:textbox inset="0,0,0,0">
                    <w:txbxContent>
                      <w:p>
                        <w:pPr>
                          <w:spacing w:before="0" w:after="160" w:line="259" w:lineRule="auto"/>
                          <w:ind w:left="0" w:firstLine="0"/>
                          <w:jc w:val="left"/>
                        </w:pPr>
                        <w:r>
                          <w:rPr>
                            <w:rFonts w:cs="Calibri" w:hAnsi="Calibri" w:eastAsia="Calibri" w:ascii="Calibri"/>
                            <w:color w:val="333333"/>
                            <w:sz w:val="18"/>
                          </w:rPr>
                          <w:t xml:space="preserve">7000</w:t>
                        </w:r>
                      </w:p>
                    </w:txbxContent>
                  </v:textbox>
                </v:rect>
                <v:rect id="Rectangle 45669" style="position:absolute;width:3050;height:1550;left:954;top:2667;" filled="f" stroked="f">
                  <v:textbox inset="0,0,0,0">
                    <w:txbxContent>
                      <w:p>
                        <w:pPr>
                          <w:spacing w:before="0" w:after="160" w:line="259" w:lineRule="auto"/>
                          <w:ind w:left="0" w:firstLine="0"/>
                          <w:jc w:val="left"/>
                        </w:pPr>
                        <w:r>
                          <w:rPr>
                            <w:rFonts w:cs="Calibri" w:hAnsi="Calibri" w:eastAsia="Calibri" w:ascii="Calibri"/>
                            <w:color w:val="333333"/>
                            <w:sz w:val="18"/>
                          </w:rPr>
                          <w:t xml:space="preserve">8000</w:t>
                        </w:r>
                      </w:p>
                    </w:txbxContent>
                  </v:textbox>
                </v:rect>
                <v:rect id="Rectangle 45670" style="position:absolute;width:3050;height:1550;left:954;top:855;" filled="f" stroked="f">
                  <v:textbox inset="0,0,0,0">
                    <w:txbxContent>
                      <w:p>
                        <w:pPr>
                          <w:spacing w:before="0" w:after="160" w:line="259" w:lineRule="auto"/>
                          <w:ind w:left="0" w:firstLine="0"/>
                          <w:jc w:val="left"/>
                        </w:pPr>
                        <w:r>
                          <w:rPr>
                            <w:rFonts w:cs="Calibri" w:hAnsi="Calibri" w:eastAsia="Calibri" w:ascii="Calibri"/>
                            <w:color w:val="333333"/>
                            <w:sz w:val="18"/>
                          </w:rPr>
                          <w:t xml:space="preserve">9000</w:t>
                        </w:r>
                      </w:p>
                    </w:txbxContent>
                  </v:textbox>
                </v:rect>
                <v:rect id="Rectangle 45672" style="position:absolute;width:6157;height:1550;left:7430;top:18858;" filled="f" stroked="f">
                  <v:textbox inset="0,0,0,0">
                    <w:txbxContent>
                      <w:p>
                        <w:pPr>
                          <w:spacing w:before="0" w:after="160" w:line="259" w:lineRule="auto"/>
                          <w:ind w:left="0" w:firstLine="0"/>
                          <w:jc w:val="left"/>
                        </w:pPr>
                        <w:r>
                          <w:rPr>
                            <w:rFonts w:cs="Calibri" w:hAnsi="Calibri" w:eastAsia="Calibri" w:ascii="Calibri"/>
                            <w:color w:val="333333"/>
                            <w:sz w:val="18"/>
                          </w:rPr>
                          <w:t xml:space="preserve">Бразилия</w:t>
                        </w:r>
                      </w:p>
                    </w:txbxContent>
                  </v:textbox>
                </v:rect>
                <v:rect id="Rectangle 45673" style="position:absolute;width:4082;height:1678;left:19242;top:18980;" filled="f" stroked="f">
                  <v:textbox inset="0,0,0,0">
                    <w:txbxContent>
                      <w:p>
                        <w:pPr>
                          <w:spacing w:before="0" w:after="160" w:line="259" w:lineRule="auto"/>
                          <w:ind w:left="0" w:firstLine="0"/>
                          <w:jc w:val="left"/>
                        </w:pPr>
                        <w:r>
                          <w:rPr>
                            <w:rFonts w:cs="Calibri" w:hAnsi="Calibri" w:eastAsia="Calibri" w:ascii="Calibri"/>
                            <w:b w:val="1"/>
                            <w:color w:val="333333"/>
                            <w:sz w:val="20"/>
                          </w:rPr>
                          <w:t xml:space="preserve">Китай</w:t>
                        </w:r>
                      </w:p>
                    </w:txbxContent>
                  </v:textbox>
                </v:rect>
                <v:rect id="Rectangle 45674" style="position:absolute;width:4490;height:1678;left:30101;top:18980;" filled="f" stroked="f">
                  <v:textbox inset="0,0,0,0">
                    <w:txbxContent>
                      <w:p>
                        <w:pPr>
                          <w:spacing w:before="0" w:after="160" w:line="259" w:lineRule="auto"/>
                          <w:ind w:left="0" w:firstLine="0"/>
                          <w:jc w:val="left"/>
                        </w:pPr>
                        <w:r>
                          <w:rPr>
                            <w:rFonts w:cs="Calibri" w:hAnsi="Calibri" w:eastAsia="Calibri" w:ascii="Calibri"/>
                            <w:b w:val="1"/>
                            <w:color w:val="333333"/>
                            <w:sz w:val="20"/>
                          </w:rPr>
                          <w:t xml:space="preserve">Россия</w:t>
                        </w:r>
                      </w:p>
                    </w:txbxContent>
                  </v:textbox>
                </v:rect>
                <v:rect id="Rectangle 45675" style="position:absolute;width:4237;height:1678;left:41148;top:18980;" filled="f" stroked="f">
                  <v:textbox inset="0,0,0,0">
                    <w:txbxContent>
                      <w:p>
                        <w:pPr>
                          <w:spacing w:before="0" w:after="160" w:line="259" w:lineRule="auto"/>
                          <w:ind w:left="0" w:firstLine="0"/>
                          <w:jc w:val="left"/>
                        </w:pPr>
                        <w:r>
                          <w:rPr>
                            <w:rFonts w:cs="Calibri" w:hAnsi="Calibri" w:eastAsia="Calibri" w:ascii="Calibri"/>
                            <w:b w:val="1"/>
                            <w:color w:val="333333"/>
                            <w:sz w:val="20"/>
                          </w:rPr>
                          <w:t xml:space="preserve">Индия</w:t>
                        </w:r>
                      </w:p>
                    </w:txbxContent>
                  </v:textbox>
                </v:rect>
                <v:rect id="Rectangle 45676" style="position:absolute;width:3161;height:1678;left:52484;top:18980;" filled="f" stroked="f">
                  <v:textbox inset="0,0,0,0">
                    <w:txbxContent>
                      <w:p>
                        <w:pPr>
                          <w:spacing w:before="0" w:after="160" w:line="259" w:lineRule="auto"/>
                          <w:ind w:left="0" w:firstLine="0"/>
                          <w:jc w:val="left"/>
                        </w:pPr>
                        <w:r>
                          <w:rPr>
                            <w:rFonts w:cs="Calibri" w:hAnsi="Calibri" w:eastAsia="Calibri" w:ascii="Calibri"/>
                            <w:b w:val="1"/>
                            <w:color w:val="333333"/>
                            <w:sz w:val="20"/>
                          </w:rPr>
                          <w:t xml:space="preserve">ЮАР</w:t>
                        </w:r>
                      </w:p>
                    </w:txbxContent>
                  </v:textbox>
                </v:rect>
                <v:shape id="Shape 45678" style="position:absolute;width:60581;height:20576;left:0;top:0;" coordsize="6058153,2057685" path="m0,2057684l6058153,2057685l6058153,0l0,0x">
                  <v:stroke weight="0.746739pt" endcap="flat" joinstyle="round" on="true" color="#c0c0c0"/>
                  <v:fill on="false" color="#000000" opacity="0"/>
                </v:shape>
              </v:group>
            </w:pict>
          </mc:Fallback>
        </mc:AlternateContent>
      </w:r>
    </w:p>
    <w:p w:rsidR="002C0F56" w:rsidRDefault="00E67C6E">
      <w:pPr>
        <w:pStyle w:val="4"/>
        <w:ind w:left="1181" w:right="2001"/>
      </w:pPr>
      <w:r>
        <w:t xml:space="preserve">Рис. 1. Движение капитала стран-участниц БРИКС (млрд долл.) </w:t>
      </w:r>
    </w:p>
    <w:p w:rsidR="002C0F56" w:rsidRDefault="00E67C6E">
      <w:pPr>
        <w:spacing w:after="0" w:line="259" w:lineRule="auto"/>
        <w:ind w:left="744" w:firstLine="0"/>
        <w:jc w:val="left"/>
      </w:pPr>
      <w:r>
        <w:t xml:space="preserve"> </w:t>
      </w:r>
    </w:p>
    <w:p w:rsidR="002C0F56" w:rsidRDefault="00E67C6E">
      <w:pPr>
        <w:spacing w:after="5"/>
        <w:ind w:left="165" w:right="1012"/>
      </w:pPr>
      <w:r>
        <w:t xml:space="preserve">После кризиса 2009 г. уровень безработицы в ЮАР растёт и сейчас достиг отметки 25.5%. </w:t>
      </w:r>
      <w:r>
        <w:t>Экономика стран группы БРИКС перед мировым финансовым кризисом демонстрировала более высокие темпы роста, чем экономики развитых государств (США, ЕС и Япония). И хотя в посткризисный период произошло снижение экономической активности во всех экономиках, од</w:t>
      </w:r>
      <w:r>
        <w:t xml:space="preserve">нако </w:t>
      </w:r>
      <w:r>
        <w:lastRenderedPageBreak/>
        <w:t xml:space="preserve">наибольшее снижение темпов развития демонстрировали ведущие страны мира [4].  Лидирующие место по движению капитала БРИК занимает Бразилия, следом за ней Китай, Россия, Индии и ЮАР занимают самые последние места (рисунок 1) [5]. </w:t>
      </w:r>
    </w:p>
    <w:p w:rsidR="002C0F56" w:rsidRDefault="00E67C6E">
      <w:pPr>
        <w:spacing w:after="0"/>
        <w:ind w:left="165" w:right="1149"/>
      </w:pPr>
      <w:r>
        <w:t>При этом движение кап</w:t>
      </w:r>
      <w:r>
        <w:t>итала в китайскую экономику происходит не столько в форме портфельных инвестиций, сколько в форме прямых иностранных инвестиций, со всеми, вытекающими из этого преимуществами (включая заимствование технологий). И все же, очевидно, что мировой кризис в цело</w:t>
      </w:r>
      <w:r>
        <w:t xml:space="preserve">м положительно повлиял на развитие всех стран БРИКС, за счет эффективного исполнения мероприятий антикризисной политики.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33"/>
        </w:numPr>
        <w:ind w:right="302"/>
      </w:pPr>
      <w:r>
        <w:t>Орлов А.А. БРИКС: новая реальность ХХI века / А.А. Орлов // Восходящие государства-</w:t>
      </w:r>
      <w:r>
        <w:t xml:space="preserve">гиганты БРИКС: роль в мировой политике, стратегии модернизации: сборник научных трудов / отв. ред. Л.С.Окунева, А.А.Орлов. - М.: МГИМО-Университет, 2012. – 214с. </w:t>
      </w:r>
    </w:p>
    <w:p w:rsidR="002C0F56" w:rsidRDefault="00E67C6E">
      <w:pPr>
        <w:numPr>
          <w:ilvl w:val="0"/>
          <w:numId w:val="133"/>
        </w:numPr>
        <w:ind w:right="302"/>
      </w:pPr>
      <w:r>
        <w:t>Сравнительная характеристика экономики стран большой семерки и стран БРИКС по состоянию на 19</w:t>
      </w:r>
      <w:r>
        <w:t xml:space="preserve">.08.2014 2-я часть. [Электронный ресурс] - Режим доступа: </w:t>
      </w:r>
      <w:hyperlink r:id="rId935">
        <w:r>
          <w:t>http://www.finbk.ru/wnews/231/</w:t>
        </w:r>
      </w:hyperlink>
      <w:hyperlink r:id="rId936">
        <w:r>
          <w:t xml:space="preserve"> </w:t>
        </w:r>
      </w:hyperlink>
    </w:p>
    <w:p w:rsidR="002C0F56" w:rsidRDefault="00E67C6E">
      <w:pPr>
        <w:numPr>
          <w:ilvl w:val="0"/>
          <w:numId w:val="133"/>
        </w:numPr>
        <w:ind w:right="302"/>
      </w:pPr>
      <w:r>
        <w:t xml:space="preserve">Взаимная </w:t>
      </w:r>
      <w:r>
        <w:tab/>
        <w:t xml:space="preserve">торговля </w:t>
      </w:r>
      <w:r>
        <w:tab/>
        <w:t xml:space="preserve">стран </w:t>
      </w:r>
      <w:r>
        <w:tab/>
        <w:t xml:space="preserve">БРИКС </w:t>
      </w:r>
      <w:r>
        <w:tab/>
        <w:t xml:space="preserve">на </w:t>
      </w:r>
      <w:r>
        <w:tab/>
        <w:t xml:space="preserve">современном </w:t>
      </w:r>
      <w:r>
        <w:tab/>
        <w:t xml:space="preserve">этапе. </w:t>
      </w:r>
    </w:p>
    <w:p w:rsidR="002C0F56" w:rsidRDefault="00E67C6E">
      <w:pPr>
        <w:ind w:left="165" w:right="302" w:firstLine="0"/>
      </w:pPr>
      <w:r>
        <w:t>[Электр</w:t>
      </w:r>
      <w:r>
        <w:t xml:space="preserve">онный </w:t>
      </w:r>
      <w:r>
        <w:tab/>
        <w:t xml:space="preserve">ресурс] </w:t>
      </w:r>
      <w:r>
        <w:tab/>
        <w:t xml:space="preserve">- </w:t>
      </w:r>
      <w:r>
        <w:tab/>
        <w:t xml:space="preserve">Режим </w:t>
      </w:r>
      <w:r>
        <w:tab/>
        <w:t xml:space="preserve">доступа: https://riss.ru/images/pdf/journal/2016/2/11_.pdf </w:t>
      </w:r>
    </w:p>
    <w:p w:rsidR="002C0F56" w:rsidRDefault="00E67C6E">
      <w:pPr>
        <w:numPr>
          <w:ilvl w:val="0"/>
          <w:numId w:val="133"/>
        </w:numPr>
        <w:ind w:right="302"/>
      </w:pPr>
      <w:r>
        <w:t xml:space="preserve">Проблемы и перспективы развития БРИКС в условиях глобального экономического развития. [Электронный ресурс] - Режим доступа: </w:t>
      </w:r>
    </w:p>
    <w:p w:rsidR="002C0F56" w:rsidRDefault="00E67C6E">
      <w:pPr>
        <w:ind w:left="165" w:right="302" w:firstLine="0"/>
      </w:pPr>
      <w:r>
        <w:t>https://www.scienceforum.ru/2015/pdf/17487.pd</w:t>
      </w:r>
      <w:r>
        <w:t xml:space="preserve">f </w:t>
      </w:r>
    </w:p>
    <w:p w:rsidR="002C0F56" w:rsidRDefault="00E67C6E">
      <w:pPr>
        <w:numPr>
          <w:ilvl w:val="0"/>
          <w:numId w:val="133"/>
        </w:numPr>
        <w:ind w:right="302"/>
      </w:pPr>
      <w:r>
        <w:t xml:space="preserve">БРИКС Совместная статистическая публикация 2015. [Электронный ресурс] - Режим доступа: </w:t>
      </w:r>
    </w:p>
    <w:p w:rsidR="002C0F56" w:rsidRDefault="00E67C6E">
      <w:pPr>
        <w:spacing w:after="12"/>
        <w:ind w:left="165" w:right="302" w:firstLine="0"/>
      </w:pPr>
      <w:hyperlink r:id="rId937">
        <w:r>
          <w:t>http://media.rspp.ru/document/1/f/2/f2eb3b415cffeb9aa7001c155904efea.pdf</w:t>
        </w:r>
      </w:hyperlink>
      <w:hyperlink r:id="rId938">
        <w:r>
          <w:t xml:space="preserve"> </w:t>
        </w:r>
      </w:hyperlink>
    </w:p>
    <w:p w:rsidR="002C0F56" w:rsidRDefault="00E67C6E">
      <w:pPr>
        <w:spacing w:after="0" w:line="259" w:lineRule="auto"/>
        <w:ind w:left="744" w:firstLine="0"/>
        <w:jc w:val="left"/>
      </w:pPr>
      <w:r>
        <w:t xml:space="preserve"> </w:t>
      </w:r>
    </w:p>
    <w:p w:rsidR="002C0F56" w:rsidRDefault="00E67C6E">
      <w:pPr>
        <w:spacing w:after="27" w:line="259" w:lineRule="auto"/>
        <w:ind w:left="744" w:firstLine="0"/>
        <w:jc w:val="left"/>
      </w:pPr>
      <w:r>
        <w:t xml:space="preserve"> </w:t>
      </w:r>
    </w:p>
    <w:p w:rsidR="002C0F56" w:rsidRDefault="00E67C6E">
      <w:pPr>
        <w:spacing w:after="11" w:line="270" w:lineRule="auto"/>
        <w:ind w:left="3184" w:right="862" w:hanging="10"/>
        <w:jc w:val="right"/>
      </w:pPr>
      <w:r>
        <w:rPr>
          <w:b/>
        </w:rPr>
        <w:t xml:space="preserve">Ларина Л.А., Горохова Л.А.  </w:t>
      </w:r>
      <w:r>
        <w:t xml:space="preserve">Научный руководитель: Чернобродова Л.А., к.э.н., доц.  </w:t>
      </w:r>
    </w:p>
    <w:p w:rsidR="002C0F56" w:rsidRDefault="00E67C6E">
      <w:pPr>
        <w:spacing w:after="0" w:line="267" w:lineRule="auto"/>
        <w:ind w:left="905" w:right="860" w:hanging="10"/>
        <w:jc w:val="right"/>
      </w:pPr>
      <w:r>
        <w:rPr>
          <w:i/>
        </w:rPr>
        <w:t xml:space="preserve">Рязанский государственный радиотехнический университет </w:t>
      </w:r>
    </w:p>
    <w:p w:rsidR="002C0F56" w:rsidRDefault="00E67C6E">
      <w:pPr>
        <w:spacing w:after="0" w:line="259" w:lineRule="auto"/>
        <w:ind w:left="744" w:firstLine="0"/>
        <w:jc w:val="left"/>
      </w:pPr>
      <w:r>
        <w:rPr>
          <w:b/>
        </w:rPr>
        <w:t xml:space="preserve"> </w:t>
      </w:r>
    </w:p>
    <w:p w:rsidR="002C0F56" w:rsidRDefault="00E67C6E">
      <w:pPr>
        <w:pStyle w:val="1"/>
        <w:ind w:left="700" w:right="1376"/>
      </w:pPr>
      <w:r>
        <w:lastRenderedPageBreak/>
        <w:t xml:space="preserve">ПРОБЛЕМЫ И ПЕРСПЕКТИВЫ ВЗАИМОДЕЙСТВИЯ ЖИВОЙ И </w:t>
      </w:r>
    </w:p>
    <w:p w:rsidR="002C0F56" w:rsidRDefault="00E67C6E">
      <w:pPr>
        <w:pStyle w:val="1"/>
        <w:ind w:left="700" w:right="1376"/>
      </w:pPr>
      <w:r>
        <w:t xml:space="preserve">НЕЖИВОЙ ПРИРОДЫ </w:t>
      </w:r>
    </w:p>
    <w:p w:rsidR="002C0F56" w:rsidRDefault="00E67C6E">
      <w:pPr>
        <w:spacing w:after="0" w:line="259" w:lineRule="auto"/>
        <w:ind w:left="744" w:firstLine="0"/>
        <w:jc w:val="left"/>
      </w:pPr>
      <w:r>
        <w:t xml:space="preserve"> </w:t>
      </w:r>
    </w:p>
    <w:p w:rsidR="002C0F56" w:rsidRDefault="00E67C6E">
      <w:pPr>
        <w:ind w:left="165" w:right="869"/>
      </w:pPr>
      <w:r>
        <w:t>Множество величайших умов человечества, живших в разные исторические эпохи, черпало вдохновение для своей работы в природе. Обратимся к античности: Леонардо да Винчи находил в окружающей его</w:t>
      </w:r>
      <w:r>
        <w:t xml:space="preserve"> природе ответы для своих конструкторских решений. Что касается нашей эпохи, то у этого метода появилось официальное название «биомиметика» или второе - «бионика».  </w:t>
      </w:r>
    </w:p>
    <w:p w:rsidR="002C0F56" w:rsidRDefault="00E67C6E">
      <w:pPr>
        <w:spacing w:after="2"/>
        <w:ind w:left="165" w:right="865"/>
      </w:pPr>
      <w:r>
        <w:t>В настоящее время благодаря различным видам технологий, таким как, компьютерное моделирова</w:t>
      </w:r>
      <w:r>
        <w:t>ние, нанотехнологии, мы можем гораздо глубже и точнее изучить совершенные природные процессы и организмы. Ученыебиомиметики на основе биологических систем улучшают компьютерный интеллект навыками обучения, защиты и самовосстановления. Наука биомиметика уже</w:t>
      </w:r>
      <w:r>
        <w:t xml:space="preserve"> используется в разработке аппаратных средств и программном обеспечении.  </w:t>
      </w:r>
    </w:p>
    <w:p w:rsidR="002C0F56" w:rsidRDefault="00E67C6E">
      <w:pPr>
        <w:ind w:left="165" w:right="866"/>
      </w:pPr>
      <w:r>
        <w:t xml:space="preserve">Цель исследования: расширить представление о биомиметике, ее развитии и значении, предложить изучение данной науки в г. Рязани.  Основные задачи исследования:  </w:t>
      </w:r>
    </w:p>
    <w:p w:rsidR="002C0F56" w:rsidRDefault="00E67C6E">
      <w:pPr>
        <w:numPr>
          <w:ilvl w:val="0"/>
          <w:numId w:val="134"/>
        </w:numPr>
        <w:ind w:right="302" w:hanging="281"/>
      </w:pPr>
      <w:r>
        <w:t>изучить понятие наук</w:t>
      </w:r>
      <w:r>
        <w:t xml:space="preserve">и бионики; </w:t>
      </w:r>
    </w:p>
    <w:p w:rsidR="002C0F56" w:rsidRDefault="00E67C6E">
      <w:pPr>
        <w:numPr>
          <w:ilvl w:val="0"/>
          <w:numId w:val="134"/>
        </w:numPr>
        <w:ind w:right="302" w:hanging="281"/>
      </w:pPr>
      <w:r>
        <w:t xml:space="preserve">познакомиться с историей ее создания;  </w:t>
      </w:r>
    </w:p>
    <w:p w:rsidR="002C0F56" w:rsidRDefault="00E67C6E">
      <w:pPr>
        <w:numPr>
          <w:ilvl w:val="0"/>
          <w:numId w:val="134"/>
        </w:numPr>
        <w:ind w:right="302" w:hanging="281"/>
      </w:pPr>
      <w:r>
        <w:t xml:space="preserve">изучить основные достижениями данной науки; </w:t>
      </w:r>
    </w:p>
    <w:p w:rsidR="002C0F56" w:rsidRDefault="00E67C6E">
      <w:pPr>
        <w:numPr>
          <w:ilvl w:val="0"/>
          <w:numId w:val="134"/>
        </w:numPr>
        <w:ind w:right="302" w:hanging="281"/>
      </w:pPr>
      <w:r>
        <w:t xml:space="preserve">обозначить важное практическое значение бионики;  </w:t>
      </w:r>
    </w:p>
    <w:p w:rsidR="002C0F56" w:rsidRDefault="00E67C6E">
      <w:pPr>
        <w:numPr>
          <w:ilvl w:val="0"/>
          <w:numId w:val="134"/>
        </w:numPr>
        <w:ind w:right="302" w:hanging="281"/>
      </w:pPr>
      <w:r>
        <w:t xml:space="preserve">рассмотреть перспективы развития биомиметики в г. Рязани. </w:t>
      </w:r>
    </w:p>
    <w:p w:rsidR="002C0F56" w:rsidRDefault="00E67C6E">
      <w:pPr>
        <w:ind w:left="165" w:right="868"/>
      </w:pPr>
      <w:r>
        <w:t>Биомиметика - наука о копировании уникальных функ</w:t>
      </w:r>
      <w:r>
        <w:t>ций живых организмов и их применении в разработке различной продукции. Она возникла еще в 1950-х годах. Одним из первых биометических примеров является создание застежки-липучки, которая была придумана на основе чертополоха, цепляющегося к одежде. Другим п</w:t>
      </w:r>
      <w:r>
        <w:t xml:space="preserve">римером служит появление водоотталкивающей краски, придуманной на основе свойств листьев лотоса. </w:t>
      </w:r>
    </w:p>
    <w:p w:rsidR="002C0F56" w:rsidRDefault="00E67C6E">
      <w:pPr>
        <w:ind w:left="165" w:right="366"/>
      </w:pPr>
      <w:r>
        <w:t xml:space="preserve">В начале XXI века, изучение биомиметики получило еще больший охват. Все чаще появляются новые разработки:  </w:t>
      </w:r>
    </w:p>
    <w:p w:rsidR="002C0F56" w:rsidRDefault="00E67C6E">
      <w:pPr>
        <w:numPr>
          <w:ilvl w:val="0"/>
          <w:numId w:val="135"/>
        </w:numPr>
        <w:ind w:right="588"/>
      </w:pPr>
      <w:r>
        <w:t xml:space="preserve">на основе строение глаза моли создана пленка с пониженными отражающими свойствами, практически не реагирующая на свет; </w:t>
      </w:r>
    </w:p>
    <w:p w:rsidR="002C0F56" w:rsidRDefault="00E67C6E">
      <w:pPr>
        <w:numPr>
          <w:ilvl w:val="0"/>
          <w:numId w:val="135"/>
        </w:numPr>
        <w:ind w:right="588"/>
      </w:pPr>
      <w:r>
        <w:t>на примере лап ящериц, которые могут передвигаться по различным гладким поверхностям, была создана клейкая лента повторного использовани</w:t>
      </w:r>
      <w:r>
        <w:t xml:space="preserve">я; </w:t>
      </w:r>
    </w:p>
    <w:p w:rsidR="002C0F56" w:rsidRDefault="00E67C6E">
      <w:pPr>
        <w:numPr>
          <w:ilvl w:val="0"/>
          <w:numId w:val="135"/>
        </w:numPr>
        <w:ind w:right="588"/>
      </w:pPr>
      <w:r>
        <w:lastRenderedPageBreak/>
        <w:t xml:space="preserve">на основе особенности чешуи тунца была создана краска для кораблей, которая позволяет сохранять низкие показатели сопротивления воды на высоких скоростях; </w:t>
      </w:r>
    </w:p>
    <w:p w:rsidR="002C0F56" w:rsidRDefault="00E67C6E">
      <w:pPr>
        <w:numPr>
          <w:ilvl w:val="0"/>
          <w:numId w:val="135"/>
        </w:numPr>
        <w:spacing w:after="10"/>
        <w:ind w:right="588"/>
      </w:pPr>
      <w:r>
        <w:t xml:space="preserve">на примере Намибийского жука, который добывает воду из тумана, и мокрицы, которая способна «улавливать» воду в воздухе, ученые нашли решение проблеме нехватки пресной воды.[1] </w:t>
      </w:r>
    </w:p>
    <w:p w:rsidR="002C0F56" w:rsidRDefault="00E67C6E">
      <w:pPr>
        <w:ind w:left="165" w:right="302"/>
      </w:pPr>
      <w:r>
        <w:t>Биомиметика стала очень важным помощником в создании технологий по спасению жив</w:t>
      </w:r>
      <w:r>
        <w:t xml:space="preserve">ой природы. </w:t>
      </w:r>
    </w:p>
    <w:p w:rsidR="002C0F56" w:rsidRDefault="00E67C6E">
      <w:pPr>
        <w:ind w:left="165" w:right="867"/>
      </w:pPr>
      <w:r>
        <w:t>Так, например, все чаще поднимается проблема гибели пчел для многих стран мира. Виной тому являются пестициды, наносящие вред иммунной системе насекомых. Согласно прогнозам ученых, в течение ближайшего столетия пчелы могут  окончательно исчезн</w:t>
      </w:r>
      <w:r>
        <w:t>уть с лица Земли, что грозит для людей катастрофическими последствиями. Более 180 тысяч видов растений не смогут плодоносить. Энтоморфные растения, другими словами растения, которые нуждаются в опылении насекомыми, являются главным источником витаминов и м</w:t>
      </w:r>
      <w:r>
        <w:t xml:space="preserve">икроэлементов растительного происхождения на нашей планете. </w:t>
      </w:r>
    </w:p>
    <w:p w:rsidR="002C0F56" w:rsidRDefault="00E67C6E">
      <w:pPr>
        <w:ind w:left="165" w:right="874" w:firstLine="0"/>
      </w:pPr>
      <w:r>
        <w:t>Исчезновение пчел грозит изменению природной среды, и так же исчезновению некоторых видов растений, насекомых и животных, что в свою очередь приведет  человечество к глобальному продовольственном</w:t>
      </w:r>
      <w:r>
        <w:t xml:space="preserve">у кризису. Решение данной проблемы можно найти в биомиметике.[2] </w:t>
      </w:r>
    </w:p>
    <w:p w:rsidR="002C0F56" w:rsidRDefault="00E67C6E">
      <w:pPr>
        <w:ind w:left="165" w:right="869"/>
      </w:pPr>
      <w:r>
        <w:t xml:space="preserve"> В 2007 году химик Эйджиро Мияко создал заряженный гель, заменяющий процесс опыления при нанесении на дрона. Японские инженеры воспользовались данной идеей в создании пчел-дронов, снабженных</w:t>
      </w:r>
      <w:r>
        <w:t xml:space="preserve"> клейкой поверхностью из шерсти животных, покрытой заряженным жидким гелем.[3] </w:t>
      </w:r>
    </w:p>
    <w:p w:rsidR="002C0F56" w:rsidRDefault="00E67C6E">
      <w:pPr>
        <w:spacing w:after="2"/>
        <w:ind w:left="165" w:right="866"/>
      </w:pPr>
      <w:r>
        <w:t>Уникальные свойства живой природы постоянно привлекают людей, поэтому люди идут на различные хитрости, чтобы узнать как можно больше о свойствах живой природы. Уникальные свойс</w:t>
      </w:r>
      <w:r>
        <w:t>тва и производственные процессы живых организмов в каком-то смысле намного превосходят все придуманное человечеством. Когда человек узнает об удивительных возможностях живых существ, он поймет, что скромных знаний человечества еще недостаточно, и что ему н</w:t>
      </w:r>
      <w:r>
        <w:t xml:space="preserve">ужно еще многому учиться у природы и ее обитателей. При этом именно за счет неопытности у человека есть возможность обнаружить ранее неизвестные вещи, применить их для обогащения своих знаний и получить уникальный результат.  </w:t>
      </w:r>
    </w:p>
    <w:p w:rsidR="002C0F56" w:rsidRDefault="00E67C6E">
      <w:pPr>
        <w:ind w:left="165" w:right="864"/>
      </w:pPr>
      <w:r>
        <w:t>Многие ученые обращаются к пр</w:t>
      </w:r>
      <w:r>
        <w:t>ироде в надежде найти решение сложных вопросов, стоящих перед человечеством. Живая природа предлагает множество готовых решений, необходимо лишь адаптировать их для конкретных технологических проблем. В природе все идеально рассчитано. Она разумна, рациона</w:t>
      </w:r>
      <w:r>
        <w:t xml:space="preserve">льна и изобретательна, поэтому ученые и инженеры со всего мира </w:t>
      </w:r>
      <w:r>
        <w:lastRenderedPageBreak/>
        <w:t>пытаются скопировать ее принципы в лабораториях. Для того чтобы как можно ближе подобраться к диким животным, ученые используют роботов-шпионов. Их конструируют и гримируют для наибольшей точно</w:t>
      </w:r>
      <w:r>
        <w:t xml:space="preserve">сти с живыми особями. Такие специалисты-конструкторы тщательно изучают то, как должно двигаться то или иное животное в естественных условиях, чтобы максимально точно воспроизвести его движения и наделить ими робота.[4] </w:t>
      </w:r>
    </w:p>
    <w:p w:rsidR="002C0F56" w:rsidRDefault="00E67C6E">
      <w:pPr>
        <w:spacing w:after="0"/>
        <w:ind w:left="165" w:right="866"/>
      </w:pPr>
      <w:r>
        <w:t xml:space="preserve">Таким образом, биомиметика – это не </w:t>
      </w:r>
      <w:r>
        <w:t>только наука о том, как лучше и рациональнее использовать то, что дает нам природа, но также, она представляет собой поиск путей, средств и возможностей связи биологических аспектов существования и технического прогресса с целью увеличения научного прогрес</w:t>
      </w:r>
      <w:r>
        <w:t xml:space="preserve">са и одновременного сохранения существующих природных ресурсов. </w:t>
      </w:r>
    </w:p>
    <w:p w:rsidR="002C0F56" w:rsidRDefault="00E67C6E">
      <w:pPr>
        <w:ind w:left="165" w:right="872"/>
      </w:pPr>
      <w:r>
        <w:t>Несмотря на скачок в эволюционном развитии, человечество остается полностью зависимым от окружающей природной среды. Все изобретения, так или иначе, имели место в примерах окружающего нас мир</w:t>
      </w:r>
      <w:r>
        <w:t>а. В эпоху технологических инноваций мы обязаны и в состоянии помочь гибнущей природной среде. Во многих странах, в том числе и в России, развивается биомиметика, создаются программы, механизмы, роботы, которые смогут решить те или иные проблемы человечест</w:t>
      </w:r>
      <w:r>
        <w:t xml:space="preserve">ва. </w:t>
      </w:r>
    </w:p>
    <w:p w:rsidR="002C0F56" w:rsidRDefault="00E67C6E">
      <w:pPr>
        <w:spacing w:after="6"/>
        <w:ind w:left="165" w:right="868"/>
      </w:pPr>
      <w:r>
        <w:t>Мы считаем, что в Рязани есть все необходимые условия для развития данной науки и практики. Так, на базе бизнес-инкубатора РГРТУ успешно функционирует конструкторское бюро «Аврора», чью деятельность можно направить в русло биомиметики. Нам представляе</w:t>
      </w:r>
      <w:r>
        <w:t xml:space="preserve">тся, что надо создать возможность обучения этому направлению деятельности. Для этого необходимо открыть соответствующие кафедры на базе РГРТУ и РГМУ. </w:t>
      </w:r>
    </w:p>
    <w:p w:rsidR="002C0F56" w:rsidRDefault="00E67C6E">
      <w:pPr>
        <w:spacing w:after="24"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numPr>
          <w:ilvl w:val="0"/>
          <w:numId w:val="136"/>
        </w:numPr>
        <w:ind w:right="863"/>
      </w:pPr>
      <w:r>
        <w:t>Биомиметика - подсказка технологий будущего в природе: роботыстрекозы, застежки-</w:t>
      </w:r>
      <w:r>
        <w:t xml:space="preserve">липучки, водоотталкивающая краска [Электронный ресурс]. – Режим доступа: </w:t>
      </w:r>
      <w:hyperlink r:id="rId939">
        <w:r>
          <w:t>http://inosmi.ru/world/20131210/215530594.html</w:t>
        </w:r>
      </w:hyperlink>
      <w:hyperlink r:id="rId940">
        <w:r>
          <w:t xml:space="preserve">- </w:t>
        </w:r>
      </w:hyperlink>
    </w:p>
    <w:p w:rsidR="002C0F56" w:rsidRDefault="00E67C6E">
      <w:pPr>
        <w:ind w:left="165" w:right="302" w:firstLine="0"/>
      </w:pPr>
      <w:hyperlink r:id="rId941">
        <w:r>
          <w:t>ИНОСМИ.РУ</w:t>
        </w:r>
      </w:hyperlink>
      <w:hyperlink r:id="rId942">
        <w:r>
          <w:t xml:space="preserve"> </w:t>
        </w:r>
      </w:hyperlink>
      <w:r>
        <w:t xml:space="preserve">- (Дата обращения: 09.04.2017). </w:t>
      </w:r>
    </w:p>
    <w:p w:rsidR="002C0F56" w:rsidRDefault="00E67C6E">
      <w:pPr>
        <w:numPr>
          <w:ilvl w:val="0"/>
          <w:numId w:val="136"/>
        </w:numPr>
        <w:ind w:right="863"/>
      </w:pPr>
      <w:r>
        <w:t>На Земле может не остаться пчел</w:t>
      </w:r>
      <w:r>
        <w:t xml:space="preserve"> [Электронный ресурс]. – Режим доступа: </w:t>
      </w:r>
      <w:hyperlink r:id="rId943">
        <w:r>
          <w:t>http://www.nat</w:t>
        </w:r>
      </w:hyperlink>
      <w:hyperlink r:id="rId944">
        <w:r>
          <w:t>-</w:t>
        </w:r>
      </w:hyperlink>
      <w:hyperlink r:id="rId945">
        <w:r>
          <w:t>geo.ru/planet/50995</w:t>
        </w:r>
      </w:hyperlink>
      <w:hyperlink r:id="rId946">
        <w:r>
          <w:t>-</w:t>
        </w:r>
      </w:hyperlink>
      <w:hyperlink r:id="rId947">
        <w:r>
          <w:t>na</w:t>
        </w:r>
      </w:hyperlink>
      <w:hyperlink r:id="rId948">
        <w:r>
          <w:t>-</w:t>
        </w:r>
      </w:hyperlink>
      <w:hyperlink r:id="rId949">
        <w:r>
          <w:t>zemle</w:t>
        </w:r>
      </w:hyperlink>
      <w:hyperlink r:id="rId950">
        <w:r>
          <w:t>-</w:t>
        </w:r>
      </w:hyperlink>
      <w:hyperlink r:id="rId951">
        <w:r>
          <w:t>mozhet</w:t>
        </w:r>
      </w:hyperlink>
      <w:hyperlink r:id="rId952">
        <w:r>
          <w:t>-</w:t>
        </w:r>
      </w:hyperlink>
      <w:hyperlink r:id="rId953">
        <w:r>
          <w:t>ne</w:t>
        </w:r>
      </w:hyperlink>
      <w:hyperlink r:id="rId954">
        <w:r>
          <w:t>-</w:t>
        </w:r>
      </w:hyperlink>
      <w:hyperlink r:id="rId955">
        <w:r>
          <w:t>ostatsya</w:t>
        </w:r>
      </w:hyperlink>
      <w:hyperlink r:id="rId956">
        <w:r>
          <w:t>-</w:t>
        </w:r>
      </w:hyperlink>
      <w:hyperlink r:id="rId957">
        <w:r>
          <w:t>pchel/</w:t>
        </w:r>
      </w:hyperlink>
      <w:hyperlink r:id="rId958">
        <w:r>
          <w:t xml:space="preserve"> </w:t>
        </w:r>
      </w:hyperlink>
      <w:r>
        <w:t xml:space="preserve">- National geographic - (Дата обращения: 09.04.2017).  </w:t>
      </w:r>
    </w:p>
    <w:p w:rsidR="002C0F56" w:rsidRDefault="00E67C6E">
      <w:pPr>
        <w:numPr>
          <w:ilvl w:val="0"/>
          <w:numId w:val="136"/>
        </w:numPr>
        <w:ind w:right="863"/>
      </w:pPr>
      <w:r>
        <w:t xml:space="preserve">Роботы-пчелы и необычный гель: смогут ли дроны заменить насекомых [Электронный ресурс]. – Режим доступа: </w:t>
      </w:r>
      <w:hyperlink r:id="rId959">
        <w:r>
          <w:t>http://www.popmech.ru/science/327552</w:t>
        </w:r>
      </w:hyperlink>
      <w:hyperlink r:id="rId960"/>
      <w:hyperlink r:id="rId961">
        <w:r>
          <w:t>roboty</w:t>
        </w:r>
      </w:hyperlink>
      <w:hyperlink r:id="rId962">
        <w:r>
          <w:t>-</w:t>
        </w:r>
      </w:hyperlink>
      <w:hyperlink r:id="rId963">
        <w:r>
          <w:t>pchely</w:t>
        </w:r>
      </w:hyperlink>
      <w:hyperlink r:id="rId964">
        <w:r>
          <w:t>-</w:t>
        </w:r>
      </w:hyperlink>
      <w:hyperlink r:id="rId965">
        <w:r>
          <w:t>i</w:t>
        </w:r>
      </w:hyperlink>
      <w:hyperlink r:id="rId966">
        <w:r>
          <w:t>-</w:t>
        </w:r>
      </w:hyperlink>
      <w:hyperlink r:id="rId967">
        <w:r>
          <w:t>neobychnyy</w:t>
        </w:r>
      </w:hyperlink>
      <w:hyperlink r:id="rId968">
        <w:r>
          <w:t>-</w:t>
        </w:r>
      </w:hyperlink>
      <w:hyperlink r:id="rId969">
        <w:r>
          <w:t>gel</w:t>
        </w:r>
      </w:hyperlink>
      <w:hyperlink r:id="rId970">
        <w:r>
          <w:t>-</w:t>
        </w:r>
      </w:hyperlink>
      <w:hyperlink r:id="rId971">
        <w:r>
          <w:t>smogut</w:t>
        </w:r>
      </w:hyperlink>
      <w:hyperlink r:id="rId972">
        <w:r>
          <w:t>-</w:t>
        </w:r>
      </w:hyperlink>
      <w:hyperlink r:id="rId973">
        <w:r>
          <w:t>li</w:t>
        </w:r>
      </w:hyperlink>
      <w:hyperlink r:id="rId974">
        <w:r>
          <w:t>-</w:t>
        </w:r>
      </w:hyperlink>
      <w:hyperlink r:id="rId975">
        <w:r>
          <w:t>drony</w:t>
        </w:r>
      </w:hyperlink>
      <w:hyperlink r:id="rId976">
        <w:r>
          <w:t>-</w:t>
        </w:r>
      </w:hyperlink>
      <w:hyperlink r:id="rId977">
        <w:r>
          <w:t>zamenit</w:t>
        </w:r>
      </w:hyperlink>
      <w:hyperlink r:id="rId978">
        <w:r>
          <w:t>-</w:t>
        </w:r>
      </w:hyperlink>
      <w:hyperlink r:id="rId979">
        <w:r>
          <w:t>nasekomykh/</w:t>
        </w:r>
      </w:hyperlink>
      <w:hyperlink r:id="rId980">
        <w:r>
          <w:t xml:space="preserve"> </w:t>
        </w:r>
      </w:hyperlink>
      <w:r>
        <w:t xml:space="preserve">Популярная механика - (Дата обращения: 09.04.2017).  </w:t>
      </w:r>
    </w:p>
    <w:p w:rsidR="002C0F56" w:rsidRDefault="00E67C6E">
      <w:pPr>
        <w:numPr>
          <w:ilvl w:val="0"/>
          <w:numId w:val="136"/>
        </w:numPr>
        <w:ind w:right="863"/>
      </w:pPr>
      <w:r>
        <w:lastRenderedPageBreak/>
        <w:t xml:space="preserve">Роботы, </w:t>
      </w:r>
      <w:r>
        <w:tab/>
        <w:t xml:space="preserve">помогающие </w:t>
      </w:r>
      <w:r>
        <w:tab/>
        <w:t xml:space="preserve">наблюдать </w:t>
      </w:r>
      <w:r>
        <w:tab/>
        <w:t xml:space="preserve">ученым </w:t>
      </w:r>
      <w:r>
        <w:tab/>
        <w:t xml:space="preserve">за </w:t>
      </w:r>
      <w:r>
        <w:tab/>
        <w:t xml:space="preserve">дикой </w:t>
      </w:r>
      <w:r>
        <w:tab/>
        <w:t xml:space="preserve">природой </w:t>
      </w:r>
    </w:p>
    <w:p w:rsidR="002C0F56" w:rsidRDefault="00E67C6E">
      <w:pPr>
        <w:spacing w:after="11"/>
        <w:ind w:left="165" w:right="865" w:firstLine="0"/>
      </w:pPr>
      <w:r>
        <w:t xml:space="preserve">[Электронный ресурс]. – Режим доступа: </w:t>
      </w:r>
      <w:hyperlink r:id="rId981">
        <w:r>
          <w:t>https://hi</w:t>
        </w:r>
      </w:hyperlink>
      <w:hyperlink r:id="rId982">
        <w:r>
          <w:t>-</w:t>
        </w:r>
      </w:hyperlink>
      <w:hyperlink r:id="rId983">
        <w:r>
          <w:t>news.ru/eto</w:t>
        </w:r>
      </w:hyperlink>
      <w:hyperlink r:id="rId984">
        <w:r>
          <w:t>-</w:t>
        </w:r>
      </w:hyperlink>
      <w:hyperlink r:id="rId985">
        <w:r>
          <w:t>interesno/video</w:t>
        </w:r>
      </w:hyperlink>
      <w:hyperlink r:id="rId986"/>
      <w:hyperlink r:id="rId987">
        <w:r>
          <w:t>roboty</w:t>
        </w:r>
      </w:hyperlink>
      <w:hyperlink r:id="rId988">
        <w:r>
          <w:t>-</w:t>
        </w:r>
      </w:hyperlink>
      <w:hyperlink r:id="rId989">
        <w:r>
          <w:t>pomogayushhie</w:t>
        </w:r>
      </w:hyperlink>
      <w:hyperlink r:id="rId990">
        <w:r>
          <w:t>-</w:t>
        </w:r>
      </w:hyperlink>
      <w:hyperlink r:id="rId991">
        <w:r>
          <w:t>uchyonym</w:t>
        </w:r>
      </w:hyperlink>
      <w:hyperlink r:id="rId992">
        <w:r>
          <w:t>-</w:t>
        </w:r>
      </w:hyperlink>
      <w:hyperlink r:id="rId993">
        <w:r>
          <w:t>nablyudat</w:t>
        </w:r>
      </w:hyperlink>
      <w:hyperlink r:id="rId994">
        <w:r>
          <w:t>-</w:t>
        </w:r>
      </w:hyperlink>
      <w:hyperlink r:id="rId995">
        <w:r>
          <w:t>za</w:t>
        </w:r>
      </w:hyperlink>
      <w:hyperlink r:id="rId996">
        <w:r>
          <w:t>-</w:t>
        </w:r>
      </w:hyperlink>
      <w:hyperlink r:id="rId997">
        <w:r>
          <w:t>dikoj</w:t>
        </w:r>
      </w:hyperlink>
      <w:hyperlink r:id="rId998">
        <w:r>
          <w:t>-</w:t>
        </w:r>
      </w:hyperlink>
      <w:hyperlink r:id="rId999">
        <w:r>
          <w:t xml:space="preserve">prirodoj.html </w:t>
        </w:r>
      </w:hyperlink>
      <w:hyperlink r:id="rId1000">
        <w:r>
          <w:t xml:space="preserve">- </w:t>
        </w:r>
      </w:hyperlink>
      <w:hyperlink r:id="rId1001">
        <w:r>
          <w:t>Hi</w:t>
        </w:r>
      </w:hyperlink>
      <w:hyperlink r:id="rId1002">
        <w:r>
          <w:t>-</w:t>
        </w:r>
      </w:hyperlink>
      <w:hyperlink r:id="rId1003">
        <w:r>
          <w:t>news</w:t>
        </w:r>
      </w:hyperlink>
      <w:hyperlink r:id="rId1004">
        <w:r>
          <w:t>.</w:t>
        </w:r>
      </w:hyperlink>
      <w:hyperlink r:id="rId1005">
        <w:r>
          <w:t>ru</w:t>
        </w:r>
      </w:hyperlink>
      <w:hyperlink r:id="rId1006">
        <w:r>
          <w:t xml:space="preserve"> </w:t>
        </w:r>
      </w:hyperlink>
      <w:r>
        <w:t xml:space="preserve">- (Дата обращения: 09.04.2017).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11"/>
        <w:ind w:left="3772" w:right="862"/>
        <w:jc w:val="right"/>
      </w:pPr>
      <w:r>
        <w:t xml:space="preserve">Лебединская В.А. </w:t>
      </w:r>
      <w:r>
        <w:rPr>
          <w:b w:val="0"/>
        </w:rPr>
        <w:t xml:space="preserve">Научный руководитель: Костанда А.В., к.э.н., доц. </w:t>
      </w:r>
    </w:p>
    <w:p w:rsidR="002C0F56" w:rsidRDefault="00E67C6E">
      <w:pPr>
        <w:spacing w:after="0" w:line="267" w:lineRule="auto"/>
        <w:ind w:left="905" w:right="860" w:hanging="10"/>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 xml:space="preserve">Михаила Туган-Барановского </w:t>
      </w:r>
    </w:p>
    <w:p w:rsidR="002C0F56" w:rsidRDefault="00E67C6E">
      <w:pPr>
        <w:spacing w:after="30" w:line="259" w:lineRule="auto"/>
        <w:ind w:left="744" w:firstLine="0"/>
        <w:jc w:val="left"/>
      </w:pPr>
      <w:r>
        <w:rPr>
          <w:i/>
        </w:rPr>
        <w:t xml:space="preserve"> </w:t>
      </w:r>
    </w:p>
    <w:p w:rsidR="002C0F56" w:rsidRDefault="00E67C6E">
      <w:pPr>
        <w:pStyle w:val="1"/>
        <w:ind w:left="700" w:right="1381"/>
      </w:pPr>
      <w:r>
        <w:t>ВЛИЯНИЕ УПАКО</w:t>
      </w:r>
      <w:r>
        <w:t xml:space="preserve">ВКИ ТОВАРА НА ПРОДАЖУ </w:t>
      </w:r>
    </w:p>
    <w:p w:rsidR="002C0F56" w:rsidRDefault="00E67C6E">
      <w:pPr>
        <w:spacing w:after="0" w:line="259" w:lineRule="auto"/>
        <w:ind w:left="744" w:firstLine="0"/>
        <w:jc w:val="left"/>
      </w:pPr>
      <w:r>
        <w:rPr>
          <w:b/>
        </w:rPr>
        <w:t xml:space="preserve"> </w:t>
      </w:r>
    </w:p>
    <w:p w:rsidR="002C0F56" w:rsidRDefault="00E67C6E">
      <w:pPr>
        <w:spacing w:after="2"/>
        <w:ind w:left="165" w:right="870"/>
      </w:pPr>
      <w:r>
        <w:t xml:space="preserve">В настоящее время на полках современных магазинов появляется все больше товаров, упаковку для которых создавали лучшие мировые специалисты. Продвигаться эти товары будут с помощью маркетинговых механизмов. </w:t>
      </w:r>
    </w:p>
    <w:p w:rsidR="002C0F56" w:rsidRDefault="00E67C6E">
      <w:pPr>
        <w:spacing w:after="0"/>
        <w:ind w:left="165" w:right="870"/>
      </w:pPr>
      <w:r>
        <w:t>Упаковочная индустрия за рубежом развивается долгие годы. Можно сказать, что за границей, особенно в Европейских странах сложилась определенная традиция упаковки. Иностранный потребитель более требователен, разбалован изобилием товаров. Уже давно импортная</w:t>
      </w:r>
      <w:r>
        <w:t xml:space="preserve"> упаковка является «продавцом» товара </w:t>
      </w:r>
    </w:p>
    <w:p w:rsidR="002C0F56" w:rsidRDefault="00E67C6E">
      <w:pPr>
        <w:spacing w:after="0"/>
        <w:ind w:left="165" w:right="302"/>
      </w:pPr>
      <w:r>
        <w:t>Актуальность исследований заключается в том ,что упаковка товара является одновременно и средствами рекламы, информирования, сегментирования покупателей, обращаясь именно к выделенной целевой аудитории, что обеспечива</w:t>
      </w:r>
      <w:r>
        <w:t xml:space="preserve">ет точечное попадание товара в руки своего покупателя. </w:t>
      </w:r>
    </w:p>
    <w:p w:rsidR="002C0F56" w:rsidRDefault="00E67C6E">
      <w:pPr>
        <w:ind w:left="165" w:right="302"/>
      </w:pPr>
      <w:r>
        <w:t xml:space="preserve">Росту значения упаковки способствуют самые разные факторы, в том числе:  </w:t>
      </w:r>
    </w:p>
    <w:p w:rsidR="002C0F56" w:rsidRDefault="00E67C6E">
      <w:pPr>
        <w:numPr>
          <w:ilvl w:val="0"/>
          <w:numId w:val="137"/>
        </w:numPr>
        <w:ind w:right="867"/>
      </w:pPr>
      <w:r>
        <w:t>самообслуживание в торговле — с увеличением числа магазинов самообслуживания упаковка начинает выполнять функции продавца: она</w:t>
      </w:r>
      <w:r>
        <w:t xml:space="preserve"> должна привлечь внимание к товару, описать его свойства, внушить потребителю уверенность в этом товаре и произвести благоприятное впечатление о товаре в целом; </w:t>
      </w:r>
    </w:p>
    <w:p w:rsidR="002C0F56" w:rsidRDefault="00E67C6E">
      <w:pPr>
        <w:numPr>
          <w:ilvl w:val="0"/>
          <w:numId w:val="137"/>
        </w:numPr>
        <w:ind w:right="867"/>
      </w:pPr>
      <w:r>
        <w:t>рост доходов населения — увеличение доходов населения означает, что потребители готовы заплати</w:t>
      </w:r>
      <w:r>
        <w:t xml:space="preserve">ть за удобство, внешний вид, надежность и престижность улучшенной упаковки; </w:t>
      </w:r>
    </w:p>
    <w:p w:rsidR="002C0F56" w:rsidRDefault="00E67C6E">
      <w:pPr>
        <w:numPr>
          <w:ilvl w:val="0"/>
          <w:numId w:val="137"/>
        </w:numPr>
        <w:ind w:right="867"/>
      </w:pPr>
      <w:r>
        <w:t xml:space="preserve">образ фирмы и образ марки — товары высокого качества в оригинальной упаковке фирмы создают приверженность потребителей именно к этой фирме, к этой марке; </w:t>
      </w:r>
    </w:p>
    <w:p w:rsidR="002C0F56" w:rsidRDefault="00E67C6E">
      <w:pPr>
        <w:numPr>
          <w:ilvl w:val="0"/>
          <w:numId w:val="137"/>
        </w:numPr>
        <w:ind w:right="867"/>
      </w:pPr>
      <w:r>
        <w:lastRenderedPageBreak/>
        <w:t>возможность для новаторс</w:t>
      </w:r>
      <w:r>
        <w:t xml:space="preserve">тва — новаторство в упаковке может принести большие выгоды. </w:t>
      </w:r>
    </w:p>
    <w:p w:rsidR="002C0F56" w:rsidRDefault="00E67C6E">
      <w:pPr>
        <w:spacing w:after="5" w:line="268" w:lineRule="auto"/>
        <w:ind w:left="165" w:right="293" w:firstLine="554"/>
        <w:jc w:val="left"/>
      </w:pPr>
      <w:r>
        <w:t xml:space="preserve">Существует огромное количество факторов, способных повлиять на выбор покупателя. Человеческий мозг в процессе принятия решений ориентируется на наиболее простые для восприятия сигналы, такие как </w:t>
      </w:r>
      <w:r>
        <w:t xml:space="preserve">название бренда, логотип, цвет, а также на эмоции, которые вызывают эти факторы. </w:t>
      </w:r>
    </w:p>
    <w:p w:rsidR="002C0F56" w:rsidRDefault="00E67C6E">
      <w:pPr>
        <w:ind w:left="165" w:right="869"/>
      </w:pPr>
      <w:r>
        <w:t>Понимание того, как люди делают выбор, позволяет оказывать воздействие на их поведение. А одним из главных инструментов этого воздействия является, безусловно, упаковка проду</w:t>
      </w:r>
      <w:r>
        <w:t xml:space="preserve">кта. </w:t>
      </w:r>
    </w:p>
    <w:p w:rsidR="002C0F56" w:rsidRDefault="00E67C6E">
      <w:pPr>
        <w:ind w:left="165" w:right="868"/>
      </w:pPr>
      <w:r>
        <w:t xml:space="preserve">Упаковка – это комплекс, состоящий из тары, упаковочного материала, укупорочных средств и других вспомогательных средств, определяющих потребительские и технологические свойства упаковываемого продукта. </w:t>
      </w:r>
    </w:p>
    <w:p w:rsidR="002C0F56" w:rsidRDefault="00E67C6E">
      <w:pPr>
        <w:ind w:left="165" w:right="302"/>
      </w:pPr>
      <w:r>
        <w:t xml:space="preserve"> Очень часто люди тратят на оценку товара всег</w:t>
      </w:r>
      <w:r>
        <w:t xml:space="preserve">о несколько секунд. В таких условиях привлекательная упаковка — залог высокого уровня продаж. </w:t>
      </w:r>
    </w:p>
    <w:p w:rsidR="002C0F56" w:rsidRDefault="00E67C6E">
      <w:pPr>
        <w:ind w:left="165" w:right="302"/>
      </w:pPr>
      <w:r>
        <w:t xml:space="preserve"> Удачный дизайн упаковки повышает привлекательность продукта, что конечно же отражается на продажах </w:t>
      </w:r>
    </w:p>
    <w:p w:rsidR="002C0F56" w:rsidRDefault="00E67C6E">
      <w:pPr>
        <w:spacing w:after="0" w:line="259" w:lineRule="auto"/>
        <w:ind w:left="744" w:firstLine="0"/>
        <w:jc w:val="left"/>
      </w:pPr>
      <w:r>
        <w:t xml:space="preserve"> </w:t>
      </w:r>
    </w:p>
    <w:p w:rsidR="002C0F56" w:rsidRDefault="00E67C6E">
      <w:pPr>
        <w:pStyle w:val="4"/>
        <w:ind w:left="1181" w:right="1375"/>
      </w:pPr>
      <w:r>
        <w:rPr>
          <w:b w:val="0"/>
          <w:i/>
        </w:rPr>
        <w:t>Таблица 1</w:t>
      </w:r>
      <w:r>
        <w:rPr>
          <w:b w:val="0"/>
        </w:rPr>
        <w:t xml:space="preserve"> – </w:t>
      </w:r>
      <w:r>
        <w:t>Виды упаковок товара</w:t>
      </w:r>
      <w:r>
        <w:rPr>
          <w:b w:val="0"/>
        </w:rPr>
        <w:t xml:space="preserve"> </w:t>
      </w:r>
    </w:p>
    <w:tbl>
      <w:tblPr>
        <w:tblStyle w:val="TableGrid"/>
        <w:tblW w:w="9573" w:type="dxa"/>
        <w:tblInd w:w="72" w:type="dxa"/>
        <w:tblCellMar>
          <w:top w:w="14" w:type="dxa"/>
          <w:left w:w="108" w:type="dxa"/>
          <w:bottom w:w="0" w:type="dxa"/>
          <w:right w:w="50" w:type="dxa"/>
        </w:tblCellMar>
        <w:tblLook w:val="04A0" w:firstRow="1" w:lastRow="0" w:firstColumn="1" w:lastColumn="0" w:noHBand="0" w:noVBand="1"/>
      </w:tblPr>
      <w:tblGrid>
        <w:gridCol w:w="675"/>
        <w:gridCol w:w="2979"/>
        <w:gridCol w:w="5919"/>
      </w:tblGrid>
      <w:tr w:rsidR="002C0F56">
        <w:trPr>
          <w:trHeight w:val="286"/>
        </w:trPr>
        <w:tc>
          <w:tcPr>
            <w:tcW w:w="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29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Упаковка </w:t>
            </w:r>
          </w:p>
        </w:tc>
        <w:tc>
          <w:tcPr>
            <w:tcW w:w="5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Характеристика </w:t>
            </w:r>
          </w:p>
        </w:tc>
      </w:tr>
      <w:tr w:rsidR="002C0F56">
        <w:trPr>
          <w:trHeight w:val="1114"/>
        </w:trPr>
        <w:tc>
          <w:tcPr>
            <w:tcW w:w="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 </w:t>
            </w:r>
          </w:p>
        </w:tc>
        <w:tc>
          <w:tcPr>
            <w:tcW w:w="29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Потребительская </w:t>
            </w:r>
          </w:p>
        </w:tc>
        <w:tc>
          <w:tcPr>
            <w:tcW w:w="5919"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0" w:right="60" w:firstLine="0"/>
            </w:pPr>
            <w:r>
              <w:rPr>
                <w:sz w:val="24"/>
              </w:rPr>
              <w:t xml:space="preserve">Предназначена для товаров массового потребления. Является частью товара и входит в его стоимость, а после реализации товара переходит в полную </w:t>
            </w:r>
          </w:p>
          <w:p w:rsidR="002C0F56" w:rsidRDefault="00E67C6E">
            <w:pPr>
              <w:spacing w:after="0" w:line="259" w:lineRule="auto"/>
              <w:ind w:left="0" w:firstLine="0"/>
              <w:jc w:val="left"/>
            </w:pPr>
            <w:r>
              <w:rPr>
                <w:sz w:val="24"/>
              </w:rPr>
              <w:t xml:space="preserve">собственность покупателя </w:t>
            </w:r>
          </w:p>
        </w:tc>
      </w:tr>
      <w:tr w:rsidR="002C0F56">
        <w:trPr>
          <w:trHeight w:val="562"/>
        </w:trPr>
        <w:tc>
          <w:tcPr>
            <w:tcW w:w="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 </w:t>
            </w:r>
          </w:p>
        </w:tc>
        <w:tc>
          <w:tcPr>
            <w:tcW w:w="29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Производственная </w:t>
            </w:r>
          </w:p>
        </w:tc>
        <w:tc>
          <w:tcPr>
            <w:tcW w:w="5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Для выполнения внутризаводских перевозок, хранение изделий , материалов, сырья </w:t>
            </w:r>
          </w:p>
        </w:tc>
      </w:tr>
      <w:tr w:rsidR="002C0F56">
        <w:trPr>
          <w:trHeight w:val="286"/>
        </w:trPr>
        <w:tc>
          <w:tcPr>
            <w:tcW w:w="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29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Транспортная </w:t>
            </w:r>
          </w:p>
        </w:tc>
        <w:tc>
          <w:tcPr>
            <w:tcW w:w="5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Для перевозки, складирования и хранения продукции </w:t>
            </w:r>
          </w:p>
        </w:tc>
      </w:tr>
      <w:tr w:rsidR="002C0F56">
        <w:trPr>
          <w:trHeight w:val="838"/>
        </w:trPr>
        <w:tc>
          <w:tcPr>
            <w:tcW w:w="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29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Специальная </w:t>
            </w:r>
          </w:p>
        </w:tc>
        <w:tc>
          <w:tcPr>
            <w:tcW w:w="5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pPr>
            <w:r>
              <w:rPr>
                <w:sz w:val="24"/>
              </w:rPr>
              <w:t xml:space="preserve">Для защиты от внешних воздействий, влияний климатических факторов при транспортировке и хранении различных изделий </w:t>
            </w:r>
          </w:p>
        </w:tc>
      </w:tr>
    </w:tbl>
    <w:p w:rsidR="002C0F56" w:rsidRDefault="00E67C6E">
      <w:pPr>
        <w:spacing w:after="12"/>
        <w:ind w:left="744" w:right="302" w:firstLine="0"/>
      </w:pPr>
      <w:r>
        <w:t xml:space="preserve">Влияние упаковки на первое впечатление покупателя: </w:t>
      </w:r>
    </w:p>
    <w:p w:rsidR="002C0F56" w:rsidRDefault="00E67C6E">
      <w:pPr>
        <w:ind w:left="165" w:right="870"/>
      </w:pPr>
      <w:r>
        <w:t>1.Логотипы некоторых компаний известны по всему миру и сами по себе способны дать потре</w:t>
      </w:r>
      <w:r>
        <w:t xml:space="preserve">бителю представление о том, что перед ним за товар. Нередко человеку достаточно увидеть логотип любимого бренда, чтобы сделать выбор. </w:t>
      </w:r>
    </w:p>
    <w:p w:rsidR="002C0F56" w:rsidRDefault="00E67C6E">
      <w:pPr>
        <w:ind w:left="165" w:right="302"/>
      </w:pPr>
      <w:r>
        <w:t xml:space="preserve">2.Нестандартный дизайн также воздействует на покупателей. Оригинальная упаковка способна привлечь внимание человека. </w:t>
      </w:r>
    </w:p>
    <w:p w:rsidR="002C0F56" w:rsidRDefault="00E67C6E">
      <w:pPr>
        <w:ind w:left="165" w:right="869"/>
      </w:pPr>
      <w:r>
        <w:t>3.Т</w:t>
      </w:r>
      <w:r>
        <w:t xml:space="preserve">ипографика Главное, чтобы шрифт был удобен для восприятия: стиль, цвет и размер шрифта следует подбирать так, чтобы максимально облегчить покупателю процесс ознакомления с информацией о товаре. </w:t>
      </w:r>
    </w:p>
    <w:p w:rsidR="002C0F56" w:rsidRDefault="00E67C6E">
      <w:pPr>
        <w:ind w:left="165" w:right="870"/>
      </w:pPr>
      <w:r>
        <w:lastRenderedPageBreak/>
        <w:t>4. Цвет - Правильно подобранный цвет упаковки поможет вам выд</w:t>
      </w:r>
      <w:r>
        <w:t xml:space="preserve">елить ваш продукт на фоне конкурентов. При выборе цветовой гаммы необходимо исходить не только из того, какой товар вы продаете, но и кому вы его продаете. Важно помнить, что цвет — это один из самых эффективных инструментов воздействия на эмоции человека </w:t>
      </w:r>
    </w:p>
    <w:p w:rsidR="002C0F56" w:rsidRDefault="00E67C6E">
      <w:pPr>
        <w:spacing w:after="0"/>
        <w:ind w:left="165" w:right="871"/>
      </w:pPr>
      <w:r>
        <w:t xml:space="preserve">Броская, привлекательная упаковка, </w:t>
      </w:r>
      <w:r>
        <w:t>способная остановить на себе взгляд покупателя при первом же контакте на месте продажи, будет являться дополнительным каналом рекламы. По статистике, примерно 80% решений о покупке принимается непосредственно в торговых рядах, и покупатель в среднем затрач</w:t>
      </w:r>
      <w:r>
        <w:t xml:space="preserve">ивает около 20 секунд на осмотр одной витрины. </w:t>
      </w:r>
    </w:p>
    <w:p w:rsidR="002C0F56" w:rsidRDefault="00E67C6E">
      <w:pPr>
        <w:spacing w:after="0"/>
        <w:ind w:left="165" w:right="868"/>
      </w:pPr>
      <w:r>
        <w:t>Исследования показывают, что люди в возрасте 18–25 лет на 74% вероятнее поделятся в социальной сети фотографией упаковки товар, если тот был приобретен через интернет. При этом почти 40% потребителей готовы п</w:t>
      </w:r>
      <w:r>
        <w:t xml:space="preserve">оместить на свою страницу в социальной сети фотографию подарочной (или просто интересной) упаковки от того или иного продукта. </w:t>
      </w:r>
    </w:p>
    <w:p w:rsidR="002C0F56" w:rsidRDefault="00E67C6E">
      <w:pPr>
        <w:ind w:left="165" w:right="868"/>
      </w:pPr>
      <w:r>
        <w:t>Многие пользователи социальных медиа не испытывают особого доверия к рекламе, предпочитая прислушиваться при выборе бренда к мне</w:t>
      </w:r>
      <w:r>
        <w:t xml:space="preserve">нию друзей. Человек, выкладывающий в социальную сеть фотографию привлекательной упаковки, тем самым принимает участие в процессе продвижения товара. </w:t>
      </w:r>
    </w:p>
    <w:p w:rsidR="002C0F56" w:rsidRDefault="00E67C6E">
      <w:pPr>
        <w:ind w:left="165" w:right="302"/>
      </w:pPr>
      <w:r>
        <w:t xml:space="preserve">Создание привлекательной упаковки — это один из первых шагов к сердцу покупателя. </w:t>
      </w:r>
    </w:p>
    <w:p w:rsidR="002C0F56" w:rsidRDefault="00E67C6E">
      <w:pPr>
        <w:spacing w:after="0"/>
        <w:ind w:left="165" w:right="870"/>
      </w:pPr>
      <w:r>
        <w:t>Эксперты приводят основ</w:t>
      </w:r>
      <w:r>
        <w:t xml:space="preserve">ные критерии оценки упаковки. По мнению авторов, они включают: способность доносить до целевой аудитории информацию о продукте; притягивать внимание; особенности имиджа продукта, подкрепляемые внешним видом упаковки; функциональная адекватность упаковки с </w:t>
      </w:r>
      <w:r>
        <w:t xml:space="preserve">точки зрения того, каким образом продукт планируют потреблять и использовать. </w:t>
      </w:r>
    </w:p>
    <w:p w:rsidR="002C0F56" w:rsidRDefault="00E67C6E">
      <w:pPr>
        <w:spacing w:after="10"/>
        <w:ind w:left="165" w:right="866"/>
      </w:pPr>
      <w:r>
        <w:t>Можно сделать вывод, о том что важность упаковки в современном маркетинге не вызывает сомнения - времена, когда она была просто емкостью для транспортировки содержимого, давно п</w:t>
      </w:r>
      <w:r>
        <w:t xml:space="preserve">рошли, и сейчас упаковка является мощным инструментом, с помощью которого производитель общается с потребителем. </w:t>
      </w:r>
    </w:p>
    <w:p w:rsidR="002C0F56" w:rsidRDefault="00E67C6E">
      <w:pPr>
        <w:spacing w:after="0" w:line="259" w:lineRule="auto"/>
        <w:ind w:left="744" w:firstLine="0"/>
        <w:jc w:val="left"/>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165" w:right="302"/>
      </w:pPr>
      <w:r>
        <w:t xml:space="preserve">1.Акулич, И. Л. Маркетинг: Учебник / И. Л. Акулич. – 3-е изд. – Мн.: Выш. шк., 2008. – 463 с. </w:t>
      </w:r>
    </w:p>
    <w:p w:rsidR="002C0F56" w:rsidRDefault="00E67C6E">
      <w:pPr>
        <w:numPr>
          <w:ilvl w:val="0"/>
          <w:numId w:val="138"/>
        </w:numPr>
        <w:ind w:right="302"/>
      </w:pPr>
      <w:r>
        <w:t>Бокарев, Т. Оценка эффект</w:t>
      </w:r>
      <w:r>
        <w:t xml:space="preserve">ивности рекламных компаний в Интернете / </w:t>
      </w:r>
    </w:p>
    <w:p w:rsidR="002C0F56" w:rsidRDefault="00E67C6E">
      <w:pPr>
        <w:spacing w:after="12"/>
        <w:ind w:left="165" w:right="302" w:firstLine="0"/>
      </w:pPr>
      <w:r>
        <w:t xml:space="preserve">Т. Бокарев // Лаборатория рекламы. 2009. №1-2. – с. 10-14. </w:t>
      </w:r>
    </w:p>
    <w:p w:rsidR="002C0F56" w:rsidRDefault="00E67C6E">
      <w:pPr>
        <w:numPr>
          <w:ilvl w:val="0"/>
          <w:numId w:val="138"/>
        </w:numPr>
        <w:ind w:right="302"/>
      </w:pPr>
      <w:r>
        <w:lastRenderedPageBreak/>
        <w:t xml:space="preserve">Князев С. Упаковка в системе интегрированных маркетинговых коммуникаций // Маркетинговые коммуникации. 2009. №4(22). С 9-10. </w:t>
      </w:r>
    </w:p>
    <w:p w:rsidR="002C0F56" w:rsidRDefault="00E67C6E">
      <w:pPr>
        <w:numPr>
          <w:ilvl w:val="0"/>
          <w:numId w:val="138"/>
        </w:numPr>
        <w:ind w:right="302"/>
      </w:pPr>
      <w:r>
        <w:t>Перепелица, В. В. Как сделат</w:t>
      </w:r>
      <w:r>
        <w:t xml:space="preserve">ь рекламу эффективной или как стать известным / В. В. Перепелица. – Ростов н / Д.: Феникс; М.: Зевс, 2007. – 283 с. </w:t>
      </w:r>
    </w:p>
    <w:p w:rsidR="002C0F56" w:rsidRDefault="00E67C6E">
      <w:pPr>
        <w:spacing w:after="0" w:line="259" w:lineRule="auto"/>
        <w:ind w:left="744" w:firstLine="0"/>
        <w:jc w:val="left"/>
      </w:pPr>
      <w:r>
        <w:t xml:space="preserve"> </w:t>
      </w:r>
    </w:p>
    <w:p w:rsidR="002C0F56" w:rsidRDefault="00E67C6E">
      <w:pPr>
        <w:spacing w:after="28" w:line="259" w:lineRule="auto"/>
        <w:ind w:left="744" w:firstLine="0"/>
        <w:jc w:val="left"/>
      </w:pPr>
      <w:r>
        <w:t xml:space="preserve"> </w:t>
      </w:r>
    </w:p>
    <w:p w:rsidR="002C0F56" w:rsidRDefault="00E67C6E">
      <w:pPr>
        <w:pStyle w:val="1"/>
        <w:spacing w:after="0" w:line="254" w:lineRule="auto"/>
        <w:ind w:left="3961" w:right="0" w:firstLine="3622"/>
        <w:jc w:val="left"/>
      </w:pPr>
      <w:r>
        <w:t xml:space="preserve">Лебединская В.А. </w:t>
      </w:r>
      <w:r>
        <w:rPr>
          <w:sz w:val="32"/>
        </w:rPr>
        <w:t>Научный руководитель: Левадный А.Н.</w:t>
      </w:r>
      <w:r>
        <w:rPr>
          <w:b w:val="0"/>
        </w:rPr>
        <w:t xml:space="preserve"> </w:t>
      </w:r>
    </w:p>
    <w:p w:rsidR="002C0F56" w:rsidRDefault="00E67C6E">
      <w:pPr>
        <w:spacing w:after="0" w:line="267" w:lineRule="auto"/>
        <w:ind w:left="905" w:right="860" w:hanging="10"/>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Михаила Туган-</w:t>
      </w:r>
      <w:r>
        <w:rPr>
          <w:i/>
        </w:rPr>
        <w:t xml:space="preserve">Барановского </w:t>
      </w:r>
    </w:p>
    <w:p w:rsidR="002C0F56" w:rsidRDefault="00E67C6E">
      <w:pPr>
        <w:spacing w:after="0" w:line="259" w:lineRule="auto"/>
        <w:ind w:left="744" w:firstLine="0"/>
        <w:jc w:val="left"/>
      </w:pPr>
      <w:r>
        <w:rPr>
          <w:b/>
        </w:rPr>
        <w:t xml:space="preserve"> </w:t>
      </w:r>
    </w:p>
    <w:p w:rsidR="002C0F56" w:rsidRDefault="00E67C6E">
      <w:pPr>
        <w:spacing w:after="30" w:line="259" w:lineRule="auto"/>
        <w:ind w:left="744" w:firstLine="0"/>
        <w:jc w:val="left"/>
      </w:pPr>
      <w:r>
        <w:rPr>
          <w:b/>
        </w:rPr>
        <w:t xml:space="preserve"> </w:t>
      </w:r>
    </w:p>
    <w:p w:rsidR="002C0F56" w:rsidRDefault="00E67C6E">
      <w:pPr>
        <w:pStyle w:val="1"/>
        <w:ind w:left="700" w:right="1380"/>
      </w:pPr>
      <w:r>
        <w:t xml:space="preserve">САМЫЕ ПОПУЛЯРНЫЕ ВИДЫ СПОРТА В МИРЕ </w:t>
      </w:r>
    </w:p>
    <w:p w:rsidR="002C0F56" w:rsidRDefault="00E67C6E">
      <w:pPr>
        <w:spacing w:after="0" w:line="259" w:lineRule="auto"/>
        <w:ind w:left="744" w:firstLine="0"/>
        <w:jc w:val="left"/>
      </w:pPr>
      <w:r>
        <w:rPr>
          <w:b/>
        </w:rPr>
        <w:t xml:space="preserve"> </w:t>
      </w:r>
    </w:p>
    <w:p w:rsidR="002C0F56" w:rsidRDefault="00E67C6E">
      <w:pPr>
        <w:spacing w:after="0"/>
        <w:ind w:left="165" w:right="873"/>
      </w:pPr>
      <w:r>
        <w:t xml:space="preserve">Самый популярный вид спорта может быть определён исходя из количества людей, которые им занимаются, количества национальных ассоциаций или исходя из зрительного интереса аудитории к конкретному виду </w:t>
      </w:r>
      <w:r>
        <w:t xml:space="preserve">спорта. Таким образом, в зависимости от выбранных критериев, самыми популярными окажутся совершенно разные спортивные дисциплины. </w:t>
      </w:r>
    </w:p>
    <w:p w:rsidR="002C0F56" w:rsidRDefault="00E67C6E">
      <w:pPr>
        <w:spacing w:after="10"/>
        <w:ind w:left="165" w:right="867"/>
      </w:pPr>
      <w:r>
        <w:t>Спорт всегда был важной составляющей здоровой и насыщенной жизни человека. Активные игры помогают обрести энергию, уверенност</w:t>
      </w:r>
      <w:r>
        <w:t>ь в себе, и просто с удовольствием провести время. В настоящее время мир стремительно развивается, появляются новые виды спорта, совершенствуются старые. Но самые популярные — остаются неизменны. Они проверены временем, ими занимаются миллионы человек по в</w:t>
      </w:r>
      <w:r>
        <w:t xml:space="preserve">сему миру. В этой статье мы расскажем вам, какие самые популярные виды спорта в мире. </w:t>
      </w:r>
    </w:p>
    <w:p w:rsidR="002C0F56" w:rsidRDefault="00E67C6E">
      <w:pPr>
        <w:numPr>
          <w:ilvl w:val="0"/>
          <w:numId w:val="139"/>
        </w:numPr>
        <w:spacing w:after="2"/>
        <w:ind w:right="870"/>
      </w:pPr>
      <w:r>
        <w:t>Футбол по праву считается самым популярным видом спорта на планете. Ведь в него играет весь мир. Пинать мяч учат с детства каждого мальчика. Чемпионаты мира по футболу с</w:t>
      </w:r>
      <w:r>
        <w:t>тановятся событием мирового уровня, собирающим у телеэкранов миллионы зрителей со всей планеты. Для игры в футбол игроки делятся на две команды по 11 человек. Им нужно забить кожаный мяч в ворота. За каждое попадание — 1 очко. Команда, за 90 минут игры заб</w:t>
      </w:r>
      <w:r>
        <w:t xml:space="preserve">ившая наибольшее количество мячей, побеждает.   </w:t>
      </w:r>
    </w:p>
    <w:p w:rsidR="002C0F56" w:rsidRDefault="00E67C6E">
      <w:pPr>
        <w:numPr>
          <w:ilvl w:val="0"/>
          <w:numId w:val="139"/>
        </w:numPr>
        <w:spacing w:after="0"/>
        <w:ind w:right="870"/>
      </w:pPr>
      <w:r>
        <w:t>Волейбол популярен как среди мужчин, так и женщин. В него играют на любом спортивном отдыхе. В мире множество профессиональных и любительских волейбольных команд. Очень распространен волейбол в США, где является одной из любимейших игр населения. В волейбо</w:t>
      </w:r>
      <w:r>
        <w:t xml:space="preserve">л, занимающий второе </w:t>
      </w:r>
      <w:r>
        <w:lastRenderedPageBreak/>
        <w:t xml:space="preserve">место в списке самых популярных видов спорта, играют на пляже, в помещении, на улице. Именно универсальность игры сделала ее такой популярной. </w:t>
      </w:r>
    </w:p>
    <w:p w:rsidR="002C0F56" w:rsidRDefault="00E67C6E">
      <w:pPr>
        <w:numPr>
          <w:ilvl w:val="0"/>
          <w:numId w:val="139"/>
        </w:numPr>
        <w:ind w:right="870"/>
      </w:pPr>
      <w:r>
        <w:t>Баскетбол - цель игры состоит в забрасывании мяча в корзину, подвешенную на высоте 2,5-3 ме</w:t>
      </w:r>
      <w:r>
        <w:t>тра. Участники делятся на две команды по 12 человек. На поле играют по 5 игроков. Время игры: 4 периода по 10 минут. Баскетбол распространен по всему миру, но неимоверно популярен в США, которые считаются родиной этого популярного вида спорта, взявшего бро</w:t>
      </w:r>
      <w:r>
        <w:t xml:space="preserve">нзу нашего рейтинга. Самые сильные и дорогие игроки играют в НБА — национальной баскетбольной ассоциации, находящейся в штатах. </w:t>
      </w:r>
    </w:p>
    <w:p w:rsidR="002C0F56" w:rsidRDefault="00E67C6E">
      <w:pPr>
        <w:numPr>
          <w:ilvl w:val="0"/>
          <w:numId w:val="139"/>
        </w:numPr>
        <w:ind w:right="870"/>
      </w:pPr>
      <w:r>
        <w:t xml:space="preserve">Хоккей - </w:t>
      </w:r>
      <w:r>
        <w:t xml:space="preserve">цель игры: забить мяч или шайбу клюшками в ворота соперника. При этом надо передвигаться на коньках по льду. В эту игру, занимающую 4 место списка самых популярных видов спорта, играют физически развитые и выносливые люди. Ведь в хоккее очень много борьбы </w:t>
      </w:r>
      <w:r>
        <w:t>и физического напряжения. В этом плане игра похожа на регби, только на льду. Хоккей популярен в северных странах: Канаде, России, Швеции, Финляндии, США. Почти каждое из перечисленных государств множество раз становилось чемпионом мира по этому виду спорта</w:t>
      </w:r>
      <w:r>
        <w:t xml:space="preserve">. </w:t>
      </w:r>
    </w:p>
    <w:p w:rsidR="002C0F56" w:rsidRDefault="00E67C6E">
      <w:pPr>
        <w:ind w:left="165" w:right="867"/>
      </w:pPr>
      <w:r>
        <w:t>5.Большой теннис -  этот популярный вид спорта намного зрелищнее своего младшего собрата. Ведь в него играют на большом корте: травяном, грунтовом или синтетическом. Игрок должен обладать выносливостью, скоростью, реакцией, и умением анализировать ситуа</w:t>
      </w:r>
      <w:r>
        <w:t xml:space="preserve">цию. Существуют женские и мужские турниры по теннису. Самым популярным является турнир Большого шлема, включающий в себя чемпионаты Франции, Австралии, США и Уимблдона. В Большой теннис играют преимущественно в Америке и Европе. </w:t>
      </w:r>
    </w:p>
    <w:p w:rsidR="002C0F56" w:rsidRDefault="00E67C6E">
      <w:pPr>
        <w:numPr>
          <w:ilvl w:val="0"/>
          <w:numId w:val="140"/>
        </w:numPr>
        <w:ind w:right="870"/>
      </w:pPr>
      <w:r>
        <w:t>Регби - две команды, по 15</w:t>
      </w:r>
      <w:r>
        <w:t xml:space="preserve"> человек в каждой и 80 минут игрового времени (2 тайма по 40). Игроки каждой команды должны, передавая мяч друг другу руками и ногами, приземлиться в поле за территорией соперника, или забить мяч в H-образные ворота. Для игры в регби нужно иметь физически </w:t>
      </w:r>
      <w:r>
        <w:t>развитое тело, крепкие нервы и сильное здоровье. Игра, занимающая 6 место рейтинга самых популярных видов спорта в мире, распространена в Австралии, Новой Зеландии, Южной Африке, Аргентине. Периодически по регби проходят чемпионаты мира, что также способст</w:t>
      </w:r>
      <w:r>
        <w:t xml:space="preserve">вует популяризации игры. </w:t>
      </w:r>
    </w:p>
    <w:p w:rsidR="002C0F56" w:rsidRDefault="00E67C6E">
      <w:pPr>
        <w:numPr>
          <w:ilvl w:val="0"/>
          <w:numId w:val="140"/>
        </w:numPr>
        <w:ind w:right="870"/>
      </w:pPr>
      <w:r>
        <w:t>Настольный теннис - для игры требуется стол, разделенный сеткой, два игрока, две ракетки и мячик. Цель: отбивать мяч ракетками так, чтобы он не вылетел за пределы стола. Выйти на достойный уровень в настольном теннисе нелегко: нуж</w:t>
      </w:r>
      <w:r>
        <w:t>но обладать повышенной реакцией и концентрацией внимания. В процессе тренировок эти качества приходят сами по себе, владение ракеткой улучшается и мяч, посланный игроком, летит туда, куда нужно. Этот один из самых популярных видов спорта распространен везд</w:t>
      </w:r>
      <w:r>
        <w:t xml:space="preserve">е, в него играют миллионы </w:t>
      </w:r>
      <w:r>
        <w:lastRenderedPageBreak/>
        <w:t xml:space="preserve">людей. Большинство из них приходится на Китай. Теннисисты из этой страны стабильно привозят призовые места с международных турниров. </w:t>
      </w:r>
    </w:p>
    <w:p w:rsidR="002C0F56" w:rsidRDefault="00E67C6E">
      <w:pPr>
        <w:numPr>
          <w:ilvl w:val="0"/>
          <w:numId w:val="140"/>
        </w:numPr>
        <w:spacing w:after="0"/>
        <w:ind w:right="870"/>
      </w:pPr>
      <w:r>
        <w:t>Гольф - цель игры элементарные: нужно забить мячик клюшкой в 18 разных лунок, находящихся на тра</w:t>
      </w:r>
      <w:r>
        <w:t>вяном поле. Но не все так просто. Правила этой игры расписаны на 50 страниц! Дело в том, что в гольф играют на разных континентах, где погода существенно отличается друг от друга. Поэтому и правила в разных странах меняются. А их все нужно расписать! Гольф</w:t>
      </w:r>
      <w:r>
        <w:t xml:space="preserve"> по праву считается самым дорогим видом спорта. В него играют только богатые люди. Для того чтобы насладиться гольфом, нужно купить недешевое оборудование. Земля для игры должна быть с короткостриженой травой. Но купить землю может позволить себе не каждый</w:t>
      </w:r>
      <w:r>
        <w:t xml:space="preserve">. Поэтому для популяризации игры, занимающей 8 место рейтинга самых популярных видов спорта в мире, придумали мини-гольф. Правила те же, но площадка для игры меньше. Гольф популярен в Австралии и Америке. </w:t>
      </w:r>
    </w:p>
    <w:p w:rsidR="002C0F56" w:rsidRDefault="00E67C6E">
      <w:pPr>
        <w:numPr>
          <w:ilvl w:val="0"/>
          <w:numId w:val="140"/>
        </w:numPr>
        <w:ind w:right="870"/>
      </w:pPr>
      <w:r>
        <w:t>Бейсбол очень похож на русскую лапту. Для игры нуж</w:t>
      </w:r>
      <w:r>
        <w:t xml:space="preserve">ен мяч и бита (да, бейсбол очень напоминает крикет). В игре две команды: одна атакует, другая обороняется. Игроки атаки по очереди стоят у базы и отбивают мяч, посланный им, как можно дальше. Во время полета снаряда игроку нужно перебежать от одной базе к </w:t>
      </w:r>
      <w:r>
        <w:t xml:space="preserve">другой. Задача обороняющейся стороны поймать мяч и попасть им в бегущего игрока соперников. Бейсбол, являющийся одним из самых популярных видов спорта в мире, считается национальной игрой США. Он распространен в Канаде и на Кубе. </w:t>
      </w:r>
    </w:p>
    <w:p w:rsidR="002C0F56" w:rsidRDefault="00E67C6E">
      <w:pPr>
        <w:numPr>
          <w:ilvl w:val="0"/>
          <w:numId w:val="140"/>
        </w:numPr>
        <w:spacing w:after="0"/>
        <w:ind w:right="870"/>
      </w:pPr>
      <w:r>
        <w:t>Крикет - для игры в крике</w:t>
      </w:r>
      <w:r>
        <w:t>т нужны лишь две составляющие: мяч и бита. Собираются две команды по 11 человек в каждой. Играют на траве. У кого к концу игры будет больше очков, тот выиграл. Матч делится на несколько периодов (иннингов). Одна команда подающая, другая отбивающая. В следу</w:t>
      </w:r>
      <w:r>
        <w:t xml:space="preserve">ющем иннинге они, соответственно, меняются. Этот один из самых популярных видов спорта на планете распространен в Индии, Австралии, Южной Африке, Новой Зеландии. </w:t>
      </w:r>
    </w:p>
    <w:p w:rsidR="002C0F56" w:rsidRDefault="00E67C6E">
      <w:pPr>
        <w:spacing w:after="24" w:line="259" w:lineRule="auto"/>
        <w:ind w:left="0" w:right="55" w:firstLine="0"/>
        <w:jc w:val="center"/>
      </w:pPr>
      <w:r>
        <w:t xml:space="preserve"> </w:t>
      </w:r>
    </w:p>
    <w:p w:rsidR="002C0F56" w:rsidRDefault="00E67C6E">
      <w:pPr>
        <w:spacing w:after="15" w:line="268" w:lineRule="auto"/>
        <w:ind w:left="1262" w:right="1375" w:hanging="10"/>
        <w:jc w:val="center"/>
      </w:pPr>
      <w:r>
        <w:t xml:space="preserve">Список литературы: </w:t>
      </w:r>
    </w:p>
    <w:p w:rsidR="002C0F56" w:rsidRDefault="00E67C6E">
      <w:pPr>
        <w:ind w:left="165" w:right="302"/>
      </w:pPr>
      <w:r>
        <w:t>1.Грачев. Физическая культура. Уч. Курс.Издательство Ростов-на/Дону: Ма</w:t>
      </w:r>
      <w:r>
        <w:t xml:space="preserve">рТ, 2007 г. </w:t>
      </w:r>
    </w:p>
    <w:p w:rsidR="002C0F56" w:rsidRDefault="00E67C6E">
      <w:pPr>
        <w:ind w:left="744" w:right="302" w:firstLine="0"/>
      </w:pPr>
      <w:r>
        <w:t xml:space="preserve">2.Кун Л. Всемирная история физической культуры и спорта. Пер. с венгр. </w:t>
      </w:r>
    </w:p>
    <w:p w:rsidR="002C0F56" w:rsidRDefault="00E67C6E">
      <w:pPr>
        <w:spacing w:after="12"/>
        <w:ind w:left="165" w:right="302" w:firstLine="0"/>
      </w:pPr>
      <w:r>
        <w:t xml:space="preserve">Под общ.ред.В.В.Столбова.-М.: Радуга,1982 </w:t>
      </w:r>
    </w:p>
    <w:p w:rsidR="002C0F56" w:rsidRDefault="00E67C6E">
      <w:pPr>
        <w:ind w:left="165" w:right="302"/>
      </w:pPr>
      <w:r>
        <w:t xml:space="preserve">3.Физическая культура (курс лекций): Учебное пособие/Под ред.Волковой Л.М., Половникова П.В.: СПбГТУ, СПб,1998.-153 с. </w:t>
      </w:r>
    </w:p>
    <w:p w:rsidR="002C0F56" w:rsidRDefault="00E67C6E">
      <w:pPr>
        <w:spacing w:after="0" w:line="259" w:lineRule="auto"/>
        <w:ind w:left="744" w:firstLine="0"/>
        <w:jc w:val="left"/>
      </w:pPr>
      <w:r>
        <w:rPr>
          <w:b/>
          <w:i/>
        </w:rPr>
        <w:t xml:space="preserve"> </w:t>
      </w:r>
    </w:p>
    <w:p w:rsidR="002C0F56" w:rsidRDefault="00E67C6E">
      <w:pPr>
        <w:spacing w:after="0" w:line="259" w:lineRule="auto"/>
        <w:ind w:left="744" w:firstLine="0"/>
        <w:jc w:val="left"/>
      </w:pPr>
      <w:r>
        <w:rPr>
          <w:b/>
          <w:i/>
        </w:rPr>
        <w:t xml:space="preserve"> </w:t>
      </w:r>
    </w:p>
    <w:p w:rsidR="002C0F56" w:rsidRDefault="00E67C6E">
      <w:pPr>
        <w:spacing w:after="0" w:line="259" w:lineRule="auto"/>
        <w:ind w:left="744" w:firstLine="0"/>
        <w:jc w:val="left"/>
      </w:pPr>
      <w:r>
        <w:rPr>
          <w:b/>
          <w:i/>
        </w:rPr>
        <w:lastRenderedPageBreak/>
        <w:t xml:space="preserve"> </w:t>
      </w:r>
    </w:p>
    <w:p w:rsidR="002C0F56" w:rsidRDefault="00E67C6E">
      <w:pPr>
        <w:spacing w:after="0" w:line="259" w:lineRule="auto"/>
        <w:ind w:left="744" w:firstLine="0"/>
        <w:jc w:val="left"/>
      </w:pPr>
      <w:r>
        <w:rPr>
          <w:b/>
          <w:i/>
        </w:rPr>
        <w:t xml:space="preserve"> </w:t>
      </w:r>
    </w:p>
    <w:p w:rsidR="002C0F56" w:rsidRDefault="00E67C6E">
      <w:pPr>
        <w:spacing w:after="0" w:line="259" w:lineRule="auto"/>
        <w:ind w:left="744" w:firstLine="0"/>
        <w:jc w:val="left"/>
      </w:pPr>
      <w:r>
        <w:rPr>
          <w:b/>
          <w:i/>
        </w:rPr>
        <w:t xml:space="preserve"> </w:t>
      </w:r>
    </w:p>
    <w:p w:rsidR="002C0F56" w:rsidRDefault="00E67C6E">
      <w:pPr>
        <w:spacing w:after="0" w:line="259" w:lineRule="auto"/>
        <w:ind w:left="744" w:firstLine="0"/>
        <w:jc w:val="left"/>
      </w:pPr>
      <w:r>
        <w:rPr>
          <w:b/>
          <w:i/>
        </w:rPr>
        <w:t xml:space="preserve"> </w:t>
      </w:r>
    </w:p>
    <w:p w:rsidR="002C0F56" w:rsidRDefault="00E67C6E">
      <w:pPr>
        <w:spacing w:after="0" w:line="259" w:lineRule="auto"/>
        <w:ind w:left="744" w:firstLine="0"/>
        <w:jc w:val="left"/>
      </w:pPr>
      <w:r>
        <w:rPr>
          <w:b/>
          <w:i/>
        </w:rPr>
        <w:t xml:space="preserve"> </w:t>
      </w:r>
    </w:p>
    <w:p w:rsidR="002C0F56" w:rsidRDefault="00E67C6E">
      <w:pPr>
        <w:spacing w:after="0" w:line="259" w:lineRule="auto"/>
        <w:ind w:left="744" w:firstLine="0"/>
        <w:jc w:val="left"/>
      </w:pPr>
      <w:r>
        <w:rPr>
          <w:b/>
          <w:i/>
        </w:rPr>
        <w:t xml:space="preserve"> </w:t>
      </w:r>
    </w:p>
    <w:p w:rsidR="002C0F56" w:rsidRDefault="00E67C6E">
      <w:pPr>
        <w:pStyle w:val="1"/>
        <w:spacing w:after="11"/>
        <w:ind w:left="3419" w:right="862"/>
        <w:jc w:val="right"/>
      </w:pPr>
      <w:r>
        <w:t xml:space="preserve">Либерман И.Э. </w:t>
      </w:r>
      <w:r>
        <w:rPr>
          <w:b w:val="0"/>
        </w:rPr>
        <w:t xml:space="preserve">Научный руководитель: Балабанова Л.В, д.э.н., проф. </w:t>
      </w:r>
    </w:p>
    <w:p w:rsidR="002C0F56" w:rsidRDefault="00E67C6E">
      <w:pPr>
        <w:spacing w:after="0" w:line="267" w:lineRule="auto"/>
        <w:ind w:left="905" w:right="860" w:hanging="10"/>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860" w:hanging="10"/>
        <w:jc w:val="right"/>
      </w:pPr>
      <w:r>
        <w:rPr>
          <w:i/>
        </w:rPr>
        <w:t xml:space="preserve">Михаила Туган-Барановского  </w:t>
      </w:r>
    </w:p>
    <w:p w:rsidR="002C0F56" w:rsidRDefault="00E67C6E">
      <w:pPr>
        <w:spacing w:after="0" w:line="259" w:lineRule="auto"/>
        <w:ind w:left="744" w:firstLine="0"/>
        <w:jc w:val="left"/>
      </w:pPr>
      <w:r>
        <w:t xml:space="preserve"> </w:t>
      </w:r>
    </w:p>
    <w:p w:rsidR="002C0F56" w:rsidRDefault="00E67C6E">
      <w:pPr>
        <w:pStyle w:val="1"/>
        <w:ind w:left="700" w:right="1377"/>
      </w:pPr>
      <w:r>
        <w:t>УПРАВЛЕНИЕ ПЕРСОНАЛОМ ПРЕДПРИЯТИЯ НА ОСНОВЕ СИСТЕМНОГО ПОДХОДА В УСЛОВИЯХ МАРКЕТИНГОВОЙ</w:t>
      </w:r>
      <w:r>
        <w:t xml:space="preserve"> ОРИЕНТАЦИИ </w:t>
      </w:r>
    </w:p>
    <w:p w:rsidR="002C0F56" w:rsidRDefault="00E67C6E">
      <w:pPr>
        <w:spacing w:after="0" w:line="259" w:lineRule="auto"/>
        <w:ind w:left="744" w:firstLine="0"/>
        <w:jc w:val="left"/>
      </w:pPr>
      <w:r>
        <w:t xml:space="preserve"> </w:t>
      </w:r>
    </w:p>
    <w:p w:rsidR="002C0F56" w:rsidRDefault="00E67C6E">
      <w:pPr>
        <w:ind w:left="165" w:right="866"/>
      </w:pPr>
      <w:r>
        <w:t>Представленная работа затрагивает актуальную тему, поскольку в условиях рыночной экономики наиболее важным источником успеха предприятия в конкурентной борьбе является его персонал. Это обусловлено тем, что именно персонал способен организов</w:t>
      </w:r>
      <w:r>
        <w:t xml:space="preserve">ать работу предприятия в заданном векторе и обеспечить достижение установленных целей предприятия. В связи с этим возникает объективная необходимость, поиска новых механизмов, инструментов управления персоналом для обеспечения его эффективной работы. </w:t>
      </w:r>
    </w:p>
    <w:p w:rsidR="002C0F56" w:rsidRDefault="00E67C6E">
      <w:pPr>
        <w:ind w:left="165" w:right="870"/>
      </w:pPr>
      <w:r>
        <w:t>Упра</w:t>
      </w:r>
      <w:r>
        <w:t>вление персоналом – целенаправленное воздействие на персонал с целью наиболее полного использования его потенциала. Для того, чтобы использовать потенциал, нужно создать материальные условия, духовные, социальные, и своевременно обучать персонал новым техн</w:t>
      </w:r>
      <w:r>
        <w:t>ологиям и т.п. Специалисты отмечают, что пока на фирме не существует проблем с персоналом, на управление этими ресурсами обращают мало внимания. Понимание важности управления персоналом приходит только тогда, когда становится ясно, что прибыль фирме принос</w:t>
      </w:r>
      <w:r>
        <w:t xml:space="preserve">ит именно персонал.  </w:t>
      </w:r>
    </w:p>
    <w:p w:rsidR="002C0F56" w:rsidRDefault="00E67C6E">
      <w:pPr>
        <w:spacing w:after="2"/>
        <w:ind w:left="165" w:right="873"/>
      </w:pPr>
      <w:r>
        <w:t xml:space="preserve">Цель статьи – </w:t>
      </w:r>
      <w:r>
        <w:t xml:space="preserve">обоснование необходимости использования системного подхода к процессе управления персоналом в условиях маркетинговой ориентации, поиск новых механизмов, инструментов управления персоналом для обеспечения его эффективной работы. </w:t>
      </w:r>
    </w:p>
    <w:p w:rsidR="002C0F56" w:rsidRDefault="00E67C6E">
      <w:pPr>
        <w:ind w:left="165" w:right="866"/>
      </w:pPr>
      <w:r>
        <w:t>Главными элементами системы</w:t>
      </w:r>
      <w:r>
        <w:t xml:space="preserve"> управления являются люди, которые одновременно выступают объектом и субъектом управления. Способность человеческих ресурсов одновременно выступать как объектом, так и субъектом управления - основная специфическая особенность управления. Система </w:t>
      </w:r>
      <w:r>
        <w:lastRenderedPageBreak/>
        <w:t>управления</w:t>
      </w:r>
      <w:r>
        <w:t xml:space="preserve"> персоналом в организации состоит из комплекса взаимосвязанных подсистем (элементов).  </w:t>
      </w:r>
    </w:p>
    <w:p w:rsidR="002C0F56" w:rsidRDefault="00E67C6E">
      <w:pPr>
        <w:spacing w:after="1"/>
        <w:ind w:left="165" w:right="870"/>
      </w:pPr>
      <w:r>
        <w:t>Подсистема - это выделенные по функциональным элементам или организационным признакам части системы, каждая из которых выполняет определенные задания, работает автономн</w:t>
      </w:r>
      <w:r>
        <w:t xml:space="preserve">о, но направлена на решение общей цели. </w:t>
      </w:r>
    </w:p>
    <w:p w:rsidR="002C0F56" w:rsidRDefault="00E67C6E">
      <w:pPr>
        <w:ind w:left="165" w:right="302"/>
      </w:pPr>
      <w:r>
        <w:t xml:space="preserve">Традиционно выделяют подсистемы, соответствующие основным функциям управления человеческими ресурсами (рисунок 1).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tabs>
          <w:tab w:val="center" w:pos="744"/>
          <w:tab w:val="center" w:pos="4992"/>
        </w:tabs>
        <w:spacing w:after="71" w:line="271" w:lineRule="auto"/>
        <w:ind w:left="0" w:firstLine="0"/>
        <w:jc w:val="left"/>
      </w:pPr>
      <w:r>
        <w:rPr>
          <w:rFonts w:ascii="Calibri" w:eastAsia="Calibri" w:hAnsi="Calibri" w:cs="Calibri"/>
          <w:sz w:val="22"/>
        </w:rPr>
        <w:tab/>
      </w:r>
      <w:r>
        <w:t xml:space="preserve"> </w:t>
      </w:r>
      <w:r>
        <w:tab/>
      </w:r>
      <w:r>
        <w:rPr>
          <w:b/>
          <w:sz w:val="24"/>
        </w:rPr>
        <w:t xml:space="preserve">Система управления персоналом предприятия </w:t>
      </w:r>
    </w:p>
    <w:p w:rsidR="002C0F56" w:rsidRDefault="00E67C6E">
      <w:pPr>
        <w:spacing w:after="24" w:line="259" w:lineRule="auto"/>
        <w:ind w:left="744" w:firstLine="0"/>
        <w:jc w:val="left"/>
      </w:pPr>
      <w:r>
        <w:t xml:space="preserve"> </w:t>
      </w:r>
    </w:p>
    <w:p w:rsidR="002C0F56" w:rsidRDefault="00E67C6E">
      <w:pPr>
        <w:numPr>
          <w:ilvl w:val="0"/>
          <w:numId w:val="141"/>
        </w:numPr>
        <w:spacing w:after="175" w:line="267" w:lineRule="auto"/>
        <w:ind w:right="728" w:hanging="144"/>
        <w:jc w:val="left"/>
      </w:pPr>
      <w:r>
        <w:rPr>
          <w:sz w:val="20"/>
        </w:rPr>
        <w:t xml:space="preserve">Подсистема общего и линейного руководства, осуществляет управление предприятием в целом, управление </w:t>
      </w:r>
      <w:r>
        <w:t xml:space="preserve"> </w:t>
      </w:r>
      <w:r>
        <w:rPr>
          <w:sz w:val="20"/>
        </w:rPr>
        <w:t>отдельными функциональными и производственными подразделениями</w:t>
      </w:r>
      <w:r>
        <w:t xml:space="preserve"> </w:t>
      </w:r>
      <w:r>
        <w:tab/>
      </w:r>
      <w:r>
        <w:rPr>
          <w:sz w:val="20"/>
        </w:rPr>
        <w:t xml:space="preserve"> </w:t>
      </w:r>
    </w:p>
    <w:p w:rsidR="002C0F56" w:rsidRDefault="00E67C6E">
      <w:pPr>
        <w:numPr>
          <w:ilvl w:val="0"/>
          <w:numId w:val="141"/>
        </w:numPr>
        <w:spacing w:after="59" w:line="291" w:lineRule="auto"/>
        <w:ind w:right="728" w:hanging="144"/>
        <w:jc w:val="left"/>
      </w:pPr>
      <w:r>
        <w:rPr>
          <w:sz w:val="20"/>
        </w:rPr>
        <w:t>Подсистема планирования и маркетинга, выполняет разработку кадровой политики, стратегии у</w:t>
      </w:r>
      <w:r>
        <w:rPr>
          <w:sz w:val="20"/>
        </w:rPr>
        <w:t xml:space="preserve">правления </w:t>
      </w:r>
      <w:r>
        <w:t xml:space="preserve"> </w:t>
      </w:r>
      <w:r>
        <w:rPr>
          <w:sz w:val="20"/>
        </w:rPr>
        <w:t>персоналом, анализ кадрового потенциала, рынка труда, организацию кадрового планирования и прогнозирования потребност</w:t>
      </w:r>
      <w:r>
        <w:t xml:space="preserve"> </w:t>
      </w:r>
      <w:r>
        <w:rPr>
          <w:sz w:val="20"/>
        </w:rPr>
        <w:t xml:space="preserve">и в персонале, организацию рекламы </w:t>
      </w:r>
    </w:p>
    <w:p w:rsidR="002C0F56" w:rsidRDefault="00E67C6E">
      <w:pPr>
        <w:numPr>
          <w:ilvl w:val="0"/>
          <w:numId w:val="141"/>
        </w:numPr>
        <w:spacing w:after="5" w:line="267" w:lineRule="auto"/>
        <w:ind w:right="728" w:hanging="144"/>
        <w:jc w:val="left"/>
      </w:pPr>
      <w:r>
        <w:rPr>
          <w:sz w:val="20"/>
        </w:rPr>
        <w:t>Подсистема управления набором</w:t>
      </w:r>
      <w:r>
        <w:t xml:space="preserve"> </w:t>
      </w:r>
      <w:r>
        <w:tab/>
      </w:r>
      <w:r>
        <w:rPr>
          <w:sz w:val="20"/>
        </w:rPr>
        <w:t xml:space="preserve"> </w:t>
      </w:r>
      <w:r>
        <w:rPr>
          <w:sz w:val="20"/>
        </w:rPr>
        <w:t xml:space="preserve">и учетом персонала. Осуществляет организацию привлечения и отбора персонала, учет зачисления, перемещения, поощрения и увольнения персонала, профессиональную ориентацию, </w:t>
      </w:r>
      <w:r>
        <w:t xml:space="preserve"> </w:t>
      </w:r>
      <w:r>
        <w:rPr>
          <w:sz w:val="20"/>
        </w:rPr>
        <w:t>организацию рационального использования персонала, управление занятостью, дело произв</w:t>
      </w:r>
      <w:r>
        <w:rPr>
          <w:sz w:val="20"/>
        </w:rPr>
        <w:t>одство системы управления персоналом</w:t>
      </w:r>
      <w:r>
        <w:t xml:space="preserve"> </w:t>
      </w:r>
      <w:r>
        <w:tab/>
      </w:r>
      <w:r>
        <w:rPr>
          <w:sz w:val="20"/>
        </w:rPr>
        <w:t xml:space="preserve"> </w:t>
      </w:r>
    </w:p>
    <w:p w:rsidR="002C0F56" w:rsidRDefault="00E67C6E">
      <w:pPr>
        <w:spacing w:after="0" w:line="259" w:lineRule="auto"/>
        <w:ind w:left="744" w:firstLine="0"/>
        <w:jc w:val="left"/>
      </w:pPr>
      <w:r>
        <w:t xml:space="preserve"> </w:t>
      </w:r>
    </w:p>
    <w:p w:rsidR="002C0F56" w:rsidRDefault="00E67C6E">
      <w:pPr>
        <w:numPr>
          <w:ilvl w:val="0"/>
          <w:numId w:val="141"/>
        </w:numPr>
        <w:spacing w:after="5" w:line="267" w:lineRule="auto"/>
        <w:ind w:right="728" w:hanging="144"/>
        <w:jc w:val="left"/>
      </w:pPr>
      <w:r>
        <w:rPr>
          <w:sz w:val="20"/>
        </w:rPr>
        <w:t xml:space="preserve">Подсистема управления трудовыми отношениями. Проводит анализ и регулирование групповых и личностных </w:t>
      </w:r>
    </w:p>
    <w:p w:rsidR="002C0F56" w:rsidRDefault="00E67C6E">
      <w:pPr>
        <w:spacing w:after="0" w:line="259" w:lineRule="auto"/>
        <w:ind w:left="744" w:firstLine="0"/>
        <w:jc w:val="left"/>
      </w:pPr>
      <w:r>
        <w:t xml:space="preserve"> </w:t>
      </w:r>
    </w:p>
    <w:p w:rsidR="002C0F56" w:rsidRDefault="00E67C6E">
      <w:pPr>
        <w:spacing w:after="75" w:line="267" w:lineRule="auto"/>
        <w:ind w:left="36" w:right="728" w:hanging="10"/>
        <w:jc w:val="left"/>
      </w:pPr>
      <w:r>
        <w:rPr>
          <w:rFonts w:ascii="Calibri" w:eastAsia="Calibri" w:hAnsi="Calibri" w:cs="Calibri"/>
          <w:noProof/>
          <w:sz w:val="22"/>
        </w:rPr>
        <mc:AlternateContent>
          <mc:Choice Requires="wpg">
            <w:drawing>
              <wp:anchor distT="0" distB="0" distL="114300" distR="114300" simplePos="0" relativeHeight="251666432" behindDoc="1" locked="0" layoutInCell="1" allowOverlap="1">
                <wp:simplePos x="0" y="0"/>
                <wp:positionH relativeFrom="column">
                  <wp:posOffset>762</wp:posOffset>
                </wp:positionH>
                <wp:positionV relativeFrom="paragraph">
                  <wp:posOffset>-2219971</wp:posOffset>
                </wp:positionV>
                <wp:extent cx="6336030" cy="5597524"/>
                <wp:effectExtent l="0" t="0" r="0" b="0"/>
                <wp:wrapNone/>
                <wp:docPr id="620051" name="Group 620051"/>
                <wp:cNvGraphicFramePr/>
                <a:graphic xmlns:a="http://schemas.openxmlformats.org/drawingml/2006/main">
                  <a:graphicData uri="http://schemas.microsoft.com/office/word/2010/wordprocessingGroup">
                    <wpg:wgp>
                      <wpg:cNvGrpSpPr/>
                      <wpg:grpSpPr>
                        <a:xfrm>
                          <a:off x="0" y="0"/>
                          <a:ext cx="6336030" cy="5597524"/>
                          <a:chOff x="0" y="0"/>
                          <a:chExt cx="6336030" cy="5597524"/>
                        </a:xfrm>
                      </wpg:grpSpPr>
                      <wps:wsp>
                        <wps:cNvPr id="47207" name="Shape 47207"/>
                        <wps:cNvSpPr/>
                        <wps:spPr>
                          <a:xfrm>
                            <a:off x="1905" y="0"/>
                            <a:ext cx="6334125" cy="289560"/>
                          </a:xfrm>
                          <a:custGeom>
                            <a:avLst/>
                            <a:gdLst/>
                            <a:ahLst/>
                            <a:cxnLst/>
                            <a:rect l="0" t="0" r="0" b="0"/>
                            <a:pathLst>
                              <a:path w="6334125" h="289560">
                                <a:moveTo>
                                  <a:pt x="0" y="289560"/>
                                </a:moveTo>
                                <a:lnTo>
                                  <a:pt x="6334125" y="28956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210" name="Shape 47210"/>
                        <wps:cNvSpPr/>
                        <wps:spPr>
                          <a:xfrm>
                            <a:off x="3190875" y="289560"/>
                            <a:ext cx="76200" cy="193040"/>
                          </a:xfrm>
                          <a:custGeom>
                            <a:avLst/>
                            <a:gdLst/>
                            <a:ahLst/>
                            <a:cxnLst/>
                            <a:rect l="0" t="0" r="0" b="0"/>
                            <a:pathLst>
                              <a:path w="76200" h="193040">
                                <a:moveTo>
                                  <a:pt x="31750" y="0"/>
                                </a:moveTo>
                                <a:lnTo>
                                  <a:pt x="44450" y="0"/>
                                </a:lnTo>
                                <a:lnTo>
                                  <a:pt x="44450" y="116840"/>
                                </a:lnTo>
                                <a:lnTo>
                                  <a:pt x="76200" y="116840"/>
                                </a:lnTo>
                                <a:lnTo>
                                  <a:pt x="38100" y="193040"/>
                                </a:lnTo>
                                <a:lnTo>
                                  <a:pt x="0" y="116840"/>
                                </a:lnTo>
                                <a:lnTo>
                                  <a:pt x="31750" y="116840"/>
                                </a:lnTo>
                                <a:lnTo>
                                  <a:pt x="3175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705083" name="Shape 705083"/>
                        <wps:cNvSpPr/>
                        <wps:spPr>
                          <a:xfrm>
                            <a:off x="1905" y="482599"/>
                            <a:ext cx="6334125" cy="386080"/>
                          </a:xfrm>
                          <a:custGeom>
                            <a:avLst/>
                            <a:gdLst/>
                            <a:ahLst/>
                            <a:cxnLst/>
                            <a:rect l="0" t="0" r="0" b="0"/>
                            <a:pathLst>
                              <a:path w="6334125" h="386080">
                                <a:moveTo>
                                  <a:pt x="0" y="0"/>
                                </a:moveTo>
                                <a:lnTo>
                                  <a:pt x="6334125" y="0"/>
                                </a:lnTo>
                                <a:lnTo>
                                  <a:pt x="6334125" y="386080"/>
                                </a:lnTo>
                                <a:lnTo>
                                  <a:pt x="0" y="38608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12" name="Shape 47212"/>
                        <wps:cNvSpPr/>
                        <wps:spPr>
                          <a:xfrm>
                            <a:off x="1905" y="482599"/>
                            <a:ext cx="6334125" cy="386080"/>
                          </a:xfrm>
                          <a:custGeom>
                            <a:avLst/>
                            <a:gdLst/>
                            <a:ahLst/>
                            <a:cxnLst/>
                            <a:rect l="0" t="0" r="0" b="0"/>
                            <a:pathLst>
                              <a:path w="6334125" h="386080">
                                <a:moveTo>
                                  <a:pt x="0" y="386080"/>
                                </a:moveTo>
                                <a:lnTo>
                                  <a:pt x="6334125" y="38608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84" name="Shape 705084"/>
                        <wps:cNvSpPr/>
                        <wps:spPr>
                          <a:xfrm>
                            <a:off x="1905" y="868680"/>
                            <a:ext cx="6334125" cy="482600"/>
                          </a:xfrm>
                          <a:custGeom>
                            <a:avLst/>
                            <a:gdLst/>
                            <a:ahLst/>
                            <a:cxnLst/>
                            <a:rect l="0" t="0" r="0" b="0"/>
                            <a:pathLst>
                              <a:path w="6334125" h="482600">
                                <a:moveTo>
                                  <a:pt x="0" y="0"/>
                                </a:moveTo>
                                <a:lnTo>
                                  <a:pt x="6334125" y="0"/>
                                </a:lnTo>
                                <a:lnTo>
                                  <a:pt x="6334125" y="482600"/>
                                </a:lnTo>
                                <a:lnTo>
                                  <a:pt x="0" y="48260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17" name="Shape 47217"/>
                        <wps:cNvSpPr/>
                        <wps:spPr>
                          <a:xfrm>
                            <a:off x="1905" y="868680"/>
                            <a:ext cx="6334125" cy="482600"/>
                          </a:xfrm>
                          <a:custGeom>
                            <a:avLst/>
                            <a:gdLst/>
                            <a:ahLst/>
                            <a:cxnLst/>
                            <a:rect l="0" t="0" r="0" b="0"/>
                            <a:pathLst>
                              <a:path w="6334125" h="482600">
                                <a:moveTo>
                                  <a:pt x="0" y="482600"/>
                                </a:moveTo>
                                <a:lnTo>
                                  <a:pt x="6334125" y="48260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85" name="Shape 705085"/>
                        <wps:cNvSpPr/>
                        <wps:spPr>
                          <a:xfrm>
                            <a:off x="1905" y="1351280"/>
                            <a:ext cx="6334125" cy="675640"/>
                          </a:xfrm>
                          <a:custGeom>
                            <a:avLst/>
                            <a:gdLst/>
                            <a:ahLst/>
                            <a:cxnLst/>
                            <a:rect l="0" t="0" r="0" b="0"/>
                            <a:pathLst>
                              <a:path w="6334125" h="675640">
                                <a:moveTo>
                                  <a:pt x="0" y="0"/>
                                </a:moveTo>
                                <a:lnTo>
                                  <a:pt x="6334125" y="0"/>
                                </a:lnTo>
                                <a:lnTo>
                                  <a:pt x="6334125" y="675640"/>
                                </a:lnTo>
                                <a:lnTo>
                                  <a:pt x="0" y="67564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24" name="Shape 47224"/>
                        <wps:cNvSpPr/>
                        <wps:spPr>
                          <a:xfrm>
                            <a:off x="1905" y="1351280"/>
                            <a:ext cx="6334125" cy="675640"/>
                          </a:xfrm>
                          <a:custGeom>
                            <a:avLst/>
                            <a:gdLst/>
                            <a:ahLst/>
                            <a:cxnLst/>
                            <a:rect l="0" t="0" r="0" b="0"/>
                            <a:pathLst>
                              <a:path w="6334125" h="675640">
                                <a:moveTo>
                                  <a:pt x="0" y="675640"/>
                                </a:moveTo>
                                <a:lnTo>
                                  <a:pt x="6334125" y="67564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86" name="Shape 705086"/>
                        <wps:cNvSpPr/>
                        <wps:spPr>
                          <a:xfrm>
                            <a:off x="1905" y="2026920"/>
                            <a:ext cx="6334125" cy="675640"/>
                          </a:xfrm>
                          <a:custGeom>
                            <a:avLst/>
                            <a:gdLst/>
                            <a:ahLst/>
                            <a:cxnLst/>
                            <a:rect l="0" t="0" r="0" b="0"/>
                            <a:pathLst>
                              <a:path w="6334125" h="675640">
                                <a:moveTo>
                                  <a:pt x="0" y="0"/>
                                </a:moveTo>
                                <a:lnTo>
                                  <a:pt x="6334125" y="0"/>
                                </a:lnTo>
                                <a:lnTo>
                                  <a:pt x="6334125" y="675640"/>
                                </a:lnTo>
                                <a:lnTo>
                                  <a:pt x="0" y="67564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34" name="Shape 47234"/>
                        <wps:cNvSpPr/>
                        <wps:spPr>
                          <a:xfrm>
                            <a:off x="1905" y="2026920"/>
                            <a:ext cx="6334125" cy="675640"/>
                          </a:xfrm>
                          <a:custGeom>
                            <a:avLst/>
                            <a:gdLst/>
                            <a:ahLst/>
                            <a:cxnLst/>
                            <a:rect l="0" t="0" r="0" b="0"/>
                            <a:pathLst>
                              <a:path w="6334125" h="675640">
                                <a:moveTo>
                                  <a:pt x="0" y="675640"/>
                                </a:moveTo>
                                <a:lnTo>
                                  <a:pt x="6334125" y="67564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87" name="Shape 705087"/>
                        <wps:cNvSpPr/>
                        <wps:spPr>
                          <a:xfrm>
                            <a:off x="1905" y="2702560"/>
                            <a:ext cx="6334125" cy="481965"/>
                          </a:xfrm>
                          <a:custGeom>
                            <a:avLst/>
                            <a:gdLst/>
                            <a:ahLst/>
                            <a:cxnLst/>
                            <a:rect l="0" t="0" r="0" b="0"/>
                            <a:pathLst>
                              <a:path w="6334125" h="481965">
                                <a:moveTo>
                                  <a:pt x="0" y="0"/>
                                </a:moveTo>
                                <a:lnTo>
                                  <a:pt x="6334125" y="0"/>
                                </a:lnTo>
                                <a:lnTo>
                                  <a:pt x="6334125" y="481965"/>
                                </a:lnTo>
                                <a:lnTo>
                                  <a:pt x="0" y="481965"/>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43" name="Shape 47243"/>
                        <wps:cNvSpPr/>
                        <wps:spPr>
                          <a:xfrm>
                            <a:off x="1905" y="2702560"/>
                            <a:ext cx="6334125" cy="481965"/>
                          </a:xfrm>
                          <a:custGeom>
                            <a:avLst/>
                            <a:gdLst/>
                            <a:ahLst/>
                            <a:cxnLst/>
                            <a:rect l="0" t="0" r="0" b="0"/>
                            <a:pathLst>
                              <a:path w="6334125" h="481965">
                                <a:moveTo>
                                  <a:pt x="0" y="481965"/>
                                </a:moveTo>
                                <a:lnTo>
                                  <a:pt x="6334125" y="481965"/>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88" name="Shape 705088"/>
                        <wps:cNvSpPr/>
                        <wps:spPr>
                          <a:xfrm>
                            <a:off x="1905" y="3184525"/>
                            <a:ext cx="6334125" cy="675640"/>
                          </a:xfrm>
                          <a:custGeom>
                            <a:avLst/>
                            <a:gdLst/>
                            <a:ahLst/>
                            <a:cxnLst/>
                            <a:rect l="0" t="0" r="0" b="0"/>
                            <a:pathLst>
                              <a:path w="6334125" h="675640">
                                <a:moveTo>
                                  <a:pt x="0" y="0"/>
                                </a:moveTo>
                                <a:lnTo>
                                  <a:pt x="6334125" y="0"/>
                                </a:lnTo>
                                <a:lnTo>
                                  <a:pt x="6334125" y="675640"/>
                                </a:lnTo>
                                <a:lnTo>
                                  <a:pt x="0" y="67564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51" name="Shape 47251"/>
                        <wps:cNvSpPr/>
                        <wps:spPr>
                          <a:xfrm>
                            <a:off x="1905" y="3184525"/>
                            <a:ext cx="6334125" cy="675640"/>
                          </a:xfrm>
                          <a:custGeom>
                            <a:avLst/>
                            <a:gdLst/>
                            <a:ahLst/>
                            <a:cxnLst/>
                            <a:rect l="0" t="0" r="0" b="0"/>
                            <a:pathLst>
                              <a:path w="6334125" h="675640">
                                <a:moveTo>
                                  <a:pt x="0" y="675640"/>
                                </a:moveTo>
                                <a:lnTo>
                                  <a:pt x="6334125" y="67564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89" name="Shape 705089"/>
                        <wps:cNvSpPr/>
                        <wps:spPr>
                          <a:xfrm>
                            <a:off x="1905" y="3860165"/>
                            <a:ext cx="6334125" cy="482600"/>
                          </a:xfrm>
                          <a:custGeom>
                            <a:avLst/>
                            <a:gdLst/>
                            <a:ahLst/>
                            <a:cxnLst/>
                            <a:rect l="0" t="0" r="0" b="0"/>
                            <a:pathLst>
                              <a:path w="6334125" h="482600">
                                <a:moveTo>
                                  <a:pt x="0" y="0"/>
                                </a:moveTo>
                                <a:lnTo>
                                  <a:pt x="6334125" y="0"/>
                                </a:lnTo>
                                <a:lnTo>
                                  <a:pt x="6334125" y="482600"/>
                                </a:lnTo>
                                <a:lnTo>
                                  <a:pt x="0" y="48260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62" name="Shape 47262"/>
                        <wps:cNvSpPr/>
                        <wps:spPr>
                          <a:xfrm>
                            <a:off x="1905" y="3860165"/>
                            <a:ext cx="6334125" cy="482600"/>
                          </a:xfrm>
                          <a:custGeom>
                            <a:avLst/>
                            <a:gdLst/>
                            <a:ahLst/>
                            <a:cxnLst/>
                            <a:rect l="0" t="0" r="0" b="0"/>
                            <a:pathLst>
                              <a:path w="6334125" h="482600">
                                <a:moveTo>
                                  <a:pt x="0" y="482600"/>
                                </a:moveTo>
                                <a:lnTo>
                                  <a:pt x="6334125" y="48260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90" name="Shape 705090"/>
                        <wps:cNvSpPr/>
                        <wps:spPr>
                          <a:xfrm>
                            <a:off x="1905" y="4342765"/>
                            <a:ext cx="6334125" cy="675640"/>
                          </a:xfrm>
                          <a:custGeom>
                            <a:avLst/>
                            <a:gdLst/>
                            <a:ahLst/>
                            <a:cxnLst/>
                            <a:rect l="0" t="0" r="0" b="0"/>
                            <a:pathLst>
                              <a:path w="6334125" h="675640">
                                <a:moveTo>
                                  <a:pt x="0" y="0"/>
                                </a:moveTo>
                                <a:lnTo>
                                  <a:pt x="6334125" y="0"/>
                                </a:lnTo>
                                <a:lnTo>
                                  <a:pt x="6334125" y="675640"/>
                                </a:lnTo>
                                <a:lnTo>
                                  <a:pt x="0" y="67564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69" name="Shape 47269"/>
                        <wps:cNvSpPr/>
                        <wps:spPr>
                          <a:xfrm>
                            <a:off x="1905" y="4342765"/>
                            <a:ext cx="6334125" cy="675640"/>
                          </a:xfrm>
                          <a:custGeom>
                            <a:avLst/>
                            <a:gdLst/>
                            <a:ahLst/>
                            <a:cxnLst/>
                            <a:rect l="0" t="0" r="0" b="0"/>
                            <a:pathLst>
                              <a:path w="6334125" h="675640">
                                <a:moveTo>
                                  <a:pt x="0" y="675640"/>
                                </a:moveTo>
                                <a:lnTo>
                                  <a:pt x="6334125" y="67564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91" name="Shape 705091"/>
                        <wps:cNvSpPr/>
                        <wps:spPr>
                          <a:xfrm>
                            <a:off x="0" y="5018405"/>
                            <a:ext cx="6334125" cy="193040"/>
                          </a:xfrm>
                          <a:custGeom>
                            <a:avLst/>
                            <a:gdLst/>
                            <a:ahLst/>
                            <a:cxnLst/>
                            <a:rect l="0" t="0" r="0" b="0"/>
                            <a:pathLst>
                              <a:path w="6334125" h="193040">
                                <a:moveTo>
                                  <a:pt x="0" y="0"/>
                                </a:moveTo>
                                <a:lnTo>
                                  <a:pt x="6334125" y="0"/>
                                </a:lnTo>
                                <a:lnTo>
                                  <a:pt x="6334125" y="193040"/>
                                </a:lnTo>
                                <a:lnTo>
                                  <a:pt x="0" y="19304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77" name="Shape 47277"/>
                        <wps:cNvSpPr/>
                        <wps:spPr>
                          <a:xfrm>
                            <a:off x="0" y="5018405"/>
                            <a:ext cx="6334125" cy="193040"/>
                          </a:xfrm>
                          <a:custGeom>
                            <a:avLst/>
                            <a:gdLst/>
                            <a:ahLst/>
                            <a:cxnLst/>
                            <a:rect l="0" t="0" r="0" b="0"/>
                            <a:pathLst>
                              <a:path w="6334125" h="193040">
                                <a:moveTo>
                                  <a:pt x="0" y="193040"/>
                                </a:moveTo>
                                <a:lnTo>
                                  <a:pt x="6334125" y="193040"/>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92" name="Shape 705092"/>
                        <wps:cNvSpPr/>
                        <wps:spPr>
                          <a:xfrm>
                            <a:off x="0" y="5211445"/>
                            <a:ext cx="6334125" cy="193041"/>
                          </a:xfrm>
                          <a:custGeom>
                            <a:avLst/>
                            <a:gdLst/>
                            <a:ahLst/>
                            <a:cxnLst/>
                            <a:rect l="0" t="0" r="0" b="0"/>
                            <a:pathLst>
                              <a:path w="6334125" h="193041">
                                <a:moveTo>
                                  <a:pt x="0" y="0"/>
                                </a:moveTo>
                                <a:lnTo>
                                  <a:pt x="6334125" y="0"/>
                                </a:lnTo>
                                <a:lnTo>
                                  <a:pt x="6334125" y="193041"/>
                                </a:lnTo>
                                <a:lnTo>
                                  <a:pt x="0" y="193041"/>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81" name="Shape 47281"/>
                        <wps:cNvSpPr/>
                        <wps:spPr>
                          <a:xfrm>
                            <a:off x="0" y="5211445"/>
                            <a:ext cx="6334125" cy="193041"/>
                          </a:xfrm>
                          <a:custGeom>
                            <a:avLst/>
                            <a:gdLst/>
                            <a:ahLst/>
                            <a:cxnLst/>
                            <a:rect l="0" t="0" r="0" b="0"/>
                            <a:pathLst>
                              <a:path w="6334125" h="193041">
                                <a:moveTo>
                                  <a:pt x="0" y="193041"/>
                                </a:moveTo>
                                <a:lnTo>
                                  <a:pt x="6334125" y="193041"/>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093" name="Shape 705093"/>
                        <wps:cNvSpPr/>
                        <wps:spPr>
                          <a:xfrm>
                            <a:off x="0" y="5403215"/>
                            <a:ext cx="6334125" cy="194309"/>
                          </a:xfrm>
                          <a:custGeom>
                            <a:avLst/>
                            <a:gdLst/>
                            <a:ahLst/>
                            <a:cxnLst/>
                            <a:rect l="0" t="0" r="0" b="0"/>
                            <a:pathLst>
                              <a:path w="6334125" h="194309">
                                <a:moveTo>
                                  <a:pt x="0" y="0"/>
                                </a:moveTo>
                                <a:lnTo>
                                  <a:pt x="6334125" y="0"/>
                                </a:lnTo>
                                <a:lnTo>
                                  <a:pt x="6334125" y="194309"/>
                                </a:lnTo>
                                <a:lnTo>
                                  <a:pt x="0" y="194309"/>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286" name="Shape 47286"/>
                        <wps:cNvSpPr/>
                        <wps:spPr>
                          <a:xfrm>
                            <a:off x="0" y="5403215"/>
                            <a:ext cx="6334125" cy="194309"/>
                          </a:xfrm>
                          <a:custGeom>
                            <a:avLst/>
                            <a:gdLst/>
                            <a:ahLst/>
                            <a:cxnLst/>
                            <a:rect l="0" t="0" r="0" b="0"/>
                            <a:pathLst>
                              <a:path w="6334125" h="194309">
                                <a:moveTo>
                                  <a:pt x="0" y="194309"/>
                                </a:moveTo>
                                <a:lnTo>
                                  <a:pt x="6334125" y="194309"/>
                                </a:lnTo>
                                <a:lnTo>
                                  <a:pt x="633412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20051" style="width:498.9pt;height:440.75pt;position:absolute;z-index:-2147483533;mso-position-horizontal-relative:text;mso-position-horizontal:absolute;margin-left:0.0600014pt;mso-position-vertical-relative:text;margin-top:-174.801pt;" coordsize="63360,55975">
                <v:shape id="Shape 47207" style="position:absolute;width:63341;height:2895;left:19;top:0;" coordsize="6334125,289560" path="m0,289560l6334125,289560l6334125,0l0,0x">
                  <v:stroke weight="0.75pt" endcap="round" joinstyle="miter" miterlimit="10" on="true" color="#000000"/>
                  <v:fill on="false" color="#000000" opacity="0"/>
                </v:shape>
                <v:shape id="Shape 47210" style="position:absolute;width:762;height:1930;left:31908;top:2895;" coordsize="76200,193040" path="m31750,0l44450,0l44450,116840l76200,116840l38100,193040l0,116840l31750,116840l31750,0x">
                  <v:stroke weight="0pt" endcap="round" joinstyle="miter" miterlimit="10" on="false" color="#000000" opacity="0"/>
                  <v:fill on="true" color="#000000"/>
                </v:shape>
                <v:shape id="Shape 705094" style="position:absolute;width:63341;height:3860;left:19;top:4825;" coordsize="6334125,386080" path="m0,0l6334125,0l6334125,386080l0,386080l0,0">
                  <v:stroke weight="0pt" endcap="round" joinstyle="miter" miterlimit="10" on="false" color="#000000" opacity="0"/>
                  <v:fill on="true" color="#ffffff"/>
                </v:shape>
                <v:shape id="Shape 47212" style="position:absolute;width:63341;height:3860;left:19;top:4825;" coordsize="6334125,386080" path="m0,386080l6334125,386080l6334125,0l0,0x">
                  <v:stroke weight="0.75pt" endcap="round" joinstyle="miter" miterlimit="10" on="true" color="#000000"/>
                  <v:fill on="false" color="#000000" opacity="0"/>
                </v:shape>
                <v:shape id="Shape 705095" style="position:absolute;width:63341;height:4826;left:19;top:8686;" coordsize="6334125,482600" path="m0,0l6334125,0l6334125,482600l0,482600l0,0">
                  <v:stroke weight="0pt" endcap="round" joinstyle="miter" miterlimit="10" on="false" color="#000000" opacity="0"/>
                  <v:fill on="true" color="#ffffff"/>
                </v:shape>
                <v:shape id="Shape 47217" style="position:absolute;width:63341;height:4826;left:19;top:8686;" coordsize="6334125,482600" path="m0,482600l6334125,482600l6334125,0l0,0x">
                  <v:stroke weight="0.75pt" endcap="round" joinstyle="miter" miterlimit="10" on="true" color="#000000"/>
                  <v:fill on="false" color="#000000" opacity="0"/>
                </v:shape>
                <v:shape id="Shape 705096" style="position:absolute;width:63341;height:6756;left:19;top:13512;" coordsize="6334125,675640" path="m0,0l6334125,0l6334125,675640l0,675640l0,0">
                  <v:stroke weight="0pt" endcap="round" joinstyle="miter" miterlimit="10" on="false" color="#000000" opacity="0"/>
                  <v:fill on="true" color="#ffffff"/>
                </v:shape>
                <v:shape id="Shape 47224" style="position:absolute;width:63341;height:6756;left:19;top:13512;" coordsize="6334125,675640" path="m0,675640l6334125,675640l6334125,0l0,0x">
                  <v:stroke weight="0.75pt" endcap="round" joinstyle="miter" miterlimit="10" on="true" color="#000000"/>
                  <v:fill on="false" color="#000000" opacity="0"/>
                </v:shape>
                <v:shape id="Shape 705097" style="position:absolute;width:63341;height:6756;left:19;top:20269;" coordsize="6334125,675640" path="m0,0l6334125,0l6334125,675640l0,675640l0,0">
                  <v:stroke weight="0pt" endcap="round" joinstyle="miter" miterlimit="10" on="false" color="#000000" opacity="0"/>
                  <v:fill on="true" color="#ffffff"/>
                </v:shape>
                <v:shape id="Shape 47234" style="position:absolute;width:63341;height:6756;left:19;top:20269;" coordsize="6334125,675640" path="m0,675640l6334125,675640l6334125,0l0,0x">
                  <v:stroke weight="0.75pt" endcap="round" joinstyle="miter" miterlimit="10" on="true" color="#000000"/>
                  <v:fill on="false" color="#000000" opacity="0"/>
                </v:shape>
                <v:shape id="Shape 705098" style="position:absolute;width:63341;height:4819;left:19;top:27025;" coordsize="6334125,481965" path="m0,0l6334125,0l6334125,481965l0,481965l0,0">
                  <v:stroke weight="0pt" endcap="round" joinstyle="miter" miterlimit="10" on="false" color="#000000" opacity="0"/>
                  <v:fill on="true" color="#ffffff"/>
                </v:shape>
                <v:shape id="Shape 47243" style="position:absolute;width:63341;height:4819;left:19;top:27025;" coordsize="6334125,481965" path="m0,481965l6334125,481965l6334125,0l0,0x">
                  <v:stroke weight="0.75pt" endcap="round" joinstyle="miter" miterlimit="10" on="true" color="#000000"/>
                  <v:fill on="false" color="#000000" opacity="0"/>
                </v:shape>
                <v:shape id="Shape 705099" style="position:absolute;width:63341;height:6756;left:19;top:31845;" coordsize="6334125,675640" path="m0,0l6334125,0l6334125,675640l0,675640l0,0">
                  <v:stroke weight="0pt" endcap="round" joinstyle="miter" miterlimit="10" on="false" color="#000000" opacity="0"/>
                  <v:fill on="true" color="#ffffff"/>
                </v:shape>
                <v:shape id="Shape 47251" style="position:absolute;width:63341;height:6756;left:19;top:31845;" coordsize="6334125,675640" path="m0,675640l6334125,675640l6334125,0l0,0x">
                  <v:stroke weight="0.75pt" endcap="round" joinstyle="miter" miterlimit="10" on="true" color="#000000"/>
                  <v:fill on="false" color="#000000" opacity="0"/>
                </v:shape>
                <v:shape id="Shape 705100" style="position:absolute;width:63341;height:4826;left:19;top:38601;" coordsize="6334125,482600" path="m0,0l6334125,0l6334125,482600l0,482600l0,0">
                  <v:stroke weight="0pt" endcap="round" joinstyle="miter" miterlimit="10" on="false" color="#000000" opacity="0"/>
                  <v:fill on="true" color="#ffffff"/>
                </v:shape>
                <v:shape id="Shape 47262" style="position:absolute;width:63341;height:4826;left:19;top:38601;" coordsize="6334125,482600" path="m0,482600l6334125,482600l6334125,0l0,0x">
                  <v:stroke weight="0.75pt" endcap="round" joinstyle="miter" miterlimit="10" on="true" color="#000000"/>
                  <v:fill on="false" color="#000000" opacity="0"/>
                </v:shape>
                <v:shape id="Shape 705101" style="position:absolute;width:63341;height:6756;left:19;top:43427;" coordsize="6334125,675640" path="m0,0l6334125,0l6334125,675640l0,675640l0,0">
                  <v:stroke weight="0pt" endcap="round" joinstyle="miter" miterlimit="10" on="false" color="#000000" opacity="0"/>
                  <v:fill on="true" color="#ffffff"/>
                </v:shape>
                <v:shape id="Shape 47269" style="position:absolute;width:63341;height:6756;left:19;top:43427;" coordsize="6334125,675640" path="m0,675640l6334125,675640l6334125,0l0,0x">
                  <v:stroke weight="0.75pt" endcap="round" joinstyle="miter" miterlimit="10" on="true" color="#000000"/>
                  <v:fill on="false" color="#000000" opacity="0"/>
                </v:shape>
                <v:shape id="Shape 705102" style="position:absolute;width:63341;height:1930;left:0;top:50184;" coordsize="6334125,193040" path="m0,0l6334125,0l6334125,193040l0,193040l0,0">
                  <v:stroke weight="0pt" endcap="round" joinstyle="miter" miterlimit="10" on="false" color="#000000" opacity="0"/>
                  <v:fill on="true" color="#ffffff"/>
                </v:shape>
                <v:shape id="Shape 47277" style="position:absolute;width:63341;height:1930;left:0;top:50184;" coordsize="6334125,193040" path="m0,193040l6334125,193040l6334125,0l0,0x">
                  <v:stroke weight="0.75pt" endcap="round" joinstyle="miter" miterlimit="10" on="true" color="#000000"/>
                  <v:fill on="false" color="#000000" opacity="0"/>
                </v:shape>
                <v:shape id="Shape 705103" style="position:absolute;width:63341;height:1930;left:0;top:52114;" coordsize="6334125,193041" path="m0,0l6334125,0l6334125,193041l0,193041l0,0">
                  <v:stroke weight="0pt" endcap="round" joinstyle="miter" miterlimit="10" on="false" color="#000000" opacity="0"/>
                  <v:fill on="true" color="#ffffff"/>
                </v:shape>
                <v:shape id="Shape 47281" style="position:absolute;width:63341;height:1930;left:0;top:52114;" coordsize="6334125,193041" path="m0,193041l6334125,193041l6334125,0l0,0x">
                  <v:stroke weight="0.75pt" endcap="round" joinstyle="miter" miterlimit="10" on="true" color="#000000"/>
                  <v:fill on="false" color="#000000" opacity="0"/>
                </v:shape>
                <v:shape id="Shape 705104" style="position:absolute;width:63341;height:1943;left:0;top:54032;" coordsize="6334125,194309" path="m0,0l6334125,0l6334125,194309l0,194309l0,0">
                  <v:stroke weight="0pt" endcap="round" joinstyle="miter" miterlimit="10" on="false" color="#000000" opacity="0"/>
                  <v:fill on="true" color="#ffffff"/>
                </v:shape>
                <v:shape id="Shape 47286" style="position:absolute;width:63341;height:1943;left:0;top:54032;" coordsize="6334125,194309" path="m0,194309l6334125,194309l6334125,0l0,0x">
                  <v:stroke weight="0.75pt" endcap="round" joinstyle="miter" miterlimit="10" on="true" color="#000000"/>
                  <v:fill on="false" color="#000000" opacity="0"/>
                </v:shape>
              </v:group>
            </w:pict>
          </mc:Fallback>
        </mc:AlternateContent>
      </w:r>
      <w:r>
        <w:rPr>
          <w:sz w:val="20"/>
        </w:rPr>
        <w:t>взаимоотношений, отношений руководства, управление производственными конфликтами и стрессами, социальнопсихоло</w:t>
      </w:r>
      <w:r>
        <w:rPr>
          <w:sz w:val="20"/>
        </w:rPr>
        <w:t xml:space="preserve">гическую диагностику, соблюдение этических норм взаимоотношений, управление взаимодействием с </w:t>
      </w:r>
      <w:r>
        <w:t xml:space="preserve"> </w:t>
      </w:r>
      <w:r>
        <w:rPr>
          <w:sz w:val="20"/>
        </w:rPr>
        <w:t>профсоюзом</w:t>
      </w:r>
      <w:r>
        <w:t xml:space="preserve"> </w:t>
      </w:r>
      <w:r>
        <w:tab/>
      </w:r>
      <w:r>
        <w:rPr>
          <w:sz w:val="20"/>
        </w:rPr>
        <w:t xml:space="preserve"> • Подсистема обеспечения условий труда. Выполняет такие функции, как: соблюдение</w:t>
      </w:r>
      <w:r>
        <w:t xml:space="preserve"> </w:t>
      </w:r>
      <w:r>
        <w:tab/>
      </w:r>
      <w:r>
        <w:rPr>
          <w:sz w:val="20"/>
        </w:rPr>
        <w:t xml:space="preserve"> требований психофизиологии и эргономики труда, соблюдение требова</w:t>
      </w:r>
      <w:r>
        <w:rPr>
          <w:sz w:val="20"/>
        </w:rPr>
        <w:t>ний технической эстетики, охраны труда, военной охраны предприятия и отдельных должностных лиц</w:t>
      </w:r>
      <w:r>
        <w:t xml:space="preserve"> </w:t>
      </w:r>
      <w:r>
        <w:tab/>
      </w:r>
      <w:r>
        <w:rPr>
          <w:sz w:val="20"/>
        </w:rPr>
        <w:t xml:space="preserve"> </w:t>
      </w:r>
    </w:p>
    <w:p w:rsidR="002C0F56" w:rsidRDefault="00E67C6E">
      <w:pPr>
        <w:numPr>
          <w:ilvl w:val="0"/>
          <w:numId w:val="141"/>
        </w:numPr>
        <w:spacing w:after="5" w:line="267" w:lineRule="auto"/>
        <w:ind w:right="728" w:hanging="144"/>
        <w:jc w:val="left"/>
      </w:pPr>
      <w:r>
        <w:rPr>
          <w:sz w:val="20"/>
        </w:rPr>
        <w:t xml:space="preserve">Подсистема управления развитием персонала. Осуществляет обучение, переподготовку и повышение </w:t>
      </w:r>
      <w:r>
        <w:t xml:space="preserve"> </w:t>
      </w:r>
      <w:r>
        <w:rPr>
          <w:sz w:val="20"/>
        </w:rPr>
        <w:t>квалификации, адаптацию новых работников, оценку кандидатов</w:t>
      </w:r>
      <w:r>
        <w:t xml:space="preserve"> </w:t>
      </w:r>
      <w:r>
        <w:tab/>
      </w:r>
      <w:r>
        <w:rPr>
          <w:sz w:val="20"/>
        </w:rPr>
        <w:t xml:space="preserve"> на</w:t>
      </w:r>
      <w:r>
        <w:rPr>
          <w:sz w:val="20"/>
        </w:rPr>
        <w:t xml:space="preserve"> вакантную должность, текущую периодическую оценку кадров, организацию рационализаторской деятельности, реализацию деловой карьеры и служебно</w:t>
      </w:r>
      <w:r>
        <w:t xml:space="preserve"> </w:t>
      </w:r>
      <w:r>
        <w:rPr>
          <w:sz w:val="20"/>
        </w:rPr>
        <w:t xml:space="preserve">-профессионального продвижения </w:t>
      </w:r>
    </w:p>
    <w:p w:rsidR="002C0F56" w:rsidRDefault="00E67C6E">
      <w:pPr>
        <w:spacing w:after="0" w:line="259" w:lineRule="auto"/>
        <w:ind w:left="744" w:firstLine="0"/>
        <w:jc w:val="left"/>
      </w:pPr>
      <w:r>
        <w:t xml:space="preserve"> </w:t>
      </w:r>
    </w:p>
    <w:p w:rsidR="002C0F56" w:rsidRDefault="00E67C6E">
      <w:pPr>
        <w:numPr>
          <w:ilvl w:val="0"/>
          <w:numId w:val="141"/>
        </w:numPr>
        <w:spacing w:after="73" w:line="267" w:lineRule="auto"/>
        <w:ind w:right="728" w:hanging="144"/>
        <w:jc w:val="left"/>
      </w:pPr>
      <w:r>
        <w:rPr>
          <w:sz w:val="20"/>
        </w:rPr>
        <w:t>Подсистема управления мотивацией персонала выполняет следующие функции: организа</w:t>
      </w:r>
      <w:r>
        <w:rPr>
          <w:sz w:val="20"/>
        </w:rPr>
        <w:t>ция нормирования и тарификации трудового процесса, разработка си</w:t>
      </w:r>
      <w:r>
        <w:t xml:space="preserve"> </w:t>
      </w:r>
      <w:r>
        <w:tab/>
      </w:r>
      <w:r>
        <w:rPr>
          <w:sz w:val="20"/>
        </w:rPr>
        <w:t>стем оплаты труда, разработка форм участия персонала в прибылях, форм морального поощрения персонала</w:t>
      </w:r>
      <w:r>
        <w:t xml:space="preserve"> </w:t>
      </w:r>
      <w:r>
        <w:tab/>
      </w:r>
      <w:r>
        <w:rPr>
          <w:sz w:val="20"/>
        </w:rPr>
        <w:t xml:space="preserve"> </w:t>
      </w:r>
    </w:p>
    <w:p w:rsidR="002C0F56" w:rsidRDefault="00E67C6E">
      <w:pPr>
        <w:numPr>
          <w:ilvl w:val="0"/>
          <w:numId w:val="141"/>
        </w:numPr>
        <w:spacing w:after="30" w:line="267" w:lineRule="auto"/>
        <w:ind w:right="728" w:hanging="144"/>
        <w:jc w:val="left"/>
      </w:pPr>
      <w:r>
        <w:rPr>
          <w:sz w:val="20"/>
        </w:rPr>
        <w:t>Подсистема управления социальным развитием. Осуществляет организацию общественного пит</w:t>
      </w:r>
      <w:r>
        <w:rPr>
          <w:sz w:val="20"/>
        </w:rPr>
        <w:t>ания, жилищно</w:t>
      </w:r>
      <w:r>
        <w:rPr>
          <w:i/>
        </w:rPr>
        <w:t xml:space="preserve"> </w:t>
      </w:r>
      <w:r>
        <w:rPr>
          <w:i/>
        </w:rPr>
        <w:tab/>
      </w:r>
      <w:r>
        <w:rPr>
          <w:sz w:val="20"/>
        </w:rPr>
        <w:t xml:space="preserve">бытовое обслуживание, развитие культуры и физического воспитания, обеспечение охраны здоровья и отдыха, </w:t>
      </w:r>
    </w:p>
    <w:p w:rsidR="002C0F56" w:rsidRDefault="00E67C6E">
      <w:pPr>
        <w:spacing w:after="0" w:line="259" w:lineRule="auto"/>
        <w:ind w:left="744" w:firstLine="0"/>
        <w:jc w:val="left"/>
      </w:pPr>
      <w:r>
        <w:rPr>
          <w:i/>
        </w:rPr>
        <w:t xml:space="preserve"> </w:t>
      </w:r>
    </w:p>
    <w:p w:rsidR="002C0F56" w:rsidRDefault="00E67C6E">
      <w:pPr>
        <w:spacing w:after="5" w:line="267" w:lineRule="auto"/>
        <w:ind w:left="36" w:right="728" w:hanging="10"/>
        <w:jc w:val="left"/>
      </w:pPr>
      <w:r>
        <w:rPr>
          <w:sz w:val="20"/>
        </w:rPr>
        <w:t xml:space="preserve">обеспечение детскими учреждениями, организацию социального страхования </w:t>
      </w:r>
    </w:p>
    <w:p w:rsidR="002C0F56" w:rsidRDefault="00E67C6E">
      <w:pPr>
        <w:spacing w:after="139" w:line="259" w:lineRule="auto"/>
        <w:ind w:left="744" w:firstLine="0"/>
        <w:jc w:val="left"/>
      </w:pPr>
      <w:r>
        <w:rPr>
          <w:i/>
        </w:rPr>
        <w:lastRenderedPageBreak/>
        <w:t xml:space="preserve"> </w:t>
      </w:r>
    </w:p>
    <w:p w:rsidR="002C0F56" w:rsidRDefault="00E67C6E">
      <w:pPr>
        <w:numPr>
          <w:ilvl w:val="0"/>
          <w:numId w:val="141"/>
        </w:numPr>
        <w:spacing w:after="5" w:line="271" w:lineRule="auto"/>
        <w:ind w:right="728" w:hanging="144"/>
        <w:jc w:val="left"/>
      </w:pPr>
      <w:r>
        <w:rPr>
          <w:sz w:val="24"/>
        </w:rPr>
        <w:t>Подсистема развития организационной структуры управления</w:t>
      </w:r>
      <w:r>
        <w:rPr>
          <w:i/>
          <w:sz w:val="43"/>
          <w:vertAlign w:val="superscript"/>
        </w:rPr>
        <w:t xml:space="preserve"> </w:t>
      </w:r>
      <w:r>
        <w:rPr>
          <w:i/>
          <w:sz w:val="43"/>
          <w:vertAlign w:val="superscript"/>
        </w:rPr>
        <w:tab/>
      </w:r>
      <w:r>
        <w:rPr>
          <w:sz w:val="24"/>
        </w:rPr>
        <w:t xml:space="preserve"> </w:t>
      </w:r>
    </w:p>
    <w:p w:rsidR="002C0F56" w:rsidRDefault="00E67C6E">
      <w:pPr>
        <w:numPr>
          <w:ilvl w:val="0"/>
          <w:numId w:val="141"/>
        </w:numPr>
        <w:spacing w:after="42" w:line="271" w:lineRule="auto"/>
        <w:ind w:right="728" w:hanging="144"/>
        <w:jc w:val="left"/>
      </w:pPr>
      <w:r>
        <w:rPr>
          <w:sz w:val="24"/>
        </w:rPr>
        <w:t>Подсис</w:t>
      </w:r>
      <w:r>
        <w:rPr>
          <w:i/>
        </w:rPr>
        <w:t xml:space="preserve"> </w:t>
      </w:r>
      <w:r>
        <w:rPr>
          <w:sz w:val="24"/>
        </w:rPr>
        <w:t xml:space="preserve">тема правового обеспечения </w:t>
      </w:r>
    </w:p>
    <w:p w:rsidR="002C0F56" w:rsidRDefault="00E67C6E">
      <w:pPr>
        <w:numPr>
          <w:ilvl w:val="0"/>
          <w:numId w:val="141"/>
        </w:numPr>
        <w:spacing w:after="5" w:line="271" w:lineRule="auto"/>
        <w:ind w:right="728" w:hanging="144"/>
        <w:jc w:val="left"/>
      </w:pPr>
      <w:r>
        <w:rPr>
          <w:sz w:val="24"/>
        </w:rPr>
        <w:t>Подсистема информационного обеспечения системы управления персоналом</w:t>
      </w:r>
      <w:r>
        <w:rPr>
          <w:i/>
        </w:rPr>
        <w:t xml:space="preserve"> </w:t>
      </w:r>
      <w:r>
        <w:rPr>
          <w:i/>
        </w:rPr>
        <w:tab/>
      </w:r>
      <w:r>
        <w:rPr>
          <w:sz w:val="24"/>
        </w:rPr>
        <w:t xml:space="preserve"> </w:t>
      </w:r>
    </w:p>
    <w:p w:rsidR="002C0F56" w:rsidRDefault="00E67C6E">
      <w:pPr>
        <w:spacing w:after="5" w:line="271" w:lineRule="auto"/>
        <w:ind w:left="2326" w:right="396" w:hanging="10"/>
        <w:jc w:val="left"/>
      </w:pPr>
      <w:r>
        <w:rPr>
          <w:b/>
          <w:sz w:val="24"/>
        </w:rPr>
        <w:t xml:space="preserve">Рис. 1. Система управления персоналом предприятия </w:t>
      </w:r>
    </w:p>
    <w:p w:rsidR="002C0F56" w:rsidRDefault="00E67C6E">
      <w:pPr>
        <w:spacing w:after="71" w:line="259" w:lineRule="auto"/>
        <w:ind w:left="0" w:right="142" w:firstLine="0"/>
        <w:jc w:val="center"/>
      </w:pPr>
      <w:r>
        <w:rPr>
          <w:b/>
          <w:sz w:val="24"/>
        </w:rPr>
        <w:t xml:space="preserve"> </w:t>
      </w:r>
    </w:p>
    <w:p w:rsidR="002C0F56" w:rsidRDefault="00E67C6E">
      <w:pPr>
        <w:numPr>
          <w:ilvl w:val="1"/>
          <w:numId w:val="141"/>
        </w:numPr>
        <w:ind w:right="869"/>
      </w:pPr>
      <w:r>
        <w:t xml:space="preserve">Подсистема мотивации персонала, предполагающая поддержку необходимого уровня стимулирования работников в процессе их работы для достижения оптимального результата. </w:t>
      </w:r>
    </w:p>
    <w:p w:rsidR="002C0F56" w:rsidRDefault="00E67C6E">
      <w:pPr>
        <w:numPr>
          <w:ilvl w:val="1"/>
          <w:numId w:val="141"/>
        </w:numPr>
        <w:ind w:right="869"/>
      </w:pPr>
      <w:r>
        <w:t>Подсистема управления коммуникациями, предполагающая установление и развитие внутренних ком</w:t>
      </w:r>
      <w:r>
        <w:t xml:space="preserve">муникаций между работниками (вертикальных и горизонтальных) и внешних коммуникаций. </w:t>
      </w:r>
    </w:p>
    <w:p w:rsidR="002C0F56" w:rsidRDefault="00E67C6E">
      <w:pPr>
        <w:numPr>
          <w:ilvl w:val="1"/>
          <w:numId w:val="141"/>
        </w:numPr>
        <w:ind w:right="869"/>
      </w:pPr>
      <w:r>
        <w:t>Подсистема создания и развития корпоративной культуры, предполагающая создание благоприятного морально-психологического климата, развитие сплоченности  в коллективе и обес</w:t>
      </w:r>
      <w:r>
        <w:t xml:space="preserve">печение комфорта для каждого работника предприятия. [3, с.80] </w:t>
      </w:r>
    </w:p>
    <w:p w:rsidR="002C0F56" w:rsidRDefault="00E67C6E">
      <w:pPr>
        <w:ind w:left="165" w:right="406"/>
      </w:pPr>
      <w:r>
        <w:t xml:space="preserve">При формировании системы управления персоналом следует учитывать как внешние, так и внутренние факторы (рис.2). </w:t>
      </w:r>
    </w:p>
    <w:p w:rsidR="002C0F56" w:rsidRDefault="00E67C6E">
      <w:pPr>
        <w:spacing w:after="0" w:line="259" w:lineRule="auto"/>
        <w:ind w:left="744" w:firstLine="0"/>
        <w:jc w:val="left"/>
      </w:pPr>
      <w:r>
        <w:t xml:space="preserve"> </w:t>
      </w:r>
    </w:p>
    <w:p w:rsidR="002C0F56" w:rsidRDefault="00E67C6E">
      <w:pPr>
        <w:spacing w:after="0" w:line="259" w:lineRule="auto"/>
        <w:ind w:left="744" w:firstLine="0"/>
        <w:jc w:val="left"/>
      </w:pPr>
      <w:r>
        <w:t xml:space="preserve"> </w:t>
      </w:r>
    </w:p>
    <w:p w:rsidR="002C0F56" w:rsidRDefault="00E67C6E">
      <w:pPr>
        <w:spacing w:after="4" w:line="266" w:lineRule="auto"/>
        <w:ind w:left="739" w:right="1093" w:hanging="10"/>
      </w:pPr>
      <w:r>
        <w:rPr>
          <w:b/>
          <w:i/>
        </w:rPr>
        <w:t xml:space="preserve">Внешние факторы </w:t>
      </w:r>
    </w:p>
    <w:p w:rsidR="002C0F56" w:rsidRDefault="00E67C6E">
      <w:pPr>
        <w:spacing w:after="66" w:line="259" w:lineRule="auto"/>
        <w:ind w:left="181" w:firstLine="0"/>
        <w:jc w:val="left"/>
      </w:pPr>
      <w:r>
        <w:rPr>
          <w:rFonts w:ascii="Calibri" w:eastAsia="Calibri" w:hAnsi="Calibri" w:cs="Calibri"/>
          <w:noProof/>
          <w:sz w:val="22"/>
        </w:rPr>
        <mc:AlternateContent>
          <mc:Choice Requires="wpg">
            <w:drawing>
              <wp:inline distT="0" distB="0" distL="0" distR="0">
                <wp:extent cx="6172200" cy="2243578"/>
                <wp:effectExtent l="0" t="0" r="0" b="0"/>
                <wp:docPr id="619547" name="Group 619547"/>
                <wp:cNvGraphicFramePr/>
                <a:graphic xmlns:a="http://schemas.openxmlformats.org/drawingml/2006/main">
                  <a:graphicData uri="http://schemas.microsoft.com/office/word/2010/wordprocessingGroup">
                    <wpg:wgp>
                      <wpg:cNvGrpSpPr/>
                      <wpg:grpSpPr>
                        <a:xfrm>
                          <a:off x="0" y="0"/>
                          <a:ext cx="6172200" cy="2243578"/>
                          <a:chOff x="0" y="0"/>
                          <a:chExt cx="6172200" cy="2243578"/>
                        </a:xfrm>
                      </wpg:grpSpPr>
                      <wps:wsp>
                        <wps:cNvPr id="47307" name="Rectangle 47307"/>
                        <wps:cNvSpPr/>
                        <wps:spPr>
                          <a:xfrm>
                            <a:off x="357683" y="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09" name="Rectangle 47309"/>
                        <wps:cNvSpPr/>
                        <wps:spPr>
                          <a:xfrm>
                            <a:off x="357683" y="20421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11" name="Rectangle 47311"/>
                        <wps:cNvSpPr/>
                        <wps:spPr>
                          <a:xfrm>
                            <a:off x="357683" y="408432"/>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13" name="Rectangle 47313"/>
                        <wps:cNvSpPr/>
                        <wps:spPr>
                          <a:xfrm>
                            <a:off x="357683" y="612648"/>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15" name="Rectangle 47315"/>
                        <wps:cNvSpPr/>
                        <wps:spPr>
                          <a:xfrm>
                            <a:off x="357683" y="81686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17" name="Rectangle 47317"/>
                        <wps:cNvSpPr/>
                        <wps:spPr>
                          <a:xfrm>
                            <a:off x="357683" y="102108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19" name="Rectangle 47319"/>
                        <wps:cNvSpPr/>
                        <wps:spPr>
                          <a:xfrm>
                            <a:off x="357683" y="122529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47320" name="Rectangle 47320"/>
                        <wps:cNvSpPr/>
                        <wps:spPr>
                          <a:xfrm>
                            <a:off x="357683" y="1431036"/>
                            <a:ext cx="59287" cy="262525"/>
                          </a:xfrm>
                          <a:prstGeom prst="rect">
                            <a:avLst/>
                          </a:prstGeom>
                          <a:ln>
                            <a:noFill/>
                          </a:ln>
                        </wps:spPr>
                        <wps:txbx>
                          <w:txbxContent>
                            <w:p w:rsidR="002C0F56" w:rsidRDefault="00E67C6E">
                              <w:pPr>
                                <w:spacing w:after="160" w:line="259" w:lineRule="auto"/>
                                <w:ind w:left="0" w:firstLine="0"/>
                                <w:jc w:val="left"/>
                              </w:pPr>
                              <w:r>
                                <w:rPr>
                                  <w:b/>
                                  <w:i/>
                                </w:rPr>
                                <w:t xml:space="preserve"> </w:t>
                              </w:r>
                            </w:p>
                          </w:txbxContent>
                        </wps:txbx>
                        <wps:bodyPr horzOverflow="overflow" vert="horz" lIns="0" tIns="0" rIns="0" bIns="0" rtlCol="0">
                          <a:noAutofit/>
                        </wps:bodyPr>
                      </wps:wsp>
                      <wps:wsp>
                        <wps:cNvPr id="47321" name="Rectangle 47321"/>
                        <wps:cNvSpPr/>
                        <wps:spPr>
                          <a:xfrm>
                            <a:off x="357683" y="1635252"/>
                            <a:ext cx="59287" cy="262525"/>
                          </a:xfrm>
                          <a:prstGeom prst="rect">
                            <a:avLst/>
                          </a:prstGeom>
                          <a:ln>
                            <a:noFill/>
                          </a:ln>
                        </wps:spPr>
                        <wps:txbx>
                          <w:txbxContent>
                            <w:p w:rsidR="002C0F56" w:rsidRDefault="00E67C6E">
                              <w:pPr>
                                <w:spacing w:after="160" w:line="259" w:lineRule="auto"/>
                                <w:ind w:left="0" w:firstLine="0"/>
                                <w:jc w:val="left"/>
                              </w:pPr>
                              <w:r>
                                <w:rPr>
                                  <w:b/>
                                  <w:i/>
                                </w:rPr>
                                <w:t xml:space="preserve"> </w:t>
                              </w:r>
                            </w:p>
                          </w:txbxContent>
                        </wps:txbx>
                        <wps:bodyPr horzOverflow="overflow" vert="horz" lIns="0" tIns="0" rIns="0" bIns="0" rtlCol="0">
                          <a:noAutofit/>
                        </wps:bodyPr>
                      </wps:wsp>
                      <wps:wsp>
                        <wps:cNvPr id="47322" name="Rectangle 47322"/>
                        <wps:cNvSpPr/>
                        <wps:spPr>
                          <a:xfrm>
                            <a:off x="357683" y="1839468"/>
                            <a:ext cx="59287" cy="262525"/>
                          </a:xfrm>
                          <a:prstGeom prst="rect">
                            <a:avLst/>
                          </a:prstGeom>
                          <a:ln>
                            <a:noFill/>
                          </a:ln>
                        </wps:spPr>
                        <wps:txbx>
                          <w:txbxContent>
                            <w:p w:rsidR="002C0F56" w:rsidRDefault="00E67C6E">
                              <w:pPr>
                                <w:spacing w:after="160" w:line="259" w:lineRule="auto"/>
                                <w:ind w:left="0" w:firstLine="0"/>
                                <w:jc w:val="left"/>
                              </w:pPr>
                              <w:r>
                                <w:rPr>
                                  <w:b/>
                                  <w:i/>
                                </w:rPr>
                                <w:t xml:space="preserve"> </w:t>
                              </w:r>
                            </w:p>
                          </w:txbxContent>
                        </wps:txbx>
                        <wps:bodyPr horzOverflow="overflow" vert="horz" lIns="0" tIns="0" rIns="0" bIns="0" rtlCol="0">
                          <a:noAutofit/>
                        </wps:bodyPr>
                      </wps:wsp>
                      <wps:wsp>
                        <wps:cNvPr id="47323" name="Rectangle 47323"/>
                        <wps:cNvSpPr/>
                        <wps:spPr>
                          <a:xfrm>
                            <a:off x="357683" y="2043684"/>
                            <a:ext cx="59287" cy="262525"/>
                          </a:xfrm>
                          <a:prstGeom prst="rect">
                            <a:avLst/>
                          </a:prstGeom>
                          <a:ln>
                            <a:noFill/>
                          </a:ln>
                        </wps:spPr>
                        <wps:txbx>
                          <w:txbxContent>
                            <w:p w:rsidR="002C0F56" w:rsidRDefault="00E67C6E">
                              <w:pPr>
                                <w:spacing w:after="160" w:line="259" w:lineRule="auto"/>
                                <w:ind w:left="0" w:firstLine="0"/>
                                <w:jc w:val="left"/>
                              </w:pPr>
                              <w:r>
                                <w:rPr>
                                  <w:b/>
                                  <w:i/>
                                </w:rPr>
                                <w:t xml:space="preserve"> </w:t>
                              </w:r>
                            </w:p>
                          </w:txbxContent>
                        </wps:txbx>
                        <wps:bodyPr horzOverflow="overflow" vert="horz" lIns="0" tIns="0" rIns="0" bIns="0" rtlCol="0">
                          <a:noAutofit/>
                        </wps:bodyPr>
                      </wps:wsp>
                      <wps:wsp>
                        <wps:cNvPr id="47390" name="Shape 47390"/>
                        <wps:cNvSpPr/>
                        <wps:spPr>
                          <a:xfrm>
                            <a:off x="349250" y="25522"/>
                            <a:ext cx="1746885" cy="365125"/>
                          </a:xfrm>
                          <a:custGeom>
                            <a:avLst/>
                            <a:gdLst/>
                            <a:ahLst/>
                            <a:cxnLst/>
                            <a:rect l="0" t="0" r="0" b="0"/>
                            <a:pathLst>
                              <a:path w="1746885" h="365125">
                                <a:moveTo>
                                  <a:pt x="0" y="365125"/>
                                </a:moveTo>
                                <a:lnTo>
                                  <a:pt x="1746885" y="365125"/>
                                </a:lnTo>
                                <a:lnTo>
                                  <a:pt x="174688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391" name="Rectangle 47391"/>
                        <wps:cNvSpPr/>
                        <wps:spPr>
                          <a:xfrm>
                            <a:off x="395783" y="112640"/>
                            <a:ext cx="2202046" cy="184382"/>
                          </a:xfrm>
                          <a:prstGeom prst="rect">
                            <a:avLst/>
                          </a:prstGeom>
                          <a:ln>
                            <a:noFill/>
                          </a:ln>
                        </wps:spPr>
                        <wps:txbx>
                          <w:txbxContent>
                            <w:p w:rsidR="002C0F56" w:rsidRDefault="00E67C6E">
                              <w:pPr>
                                <w:spacing w:after="160" w:line="259" w:lineRule="auto"/>
                                <w:ind w:left="0" w:firstLine="0"/>
                                <w:jc w:val="left"/>
                              </w:pPr>
                              <w:r>
                                <w:rPr>
                                  <w:sz w:val="24"/>
                                </w:rPr>
                                <w:t>Ситуация на рынке труда</w:t>
                              </w:r>
                            </w:p>
                          </w:txbxContent>
                        </wps:txbx>
                        <wps:bodyPr horzOverflow="overflow" vert="horz" lIns="0" tIns="0" rIns="0" bIns="0" rtlCol="0">
                          <a:noAutofit/>
                        </wps:bodyPr>
                      </wps:wsp>
                      <wps:wsp>
                        <wps:cNvPr id="47392" name="Rectangle 47392"/>
                        <wps:cNvSpPr/>
                        <wps:spPr>
                          <a:xfrm>
                            <a:off x="2052701" y="82520"/>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394" name="Shape 47394"/>
                        <wps:cNvSpPr/>
                        <wps:spPr>
                          <a:xfrm>
                            <a:off x="2212975" y="25522"/>
                            <a:ext cx="1630045" cy="365125"/>
                          </a:xfrm>
                          <a:custGeom>
                            <a:avLst/>
                            <a:gdLst/>
                            <a:ahLst/>
                            <a:cxnLst/>
                            <a:rect l="0" t="0" r="0" b="0"/>
                            <a:pathLst>
                              <a:path w="1630045" h="365125">
                                <a:moveTo>
                                  <a:pt x="0" y="365125"/>
                                </a:moveTo>
                                <a:lnTo>
                                  <a:pt x="1630045" y="365125"/>
                                </a:lnTo>
                                <a:lnTo>
                                  <a:pt x="163004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395" name="Rectangle 47395"/>
                        <wps:cNvSpPr/>
                        <wps:spPr>
                          <a:xfrm>
                            <a:off x="2721737" y="66921"/>
                            <a:ext cx="867116" cy="184382"/>
                          </a:xfrm>
                          <a:prstGeom prst="rect">
                            <a:avLst/>
                          </a:prstGeom>
                          <a:ln>
                            <a:noFill/>
                          </a:ln>
                        </wps:spPr>
                        <wps:txbx>
                          <w:txbxContent>
                            <w:p w:rsidR="002C0F56" w:rsidRDefault="00E67C6E">
                              <w:pPr>
                                <w:spacing w:after="160" w:line="259" w:lineRule="auto"/>
                                <w:ind w:left="0" w:firstLine="0"/>
                                <w:jc w:val="left"/>
                              </w:pPr>
                              <w:r>
                                <w:rPr>
                                  <w:sz w:val="24"/>
                                </w:rPr>
                                <w:t xml:space="preserve">Трудовое </w:t>
                              </w:r>
                            </w:p>
                          </w:txbxContent>
                        </wps:txbx>
                        <wps:bodyPr horzOverflow="overflow" vert="horz" lIns="0" tIns="0" rIns="0" bIns="0" rtlCol="0">
                          <a:noAutofit/>
                        </wps:bodyPr>
                      </wps:wsp>
                      <wps:wsp>
                        <wps:cNvPr id="47396" name="Rectangle 47396"/>
                        <wps:cNvSpPr/>
                        <wps:spPr>
                          <a:xfrm>
                            <a:off x="2456561" y="242181"/>
                            <a:ext cx="1521204" cy="184382"/>
                          </a:xfrm>
                          <a:prstGeom prst="rect">
                            <a:avLst/>
                          </a:prstGeom>
                          <a:ln>
                            <a:noFill/>
                          </a:ln>
                        </wps:spPr>
                        <wps:txbx>
                          <w:txbxContent>
                            <w:p w:rsidR="002C0F56" w:rsidRDefault="00E67C6E">
                              <w:pPr>
                                <w:spacing w:after="160" w:line="259" w:lineRule="auto"/>
                                <w:ind w:left="0" w:firstLine="0"/>
                                <w:jc w:val="left"/>
                              </w:pPr>
                              <w:r>
                                <w:rPr>
                                  <w:sz w:val="24"/>
                                </w:rPr>
                                <w:t>законодательство</w:t>
                              </w:r>
                            </w:p>
                          </w:txbxContent>
                        </wps:txbx>
                        <wps:bodyPr horzOverflow="overflow" vert="horz" lIns="0" tIns="0" rIns="0" bIns="0" rtlCol="0">
                          <a:noAutofit/>
                        </wps:bodyPr>
                      </wps:wsp>
                      <wps:wsp>
                        <wps:cNvPr id="47397" name="Rectangle 47397"/>
                        <wps:cNvSpPr/>
                        <wps:spPr>
                          <a:xfrm>
                            <a:off x="3599815" y="212060"/>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399" name="Shape 47399"/>
                        <wps:cNvSpPr/>
                        <wps:spPr>
                          <a:xfrm>
                            <a:off x="3959225" y="25522"/>
                            <a:ext cx="1514475" cy="365125"/>
                          </a:xfrm>
                          <a:custGeom>
                            <a:avLst/>
                            <a:gdLst/>
                            <a:ahLst/>
                            <a:cxnLst/>
                            <a:rect l="0" t="0" r="0" b="0"/>
                            <a:pathLst>
                              <a:path w="1514475" h="365125">
                                <a:moveTo>
                                  <a:pt x="0" y="365125"/>
                                </a:moveTo>
                                <a:lnTo>
                                  <a:pt x="1514475" y="365125"/>
                                </a:lnTo>
                                <a:lnTo>
                                  <a:pt x="151447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00" name="Rectangle 47400"/>
                        <wps:cNvSpPr/>
                        <wps:spPr>
                          <a:xfrm>
                            <a:off x="4031107" y="112640"/>
                            <a:ext cx="1821999" cy="184382"/>
                          </a:xfrm>
                          <a:prstGeom prst="rect">
                            <a:avLst/>
                          </a:prstGeom>
                          <a:ln>
                            <a:noFill/>
                          </a:ln>
                        </wps:spPr>
                        <wps:txbx>
                          <w:txbxContent>
                            <w:p w:rsidR="002C0F56" w:rsidRDefault="00E67C6E">
                              <w:pPr>
                                <w:spacing w:after="160" w:line="259" w:lineRule="auto"/>
                                <w:ind w:left="0" w:firstLine="0"/>
                                <w:jc w:val="left"/>
                              </w:pPr>
                              <w:r>
                                <w:rPr>
                                  <w:sz w:val="24"/>
                                </w:rPr>
                                <w:t>Положение на рынке</w:t>
                              </w:r>
                            </w:p>
                          </w:txbxContent>
                        </wps:txbx>
                        <wps:bodyPr horzOverflow="overflow" vert="horz" lIns="0" tIns="0" rIns="0" bIns="0" rtlCol="0">
                          <a:noAutofit/>
                        </wps:bodyPr>
                      </wps:wsp>
                      <wps:wsp>
                        <wps:cNvPr id="47401" name="Rectangle 47401"/>
                        <wps:cNvSpPr/>
                        <wps:spPr>
                          <a:xfrm>
                            <a:off x="5401564" y="82520"/>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03" name="Shape 47403"/>
                        <wps:cNvSpPr/>
                        <wps:spPr>
                          <a:xfrm>
                            <a:off x="1397635" y="800223"/>
                            <a:ext cx="3143885" cy="258445"/>
                          </a:xfrm>
                          <a:custGeom>
                            <a:avLst/>
                            <a:gdLst/>
                            <a:ahLst/>
                            <a:cxnLst/>
                            <a:rect l="0" t="0" r="0" b="0"/>
                            <a:pathLst>
                              <a:path w="3143885" h="258445">
                                <a:moveTo>
                                  <a:pt x="0" y="258445"/>
                                </a:moveTo>
                                <a:lnTo>
                                  <a:pt x="3143885" y="258445"/>
                                </a:lnTo>
                                <a:lnTo>
                                  <a:pt x="314388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04" name="Rectangle 47404"/>
                        <wps:cNvSpPr/>
                        <wps:spPr>
                          <a:xfrm>
                            <a:off x="1822577" y="854236"/>
                            <a:ext cx="833064" cy="181116"/>
                          </a:xfrm>
                          <a:prstGeom prst="rect">
                            <a:avLst/>
                          </a:prstGeom>
                          <a:ln>
                            <a:noFill/>
                          </a:ln>
                        </wps:spPr>
                        <wps:txbx>
                          <w:txbxContent>
                            <w:p w:rsidR="002C0F56" w:rsidRDefault="00E67C6E">
                              <w:pPr>
                                <w:spacing w:after="160" w:line="259" w:lineRule="auto"/>
                                <w:ind w:left="0" w:firstLine="0"/>
                                <w:jc w:val="left"/>
                              </w:pPr>
                              <w:r>
                                <w:rPr>
                                  <w:b/>
                                  <w:sz w:val="24"/>
                                </w:rPr>
                                <w:t xml:space="preserve">Система </w:t>
                              </w:r>
                            </w:p>
                          </w:txbxContent>
                        </wps:txbx>
                        <wps:bodyPr horzOverflow="overflow" vert="horz" lIns="0" tIns="0" rIns="0" bIns="0" rtlCol="0">
                          <a:noAutofit/>
                        </wps:bodyPr>
                      </wps:wsp>
                      <wps:wsp>
                        <wps:cNvPr id="47405" name="Rectangle 47405"/>
                        <wps:cNvSpPr/>
                        <wps:spPr>
                          <a:xfrm>
                            <a:off x="2448941" y="854236"/>
                            <a:ext cx="1089875" cy="181116"/>
                          </a:xfrm>
                          <a:prstGeom prst="rect">
                            <a:avLst/>
                          </a:prstGeom>
                          <a:ln>
                            <a:noFill/>
                          </a:ln>
                        </wps:spPr>
                        <wps:txbx>
                          <w:txbxContent>
                            <w:p w:rsidR="002C0F56" w:rsidRDefault="00E67C6E">
                              <w:pPr>
                                <w:spacing w:after="160" w:line="259" w:lineRule="auto"/>
                                <w:ind w:left="0" w:firstLine="0"/>
                                <w:jc w:val="left"/>
                              </w:pPr>
                              <w:r>
                                <w:rPr>
                                  <w:b/>
                                  <w:sz w:val="24"/>
                                </w:rPr>
                                <w:t>управления</w:t>
                              </w:r>
                            </w:p>
                          </w:txbxContent>
                        </wps:txbx>
                        <wps:bodyPr horzOverflow="overflow" vert="horz" lIns="0" tIns="0" rIns="0" bIns="0" rtlCol="0">
                          <a:noAutofit/>
                        </wps:bodyPr>
                      </wps:wsp>
                      <wps:wsp>
                        <wps:cNvPr id="47406" name="Rectangle 47406"/>
                        <wps:cNvSpPr/>
                        <wps:spPr>
                          <a:xfrm>
                            <a:off x="3268853" y="821660"/>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47407" name="Rectangle 47407"/>
                        <wps:cNvSpPr/>
                        <wps:spPr>
                          <a:xfrm>
                            <a:off x="3305429" y="854236"/>
                            <a:ext cx="1082173" cy="181116"/>
                          </a:xfrm>
                          <a:prstGeom prst="rect">
                            <a:avLst/>
                          </a:prstGeom>
                          <a:ln>
                            <a:noFill/>
                          </a:ln>
                        </wps:spPr>
                        <wps:txbx>
                          <w:txbxContent>
                            <w:p w:rsidR="002C0F56" w:rsidRDefault="00E67C6E">
                              <w:pPr>
                                <w:spacing w:after="160" w:line="259" w:lineRule="auto"/>
                                <w:ind w:left="0" w:firstLine="0"/>
                                <w:jc w:val="left"/>
                              </w:pPr>
                              <w:r>
                                <w:rPr>
                                  <w:b/>
                                  <w:sz w:val="24"/>
                                </w:rPr>
                                <w:t>персоналом</w:t>
                              </w:r>
                            </w:p>
                          </w:txbxContent>
                        </wps:txbx>
                        <wps:bodyPr horzOverflow="overflow" vert="horz" lIns="0" tIns="0" rIns="0" bIns="0" rtlCol="0">
                          <a:noAutofit/>
                        </wps:bodyPr>
                      </wps:wsp>
                      <wps:wsp>
                        <wps:cNvPr id="47408" name="Rectangle 47408"/>
                        <wps:cNvSpPr/>
                        <wps:spPr>
                          <a:xfrm>
                            <a:off x="4119499" y="821660"/>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47410" name="Shape 47410"/>
                        <wps:cNvSpPr/>
                        <wps:spPr>
                          <a:xfrm>
                            <a:off x="0" y="1446653"/>
                            <a:ext cx="698500" cy="796925"/>
                          </a:xfrm>
                          <a:custGeom>
                            <a:avLst/>
                            <a:gdLst/>
                            <a:ahLst/>
                            <a:cxnLst/>
                            <a:rect l="0" t="0" r="0" b="0"/>
                            <a:pathLst>
                              <a:path w="698500" h="796925">
                                <a:moveTo>
                                  <a:pt x="0" y="796925"/>
                                </a:moveTo>
                                <a:lnTo>
                                  <a:pt x="698500" y="796925"/>
                                </a:lnTo>
                                <a:lnTo>
                                  <a:pt x="6985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11" name="Rectangle 47411"/>
                        <wps:cNvSpPr/>
                        <wps:spPr>
                          <a:xfrm>
                            <a:off x="182423" y="1533009"/>
                            <a:ext cx="444706" cy="184382"/>
                          </a:xfrm>
                          <a:prstGeom prst="rect">
                            <a:avLst/>
                          </a:prstGeom>
                          <a:ln>
                            <a:noFill/>
                          </a:ln>
                        </wps:spPr>
                        <wps:txbx>
                          <w:txbxContent>
                            <w:p w:rsidR="002C0F56" w:rsidRDefault="00E67C6E">
                              <w:pPr>
                                <w:spacing w:after="160" w:line="259" w:lineRule="auto"/>
                                <w:ind w:left="0" w:firstLine="0"/>
                                <w:jc w:val="left"/>
                              </w:pPr>
                              <w:r>
                                <w:rPr>
                                  <w:sz w:val="24"/>
                                </w:rPr>
                                <w:t>Цели</w:t>
                              </w:r>
                            </w:p>
                          </w:txbxContent>
                        </wps:txbx>
                        <wps:bodyPr horzOverflow="overflow" vert="horz" lIns="0" tIns="0" rIns="0" bIns="0" rtlCol="0">
                          <a:noAutofit/>
                        </wps:bodyPr>
                      </wps:wsp>
                      <wps:wsp>
                        <wps:cNvPr id="47412" name="Rectangle 47412"/>
                        <wps:cNvSpPr/>
                        <wps:spPr>
                          <a:xfrm>
                            <a:off x="517703" y="150288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13" name="Rectangle 47413"/>
                        <wps:cNvSpPr/>
                        <wps:spPr>
                          <a:xfrm>
                            <a:off x="555752" y="150288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14" name="Rectangle 47414"/>
                        <wps:cNvSpPr/>
                        <wps:spPr>
                          <a:xfrm>
                            <a:off x="54102" y="1708269"/>
                            <a:ext cx="722192" cy="184382"/>
                          </a:xfrm>
                          <a:prstGeom prst="rect">
                            <a:avLst/>
                          </a:prstGeom>
                          <a:ln>
                            <a:noFill/>
                          </a:ln>
                        </wps:spPr>
                        <wps:txbx>
                          <w:txbxContent>
                            <w:p w:rsidR="002C0F56" w:rsidRDefault="00E67C6E">
                              <w:pPr>
                                <w:spacing w:after="160" w:line="259" w:lineRule="auto"/>
                                <w:ind w:left="0" w:firstLine="0"/>
                                <w:jc w:val="left"/>
                              </w:pPr>
                              <w:r>
                                <w:rPr>
                                  <w:sz w:val="24"/>
                                </w:rPr>
                                <w:t>предпри</w:t>
                              </w:r>
                            </w:p>
                          </w:txbxContent>
                        </wps:txbx>
                        <wps:bodyPr horzOverflow="overflow" vert="horz" lIns="0" tIns="0" rIns="0" bIns="0" rtlCol="0">
                          <a:noAutofit/>
                        </wps:bodyPr>
                      </wps:wsp>
                      <wps:wsp>
                        <wps:cNvPr id="47415" name="Rectangle 47415"/>
                        <wps:cNvSpPr/>
                        <wps:spPr>
                          <a:xfrm>
                            <a:off x="598424" y="167814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16" name="Rectangle 47416"/>
                        <wps:cNvSpPr/>
                        <wps:spPr>
                          <a:xfrm>
                            <a:off x="206807" y="1883529"/>
                            <a:ext cx="384912" cy="184382"/>
                          </a:xfrm>
                          <a:prstGeom prst="rect">
                            <a:avLst/>
                          </a:prstGeom>
                          <a:ln>
                            <a:noFill/>
                          </a:ln>
                        </wps:spPr>
                        <wps:txbx>
                          <w:txbxContent>
                            <w:p w:rsidR="002C0F56" w:rsidRDefault="00E67C6E">
                              <w:pPr>
                                <w:spacing w:after="160" w:line="259" w:lineRule="auto"/>
                                <w:ind w:left="0" w:firstLine="0"/>
                                <w:jc w:val="left"/>
                              </w:pPr>
                              <w:r>
                                <w:rPr>
                                  <w:sz w:val="24"/>
                                </w:rPr>
                                <w:t>ятия</w:t>
                              </w:r>
                            </w:p>
                          </w:txbxContent>
                        </wps:txbx>
                        <wps:bodyPr horzOverflow="overflow" vert="horz" lIns="0" tIns="0" rIns="0" bIns="0" rtlCol="0">
                          <a:noAutofit/>
                        </wps:bodyPr>
                      </wps:wsp>
                      <wps:wsp>
                        <wps:cNvPr id="47417" name="Rectangle 47417"/>
                        <wps:cNvSpPr/>
                        <wps:spPr>
                          <a:xfrm>
                            <a:off x="494843" y="185340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19" name="Shape 47419"/>
                        <wps:cNvSpPr/>
                        <wps:spPr>
                          <a:xfrm>
                            <a:off x="815340" y="1446653"/>
                            <a:ext cx="815340" cy="796925"/>
                          </a:xfrm>
                          <a:custGeom>
                            <a:avLst/>
                            <a:gdLst/>
                            <a:ahLst/>
                            <a:cxnLst/>
                            <a:rect l="0" t="0" r="0" b="0"/>
                            <a:pathLst>
                              <a:path w="815340" h="796925">
                                <a:moveTo>
                                  <a:pt x="0" y="796925"/>
                                </a:moveTo>
                                <a:lnTo>
                                  <a:pt x="815340" y="796925"/>
                                </a:lnTo>
                                <a:lnTo>
                                  <a:pt x="81534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20" name="Rectangle 47420"/>
                        <wps:cNvSpPr/>
                        <wps:spPr>
                          <a:xfrm>
                            <a:off x="887984" y="1533009"/>
                            <a:ext cx="821713" cy="184382"/>
                          </a:xfrm>
                          <a:prstGeom prst="rect">
                            <a:avLst/>
                          </a:prstGeom>
                          <a:ln>
                            <a:noFill/>
                          </a:ln>
                        </wps:spPr>
                        <wps:txbx>
                          <w:txbxContent>
                            <w:p w:rsidR="002C0F56" w:rsidRDefault="00E67C6E">
                              <w:pPr>
                                <w:spacing w:after="160" w:line="259" w:lineRule="auto"/>
                                <w:ind w:left="0" w:firstLine="0"/>
                                <w:jc w:val="left"/>
                              </w:pPr>
                              <w:r>
                                <w:rPr>
                                  <w:sz w:val="24"/>
                                </w:rPr>
                                <w:t>Направле</w:t>
                              </w:r>
                            </w:p>
                          </w:txbxContent>
                        </wps:txbx>
                        <wps:bodyPr horzOverflow="overflow" vert="horz" lIns="0" tIns="0" rIns="0" bIns="0" rtlCol="0">
                          <a:noAutofit/>
                        </wps:bodyPr>
                      </wps:wsp>
                      <wps:wsp>
                        <wps:cNvPr id="47421" name="Rectangle 47421"/>
                        <wps:cNvSpPr/>
                        <wps:spPr>
                          <a:xfrm>
                            <a:off x="1505204" y="150288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22" name="Rectangle 47422"/>
                        <wps:cNvSpPr/>
                        <wps:spPr>
                          <a:xfrm>
                            <a:off x="1105916" y="1708269"/>
                            <a:ext cx="358360" cy="184382"/>
                          </a:xfrm>
                          <a:prstGeom prst="rect">
                            <a:avLst/>
                          </a:prstGeom>
                          <a:ln>
                            <a:noFill/>
                          </a:ln>
                        </wps:spPr>
                        <wps:txbx>
                          <w:txbxContent>
                            <w:p w:rsidR="002C0F56" w:rsidRDefault="00E67C6E">
                              <w:pPr>
                                <w:spacing w:after="160" w:line="259" w:lineRule="auto"/>
                                <w:ind w:left="0" w:firstLine="0"/>
                                <w:jc w:val="left"/>
                              </w:pPr>
                              <w:r>
                                <w:rPr>
                                  <w:sz w:val="24"/>
                                </w:rPr>
                                <w:t xml:space="preserve">ние </w:t>
                              </w:r>
                            </w:p>
                          </w:txbxContent>
                        </wps:txbx>
                        <wps:bodyPr horzOverflow="overflow" vert="horz" lIns="0" tIns="0" rIns="0" bIns="0" rtlCol="0">
                          <a:noAutofit/>
                        </wps:bodyPr>
                      </wps:wsp>
                      <wps:wsp>
                        <wps:cNvPr id="47423" name="Rectangle 47423"/>
                        <wps:cNvSpPr/>
                        <wps:spPr>
                          <a:xfrm>
                            <a:off x="862076" y="1883529"/>
                            <a:ext cx="959139" cy="184382"/>
                          </a:xfrm>
                          <a:prstGeom prst="rect">
                            <a:avLst/>
                          </a:prstGeom>
                          <a:ln>
                            <a:noFill/>
                          </a:ln>
                        </wps:spPr>
                        <wps:txbx>
                          <w:txbxContent>
                            <w:p w:rsidR="002C0F56" w:rsidRDefault="00E67C6E">
                              <w:pPr>
                                <w:spacing w:after="160" w:line="259" w:lineRule="auto"/>
                                <w:ind w:left="0" w:firstLine="0"/>
                                <w:jc w:val="left"/>
                              </w:pPr>
                              <w:r>
                                <w:rPr>
                                  <w:sz w:val="24"/>
                                </w:rPr>
                                <w:t>деятельнос</w:t>
                              </w:r>
                            </w:p>
                          </w:txbxContent>
                        </wps:txbx>
                        <wps:bodyPr horzOverflow="overflow" vert="horz" lIns="0" tIns="0" rIns="0" bIns="0" rtlCol="0">
                          <a:noAutofit/>
                        </wps:bodyPr>
                      </wps:wsp>
                      <wps:wsp>
                        <wps:cNvPr id="47424" name="Rectangle 47424"/>
                        <wps:cNvSpPr/>
                        <wps:spPr>
                          <a:xfrm>
                            <a:off x="1122680" y="202866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25" name="Rectangle 47425"/>
                        <wps:cNvSpPr/>
                        <wps:spPr>
                          <a:xfrm>
                            <a:off x="1172972" y="2058788"/>
                            <a:ext cx="197625" cy="184382"/>
                          </a:xfrm>
                          <a:prstGeom prst="rect">
                            <a:avLst/>
                          </a:prstGeom>
                          <a:ln>
                            <a:noFill/>
                          </a:ln>
                        </wps:spPr>
                        <wps:txbx>
                          <w:txbxContent>
                            <w:p w:rsidR="002C0F56" w:rsidRDefault="00E67C6E">
                              <w:pPr>
                                <w:spacing w:after="160" w:line="259" w:lineRule="auto"/>
                                <w:ind w:left="0" w:firstLine="0"/>
                                <w:jc w:val="left"/>
                              </w:pPr>
                              <w:r>
                                <w:rPr>
                                  <w:sz w:val="24"/>
                                </w:rPr>
                                <w:t>ти</w:t>
                              </w:r>
                            </w:p>
                          </w:txbxContent>
                        </wps:txbx>
                        <wps:bodyPr horzOverflow="overflow" vert="horz" lIns="0" tIns="0" rIns="0" bIns="0" rtlCol="0">
                          <a:noAutofit/>
                        </wps:bodyPr>
                      </wps:wsp>
                      <wps:wsp>
                        <wps:cNvPr id="47426" name="Rectangle 47426"/>
                        <wps:cNvSpPr/>
                        <wps:spPr>
                          <a:xfrm>
                            <a:off x="1322324" y="202866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28" name="Shape 47428"/>
                        <wps:cNvSpPr/>
                        <wps:spPr>
                          <a:xfrm>
                            <a:off x="1746885" y="1446653"/>
                            <a:ext cx="815340" cy="796925"/>
                          </a:xfrm>
                          <a:custGeom>
                            <a:avLst/>
                            <a:gdLst/>
                            <a:ahLst/>
                            <a:cxnLst/>
                            <a:rect l="0" t="0" r="0" b="0"/>
                            <a:pathLst>
                              <a:path w="815340" h="796925">
                                <a:moveTo>
                                  <a:pt x="0" y="796925"/>
                                </a:moveTo>
                                <a:lnTo>
                                  <a:pt x="815340" y="796925"/>
                                </a:lnTo>
                                <a:lnTo>
                                  <a:pt x="81534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29" name="Rectangle 47429"/>
                        <wps:cNvSpPr/>
                        <wps:spPr>
                          <a:xfrm>
                            <a:off x="1825625" y="1533009"/>
                            <a:ext cx="247284" cy="184382"/>
                          </a:xfrm>
                          <a:prstGeom prst="rect">
                            <a:avLst/>
                          </a:prstGeom>
                          <a:ln>
                            <a:noFill/>
                          </a:ln>
                        </wps:spPr>
                        <wps:txbx>
                          <w:txbxContent>
                            <w:p w:rsidR="002C0F56" w:rsidRDefault="00E67C6E">
                              <w:pPr>
                                <w:spacing w:after="160" w:line="259" w:lineRule="auto"/>
                                <w:ind w:left="0" w:firstLine="0"/>
                                <w:jc w:val="left"/>
                              </w:pPr>
                              <w:r>
                                <w:rPr>
                                  <w:sz w:val="24"/>
                                </w:rPr>
                                <w:t>Ор</w:t>
                              </w:r>
                            </w:p>
                          </w:txbxContent>
                        </wps:txbx>
                        <wps:bodyPr horzOverflow="overflow" vert="horz" lIns="0" tIns="0" rIns="0" bIns="0" rtlCol="0">
                          <a:noAutofit/>
                        </wps:bodyPr>
                      </wps:wsp>
                      <wps:wsp>
                        <wps:cNvPr id="47430" name="Rectangle 47430"/>
                        <wps:cNvSpPr/>
                        <wps:spPr>
                          <a:xfrm>
                            <a:off x="2011553" y="1533009"/>
                            <a:ext cx="561660" cy="184382"/>
                          </a:xfrm>
                          <a:prstGeom prst="rect">
                            <a:avLst/>
                          </a:prstGeom>
                          <a:ln>
                            <a:noFill/>
                          </a:ln>
                        </wps:spPr>
                        <wps:txbx>
                          <w:txbxContent>
                            <w:p w:rsidR="002C0F56" w:rsidRDefault="00E67C6E">
                              <w:pPr>
                                <w:spacing w:after="160" w:line="259" w:lineRule="auto"/>
                                <w:ind w:left="0" w:firstLine="0"/>
                                <w:jc w:val="left"/>
                              </w:pPr>
                              <w:r>
                                <w:rPr>
                                  <w:sz w:val="24"/>
                                </w:rPr>
                                <w:t>ганиза</w:t>
                              </w:r>
                            </w:p>
                          </w:txbxContent>
                        </wps:txbx>
                        <wps:bodyPr horzOverflow="overflow" vert="horz" lIns="0" tIns="0" rIns="0" bIns="0" rtlCol="0">
                          <a:noAutofit/>
                        </wps:bodyPr>
                      </wps:wsp>
                      <wps:wsp>
                        <wps:cNvPr id="47431" name="Rectangle 47431"/>
                        <wps:cNvSpPr/>
                        <wps:spPr>
                          <a:xfrm>
                            <a:off x="2433701" y="150288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32" name="Rectangle 47432"/>
                        <wps:cNvSpPr/>
                        <wps:spPr>
                          <a:xfrm>
                            <a:off x="1885061" y="1708269"/>
                            <a:ext cx="769622" cy="184382"/>
                          </a:xfrm>
                          <a:prstGeom prst="rect">
                            <a:avLst/>
                          </a:prstGeom>
                          <a:ln>
                            <a:noFill/>
                          </a:ln>
                        </wps:spPr>
                        <wps:txbx>
                          <w:txbxContent>
                            <w:p w:rsidR="002C0F56" w:rsidRDefault="00E67C6E">
                              <w:pPr>
                                <w:spacing w:after="160" w:line="259" w:lineRule="auto"/>
                                <w:ind w:left="0" w:firstLine="0"/>
                                <w:jc w:val="left"/>
                              </w:pPr>
                              <w:r>
                                <w:rPr>
                                  <w:sz w:val="24"/>
                                </w:rPr>
                                <w:t xml:space="preserve">ционная </w:t>
                              </w:r>
                            </w:p>
                          </w:txbxContent>
                        </wps:txbx>
                        <wps:bodyPr horzOverflow="overflow" vert="horz" lIns="0" tIns="0" rIns="0" bIns="0" rtlCol="0">
                          <a:noAutofit/>
                        </wps:bodyPr>
                      </wps:wsp>
                      <wps:wsp>
                        <wps:cNvPr id="47433" name="Rectangle 47433"/>
                        <wps:cNvSpPr/>
                        <wps:spPr>
                          <a:xfrm>
                            <a:off x="1863725" y="1883529"/>
                            <a:ext cx="772459" cy="184382"/>
                          </a:xfrm>
                          <a:prstGeom prst="rect">
                            <a:avLst/>
                          </a:prstGeom>
                          <a:ln>
                            <a:noFill/>
                          </a:ln>
                        </wps:spPr>
                        <wps:txbx>
                          <w:txbxContent>
                            <w:p w:rsidR="002C0F56" w:rsidRDefault="00E67C6E">
                              <w:pPr>
                                <w:spacing w:after="160" w:line="259" w:lineRule="auto"/>
                                <w:ind w:left="0" w:firstLine="0"/>
                                <w:jc w:val="left"/>
                              </w:pPr>
                              <w:r>
                                <w:rPr>
                                  <w:sz w:val="24"/>
                                </w:rPr>
                                <w:t>культура</w:t>
                              </w:r>
                            </w:p>
                          </w:txbxContent>
                        </wps:txbx>
                        <wps:bodyPr horzOverflow="overflow" vert="horz" lIns="0" tIns="0" rIns="0" bIns="0" rtlCol="0">
                          <a:noAutofit/>
                        </wps:bodyPr>
                      </wps:wsp>
                      <wps:wsp>
                        <wps:cNvPr id="47434" name="Rectangle 47434"/>
                        <wps:cNvSpPr/>
                        <wps:spPr>
                          <a:xfrm>
                            <a:off x="2445893" y="185340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36" name="Shape 47436"/>
                        <wps:cNvSpPr/>
                        <wps:spPr>
                          <a:xfrm>
                            <a:off x="2679065" y="1446653"/>
                            <a:ext cx="812800" cy="796925"/>
                          </a:xfrm>
                          <a:custGeom>
                            <a:avLst/>
                            <a:gdLst/>
                            <a:ahLst/>
                            <a:cxnLst/>
                            <a:rect l="0" t="0" r="0" b="0"/>
                            <a:pathLst>
                              <a:path w="812800" h="796925">
                                <a:moveTo>
                                  <a:pt x="0" y="796925"/>
                                </a:moveTo>
                                <a:lnTo>
                                  <a:pt x="812800" y="796925"/>
                                </a:lnTo>
                                <a:lnTo>
                                  <a:pt x="8128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37" name="Rectangle 47437"/>
                        <wps:cNvSpPr/>
                        <wps:spPr>
                          <a:xfrm>
                            <a:off x="2819273" y="1533009"/>
                            <a:ext cx="637466" cy="184382"/>
                          </a:xfrm>
                          <a:prstGeom prst="rect">
                            <a:avLst/>
                          </a:prstGeom>
                          <a:ln>
                            <a:noFill/>
                          </a:ln>
                        </wps:spPr>
                        <wps:txbx>
                          <w:txbxContent>
                            <w:p w:rsidR="002C0F56" w:rsidRDefault="00E67C6E">
                              <w:pPr>
                                <w:spacing w:after="160" w:line="259" w:lineRule="auto"/>
                                <w:ind w:left="0" w:firstLine="0"/>
                                <w:jc w:val="left"/>
                              </w:pPr>
                              <w:r>
                                <w:rPr>
                                  <w:sz w:val="24"/>
                                </w:rPr>
                                <w:t>Особен</w:t>
                              </w:r>
                            </w:p>
                          </w:txbxContent>
                        </wps:txbx>
                        <wps:bodyPr horzOverflow="overflow" vert="horz" lIns="0" tIns="0" rIns="0" bIns="0" rtlCol="0">
                          <a:noAutofit/>
                        </wps:bodyPr>
                      </wps:wsp>
                      <wps:wsp>
                        <wps:cNvPr id="47438" name="Rectangle 47438"/>
                        <wps:cNvSpPr/>
                        <wps:spPr>
                          <a:xfrm>
                            <a:off x="3299333" y="150288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39" name="Rectangle 47439"/>
                        <wps:cNvSpPr/>
                        <wps:spPr>
                          <a:xfrm>
                            <a:off x="2898521" y="1708269"/>
                            <a:ext cx="548890" cy="184382"/>
                          </a:xfrm>
                          <a:prstGeom prst="rect">
                            <a:avLst/>
                          </a:prstGeom>
                          <a:ln>
                            <a:noFill/>
                          </a:ln>
                        </wps:spPr>
                        <wps:txbx>
                          <w:txbxContent>
                            <w:p w:rsidR="002C0F56" w:rsidRDefault="00E67C6E">
                              <w:pPr>
                                <w:spacing w:after="160" w:line="259" w:lineRule="auto"/>
                                <w:ind w:left="0" w:firstLine="0"/>
                                <w:jc w:val="left"/>
                              </w:pPr>
                              <w:r>
                                <w:rPr>
                                  <w:sz w:val="24"/>
                                </w:rPr>
                                <w:t xml:space="preserve">ности </w:t>
                              </w:r>
                            </w:p>
                          </w:txbxContent>
                        </wps:txbx>
                        <wps:bodyPr horzOverflow="overflow" vert="horz" lIns="0" tIns="0" rIns="0" bIns="0" rtlCol="0">
                          <a:noAutofit/>
                        </wps:bodyPr>
                      </wps:wsp>
                      <wps:wsp>
                        <wps:cNvPr id="47440" name="Rectangle 47440"/>
                        <wps:cNvSpPr/>
                        <wps:spPr>
                          <a:xfrm>
                            <a:off x="2811653" y="1883529"/>
                            <a:ext cx="658546" cy="184382"/>
                          </a:xfrm>
                          <a:prstGeom prst="rect">
                            <a:avLst/>
                          </a:prstGeom>
                          <a:ln>
                            <a:noFill/>
                          </a:ln>
                        </wps:spPr>
                        <wps:txbx>
                          <w:txbxContent>
                            <w:p w:rsidR="002C0F56" w:rsidRDefault="00E67C6E">
                              <w:pPr>
                                <w:spacing w:after="160" w:line="259" w:lineRule="auto"/>
                                <w:ind w:left="0" w:firstLine="0"/>
                                <w:jc w:val="left"/>
                              </w:pPr>
                              <w:r>
                                <w:rPr>
                                  <w:sz w:val="24"/>
                                </w:rPr>
                                <w:t>менедж</w:t>
                              </w:r>
                            </w:p>
                          </w:txbxContent>
                        </wps:txbx>
                        <wps:bodyPr horzOverflow="overflow" vert="horz" lIns="0" tIns="0" rIns="0" bIns="0" rtlCol="0">
                          <a:noAutofit/>
                        </wps:bodyPr>
                      </wps:wsp>
                      <wps:wsp>
                        <wps:cNvPr id="47441" name="Rectangle 47441"/>
                        <wps:cNvSpPr/>
                        <wps:spPr>
                          <a:xfrm>
                            <a:off x="3306953" y="185340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42" name="Rectangle 47442"/>
                        <wps:cNvSpPr/>
                        <wps:spPr>
                          <a:xfrm>
                            <a:off x="2895473" y="2058788"/>
                            <a:ext cx="504703" cy="184382"/>
                          </a:xfrm>
                          <a:prstGeom prst="rect">
                            <a:avLst/>
                          </a:prstGeom>
                          <a:ln>
                            <a:noFill/>
                          </a:ln>
                        </wps:spPr>
                        <wps:txbx>
                          <w:txbxContent>
                            <w:p w:rsidR="002C0F56" w:rsidRDefault="00E67C6E">
                              <w:pPr>
                                <w:spacing w:after="160" w:line="259" w:lineRule="auto"/>
                                <w:ind w:left="0" w:firstLine="0"/>
                                <w:jc w:val="left"/>
                              </w:pPr>
                              <w:r>
                                <w:rPr>
                                  <w:sz w:val="24"/>
                                </w:rPr>
                                <w:t>мента</w:t>
                              </w:r>
                            </w:p>
                          </w:txbxContent>
                        </wps:txbx>
                        <wps:bodyPr horzOverflow="overflow" vert="horz" lIns="0" tIns="0" rIns="0" bIns="0" rtlCol="0">
                          <a:noAutofit/>
                        </wps:bodyPr>
                      </wps:wsp>
                      <wps:wsp>
                        <wps:cNvPr id="47443" name="Rectangle 47443"/>
                        <wps:cNvSpPr/>
                        <wps:spPr>
                          <a:xfrm>
                            <a:off x="3274949" y="202866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45" name="Shape 47445"/>
                        <wps:cNvSpPr/>
                        <wps:spPr>
                          <a:xfrm>
                            <a:off x="3609975" y="1446653"/>
                            <a:ext cx="815340" cy="796925"/>
                          </a:xfrm>
                          <a:custGeom>
                            <a:avLst/>
                            <a:gdLst/>
                            <a:ahLst/>
                            <a:cxnLst/>
                            <a:rect l="0" t="0" r="0" b="0"/>
                            <a:pathLst>
                              <a:path w="815340" h="796925">
                                <a:moveTo>
                                  <a:pt x="0" y="796925"/>
                                </a:moveTo>
                                <a:lnTo>
                                  <a:pt x="815340" y="796925"/>
                                </a:lnTo>
                                <a:lnTo>
                                  <a:pt x="81534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46" name="Rectangle 47446"/>
                        <wps:cNvSpPr/>
                        <wps:spPr>
                          <a:xfrm>
                            <a:off x="3636391" y="1487288"/>
                            <a:ext cx="1017311" cy="184382"/>
                          </a:xfrm>
                          <a:prstGeom prst="rect">
                            <a:avLst/>
                          </a:prstGeom>
                          <a:ln>
                            <a:noFill/>
                          </a:ln>
                        </wps:spPr>
                        <wps:txbx>
                          <w:txbxContent>
                            <w:p w:rsidR="002C0F56" w:rsidRDefault="00E67C6E">
                              <w:pPr>
                                <w:spacing w:after="160" w:line="259" w:lineRule="auto"/>
                                <w:ind w:left="0" w:firstLine="0"/>
                                <w:jc w:val="left"/>
                              </w:pPr>
                              <w:r>
                                <w:rPr>
                                  <w:sz w:val="24"/>
                                </w:rPr>
                                <w:t>Перспектив</w:t>
                              </w:r>
                            </w:p>
                          </w:txbxContent>
                        </wps:txbx>
                        <wps:bodyPr horzOverflow="overflow" vert="horz" lIns="0" tIns="0" rIns="0" bIns="0" rtlCol="0">
                          <a:noAutofit/>
                        </wps:bodyPr>
                      </wps:wsp>
                      <wps:wsp>
                        <wps:cNvPr id="47447" name="Rectangle 47447"/>
                        <wps:cNvSpPr/>
                        <wps:spPr>
                          <a:xfrm>
                            <a:off x="3660775" y="1662549"/>
                            <a:ext cx="186477" cy="184382"/>
                          </a:xfrm>
                          <a:prstGeom prst="rect">
                            <a:avLst/>
                          </a:prstGeom>
                          <a:ln>
                            <a:noFill/>
                          </a:ln>
                        </wps:spPr>
                        <wps:txbx>
                          <w:txbxContent>
                            <w:p w:rsidR="002C0F56" w:rsidRDefault="00E67C6E">
                              <w:pPr>
                                <w:spacing w:after="160" w:line="259" w:lineRule="auto"/>
                                <w:ind w:left="0" w:firstLine="0"/>
                                <w:jc w:val="left"/>
                              </w:pPr>
                              <w:r>
                                <w:rPr>
                                  <w:sz w:val="24"/>
                                </w:rPr>
                                <w:t xml:space="preserve">ы </w:t>
                              </w:r>
                            </w:p>
                          </w:txbxContent>
                        </wps:txbx>
                        <wps:bodyPr horzOverflow="overflow" vert="horz" lIns="0" tIns="0" rIns="0" bIns="0" rtlCol="0">
                          <a:noAutofit/>
                        </wps:bodyPr>
                      </wps:wsp>
                      <wps:wsp>
                        <wps:cNvPr id="47448" name="Rectangle 47448"/>
                        <wps:cNvSpPr/>
                        <wps:spPr>
                          <a:xfrm>
                            <a:off x="3800983" y="1662549"/>
                            <a:ext cx="767595" cy="184382"/>
                          </a:xfrm>
                          <a:prstGeom prst="rect">
                            <a:avLst/>
                          </a:prstGeom>
                          <a:ln>
                            <a:noFill/>
                          </a:ln>
                        </wps:spPr>
                        <wps:txbx>
                          <w:txbxContent>
                            <w:p w:rsidR="002C0F56" w:rsidRDefault="00E67C6E">
                              <w:pPr>
                                <w:spacing w:after="160" w:line="259" w:lineRule="auto"/>
                                <w:ind w:left="0" w:firstLine="0"/>
                                <w:jc w:val="left"/>
                              </w:pPr>
                              <w:r>
                                <w:rPr>
                                  <w:sz w:val="24"/>
                                </w:rPr>
                                <w:t>развития</w:t>
                              </w:r>
                            </w:p>
                          </w:txbxContent>
                        </wps:txbx>
                        <wps:bodyPr horzOverflow="overflow" vert="horz" lIns="0" tIns="0" rIns="0" bIns="0" rtlCol="0">
                          <a:noAutofit/>
                        </wps:bodyPr>
                      </wps:wsp>
                      <wps:wsp>
                        <wps:cNvPr id="47449" name="Rectangle 47449"/>
                        <wps:cNvSpPr/>
                        <wps:spPr>
                          <a:xfrm>
                            <a:off x="4377055" y="163242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51" name="Shape 47451"/>
                        <wps:cNvSpPr/>
                        <wps:spPr>
                          <a:xfrm>
                            <a:off x="5356860" y="1446653"/>
                            <a:ext cx="815340" cy="796925"/>
                          </a:xfrm>
                          <a:custGeom>
                            <a:avLst/>
                            <a:gdLst/>
                            <a:ahLst/>
                            <a:cxnLst/>
                            <a:rect l="0" t="0" r="0" b="0"/>
                            <a:pathLst>
                              <a:path w="815340" h="796925">
                                <a:moveTo>
                                  <a:pt x="0" y="796925"/>
                                </a:moveTo>
                                <a:lnTo>
                                  <a:pt x="815340" y="796925"/>
                                </a:lnTo>
                                <a:lnTo>
                                  <a:pt x="81534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52" name="Rectangle 47452"/>
                        <wps:cNvSpPr/>
                        <wps:spPr>
                          <a:xfrm>
                            <a:off x="5540248" y="1487288"/>
                            <a:ext cx="652263" cy="184382"/>
                          </a:xfrm>
                          <a:prstGeom prst="rect">
                            <a:avLst/>
                          </a:prstGeom>
                          <a:ln>
                            <a:noFill/>
                          </a:ln>
                        </wps:spPr>
                        <wps:txbx>
                          <w:txbxContent>
                            <w:p w:rsidR="002C0F56" w:rsidRDefault="00E67C6E">
                              <w:pPr>
                                <w:spacing w:after="160" w:line="259" w:lineRule="auto"/>
                                <w:ind w:left="0" w:firstLine="0"/>
                                <w:jc w:val="left"/>
                              </w:pPr>
                              <w:r>
                                <w:rPr>
                                  <w:sz w:val="24"/>
                                </w:rPr>
                                <w:t xml:space="preserve">Размер </w:t>
                              </w:r>
                            </w:p>
                          </w:txbxContent>
                        </wps:txbx>
                        <wps:bodyPr horzOverflow="overflow" vert="horz" lIns="0" tIns="0" rIns="0" bIns="0" rtlCol="0">
                          <a:noAutofit/>
                        </wps:bodyPr>
                      </wps:wsp>
                      <wps:wsp>
                        <wps:cNvPr id="47453" name="Rectangle 47453"/>
                        <wps:cNvSpPr/>
                        <wps:spPr>
                          <a:xfrm>
                            <a:off x="5435092" y="1662549"/>
                            <a:ext cx="816241" cy="184382"/>
                          </a:xfrm>
                          <a:prstGeom prst="rect">
                            <a:avLst/>
                          </a:prstGeom>
                          <a:ln>
                            <a:noFill/>
                          </a:ln>
                        </wps:spPr>
                        <wps:txbx>
                          <w:txbxContent>
                            <w:p w:rsidR="002C0F56" w:rsidRDefault="00E67C6E">
                              <w:pPr>
                                <w:spacing w:after="160" w:line="259" w:lineRule="auto"/>
                                <w:ind w:left="0" w:firstLine="0"/>
                                <w:jc w:val="left"/>
                              </w:pPr>
                              <w:r>
                                <w:rPr>
                                  <w:sz w:val="24"/>
                                </w:rPr>
                                <w:t>предприя</w:t>
                              </w:r>
                            </w:p>
                          </w:txbxContent>
                        </wps:txbx>
                        <wps:bodyPr horzOverflow="overflow" vert="horz" lIns="0" tIns="0" rIns="0" bIns="0" rtlCol="0">
                          <a:noAutofit/>
                        </wps:bodyPr>
                      </wps:wsp>
                      <wps:wsp>
                        <wps:cNvPr id="47454" name="Rectangle 47454"/>
                        <wps:cNvSpPr/>
                        <wps:spPr>
                          <a:xfrm>
                            <a:off x="6049264" y="163242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55" name="Rectangle 47455"/>
                        <wps:cNvSpPr/>
                        <wps:spPr>
                          <a:xfrm>
                            <a:off x="5657596" y="1837809"/>
                            <a:ext cx="291674" cy="184382"/>
                          </a:xfrm>
                          <a:prstGeom prst="rect">
                            <a:avLst/>
                          </a:prstGeom>
                          <a:ln>
                            <a:noFill/>
                          </a:ln>
                        </wps:spPr>
                        <wps:txbx>
                          <w:txbxContent>
                            <w:p w:rsidR="002C0F56" w:rsidRDefault="00E67C6E">
                              <w:pPr>
                                <w:spacing w:after="160" w:line="259" w:lineRule="auto"/>
                                <w:ind w:left="0" w:firstLine="0"/>
                                <w:jc w:val="left"/>
                              </w:pPr>
                              <w:r>
                                <w:rPr>
                                  <w:sz w:val="24"/>
                                </w:rPr>
                                <w:t>тия</w:t>
                              </w:r>
                            </w:p>
                          </w:txbxContent>
                        </wps:txbx>
                        <wps:bodyPr horzOverflow="overflow" vert="horz" lIns="0" tIns="0" rIns="0" bIns="0" rtlCol="0">
                          <a:noAutofit/>
                        </wps:bodyPr>
                      </wps:wsp>
                      <wps:wsp>
                        <wps:cNvPr id="47456" name="Rectangle 47456"/>
                        <wps:cNvSpPr/>
                        <wps:spPr>
                          <a:xfrm>
                            <a:off x="5875528" y="180768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58" name="Shape 47458"/>
                        <wps:cNvSpPr/>
                        <wps:spPr>
                          <a:xfrm>
                            <a:off x="4541520" y="1446653"/>
                            <a:ext cx="699135" cy="796925"/>
                          </a:xfrm>
                          <a:custGeom>
                            <a:avLst/>
                            <a:gdLst/>
                            <a:ahLst/>
                            <a:cxnLst/>
                            <a:rect l="0" t="0" r="0" b="0"/>
                            <a:pathLst>
                              <a:path w="699135" h="796925">
                                <a:moveTo>
                                  <a:pt x="0" y="796925"/>
                                </a:moveTo>
                                <a:lnTo>
                                  <a:pt x="699135" y="796925"/>
                                </a:lnTo>
                                <a:lnTo>
                                  <a:pt x="69913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459" name="Rectangle 47459"/>
                        <wps:cNvSpPr/>
                        <wps:spPr>
                          <a:xfrm>
                            <a:off x="4666615" y="1533009"/>
                            <a:ext cx="650439" cy="184382"/>
                          </a:xfrm>
                          <a:prstGeom prst="rect">
                            <a:avLst/>
                          </a:prstGeom>
                          <a:ln>
                            <a:noFill/>
                          </a:ln>
                        </wps:spPr>
                        <wps:txbx>
                          <w:txbxContent>
                            <w:p w:rsidR="002C0F56" w:rsidRDefault="00E67C6E">
                              <w:pPr>
                                <w:spacing w:after="160" w:line="259" w:lineRule="auto"/>
                                <w:ind w:left="0" w:firstLine="0"/>
                                <w:jc w:val="left"/>
                              </w:pPr>
                              <w:r>
                                <w:rPr>
                                  <w:sz w:val="24"/>
                                </w:rPr>
                                <w:t xml:space="preserve">Состав </w:t>
                              </w:r>
                            </w:p>
                          </w:txbxContent>
                        </wps:txbx>
                        <wps:bodyPr horzOverflow="overflow" vert="horz" lIns="0" tIns="0" rIns="0" bIns="0" rtlCol="0">
                          <a:noAutofit/>
                        </wps:bodyPr>
                      </wps:wsp>
                      <wps:wsp>
                        <wps:cNvPr id="47460" name="Rectangle 47460"/>
                        <wps:cNvSpPr/>
                        <wps:spPr>
                          <a:xfrm>
                            <a:off x="4607179" y="1708269"/>
                            <a:ext cx="689558" cy="184382"/>
                          </a:xfrm>
                          <a:prstGeom prst="rect">
                            <a:avLst/>
                          </a:prstGeom>
                          <a:ln>
                            <a:noFill/>
                          </a:ln>
                        </wps:spPr>
                        <wps:txbx>
                          <w:txbxContent>
                            <w:p w:rsidR="002C0F56" w:rsidRDefault="00E67C6E">
                              <w:pPr>
                                <w:spacing w:after="160" w:line="259" w:lineRule="auto"/>
                                <w:ind w:left="0" w:firstLine="0"/>
                                <w:jc w:val="left"/>
                              </w:pPr>
                              <w:r>
                                <w:rPr>
                                  <w:sz w:val="24"/>
                                </w:rPr>
                                <w:t>персона</w:t>
                              </w:r>
                            </w:p>
                          </w:txbxContent>
                        </wps:txbx>
                        <wps:bodyPr horzOverflow="overflow" vert="horz" lIns="0" tIns="0" rIns="0" bIns="0" rtlCol="0">
                          <a:noAutofit/>
                        </wps:bodyPr>
                      </wps:wsp>
                      <wps:wsp>
                        <wps:cNvPr id="47461" name="Rectangle 47461"/>
                        <wps:cNvSpPr/>
                        <wps:spPr>
                          <a:xfrm>
                            <a:off x="5125339" y="1678148"/>
                            <a:ext cx="67498" cy="224380"/>
                          </a:xfrm>
                          <a:prstGeom prst="rect">
                            <a:avLst/>
                          </a:prstGeom>
                          <a:ln>
                            <a:noFill/>
                          </a:ln>
                        </wps:spPr>
                        <wps:txbx>
                          <w:txbxContent>
                            <w:p w:rsidR="002C0F56" w:rsidRDefault="00E67C6E">
                              <w:pPr>
                                <w:spacing w:after="160" w:line="259" w:lineRule="auto"/>
                                <w:ind w:left="0" w:firstLine="0"/>
                                <w:jc w:val="left"/>
                              </w:pPr>
                              <w:r>
                                <w:rPr>
                                  <w:sz w:val="24"/>
                                </w:rPr>
                                <w:t>-</w:t>
                              </w:r>
                            </w:p>
                          </w:txbxContent>
                        </wps:txbx>
                        <wps:bodyPr horzOverflow="overflow" vert="horz" lIns="0" tIns="0" rIns="0" bIns="0" rtlCol="0">
                          <a:noAutofit/>
                        </wps:bodyPr>
                      </wps:wsp>
                      <wps:wsp>
                        <wps:cNvPr id="47462" name="Rectangle 47462"/>
                        <wps:cNvSpPr/>
                        <wps:spPr>
                          <a:xfrm>
                            <a:off x="4820539" y="1883529"/>
                            <a:ext cx="191341" cy="184382"/>
                          </a:xfrm>
                          <a:prstGeom prst="rect">
                            <a:avLst/>
                          </a:prstGeom>
                          <a:ln>
                            <a:noFill/>
                          </a:ln>
                        </wps:spPr>
                        <wps:txbx>
                          <w:txbxContent>
                            <w:p w:rsidR="002C0F56" w:rsidRDefault="00E67C6E">
                              <w:pPr>
                                <w:spacing w:after="160" w:line="259" w:lineRule="auto"/>
                                <w:ind w:left="0" w:firstLine="0"/>
                                <w:jc w:val="left"/>
                              </w:pPr>
                              <w:r>
                                <w:rPr>
                                  <w:sz w:val="24"/>
                                </w:rPr>
                                <w:t>ла</w:t>
                              </w:r>
                            </w:p>
                          </w:txbxContent>
                        </wps:txbx>
                        <wps:bodyPr horzOverflow="overflow" vert="horz" lIns="0" tIns="0" rIns="0" bIns="0" rtlCol="0">
                          <a:noAutofit/>
                        </wps:bodyPr>
                      </wps:wsp>
                      <wps:wsp>
                        <wps:cNvPr id="47463" name="Rectangle 47463"/>
                        <wps:cNvSpPr/>
                        <wps:spPr>
                          <a:xfrm>
                            <a:off x="4963795" y="185340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47464" name="Shape 47464"/>
                        <wps:cNvSpPr/>
                        <wps:spPr>
                          <a:xfrm>
                            <a:off x="348691" y="1035680"/>
                            <a:ext cx="2096694" cy="431800"/>
                          </a:xfrm>
                          <a:custGeom>
                            <a:avLst/>
                            <a:gdLst/>
                            <a:ahLst/>
                            <a:cxnLst/>
                            <a:rect l="0" t="0" r="0" b="0"/>
                            <a:pathLst>
                              <a:path w="2096694" h="431800">
                                <a:moveTo>
                                  <a:pt x="2014652" y="0"/>
                                </a:moveTo>
                                <a:lnTo>
                                  <a:pt x="2096694" y="22988"/>
                                </a:lnTo>
                                <a:lnTo>
                                  <a:pt x="2029003" y="74803"/>
                                </a:lnTo>
                                <a:lnTo>
                                  <a:pt x="2023006" y="43545"/>
                                </a:lnTo>
                                <a:lnTo>
                                  <a:pt x="2388" y="431800"/>
                                </a:lnTo>
                                <a:lnTo>
                                  <a:pt x="0" y="419354"/>
                                </a:lnTo>
                                <a:lnTo>
                                  <a:pt x="2020622" y="31118"/>
                                </a:lnTo>
                                <a:lnTo>
                                  <a:pt x="201465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65" name="Shape 47465"/>
                        <wps:cNvSpPr/>
                        <wps:spPr>
                          <a:xfrm>
                            <a:off x="1162177" y="1043174"/>
                            <a:ext cx="1400048" cy="424180"/>
                          </a:xfrm>
                          <a:custGeom>
                            <a:avLst/>
                            <a:gdLst/>
                            <a:ahLst/>
                            <a:cxnLst/>
                            <a:rect l="0" t="0" r="0" b="0"/>
                            <a:pathLst>
                              <a:path w="1400048" h="424180">
                                <a:moveTo>
                                  <a:pt x="1316228" y="0"/>
                                </a:moveTo>
                                <a:lnTo>
                                  <a:pt x="1400048" y="15494"/>
                                </a:lnTo>
                                <a:lnTo>
                                  <a:pt x="1337310" y="73152"/>
                                </a:lnTo>
                                <a:lnTo>
                                  <a:pt x="1328515" y="42636"/>
                                </a:lnTo>
                                <a:lnTo>
                                  <a:pt x="3556" y="424180"/>
                                </a:lnTo>
                                <a:lnTo>
                                  <a:pt x="0" y="411988"/>
                                </a:lnTo>
                                <a:lnTo>
                                  <a:pt x="1325008" y="30466"/>
                                </a:lnTo>
                                <a:lnTo>
                                  <a:pt x="131622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66" name="Shape 47466"/>
                        <wps:cNvSpPr/>
                        <wps:spPr>
                          <a:xfrm>
                            <a:off x="2989580" y="1058668"/>
                            <a:ext cx="76200" cy="402589"/>
                          </a:xfrm>
                          <a:custGeom>
                            <a:avLst/>
                            <a:gdLst/>
                            <a:ahLst/>
                            <a:cxnLst/>
                            <a:rect l="0" t="0" r="0" b="0"/>
                            <a:pathLst>
                              <a:path w="76200" h="402589">
                                <a:moveTo>
                                  <a:pt x="38100" y="0"/>
                                </a:moveTo>
                                <a:lnTo>
                                  <a:pt x="76200" y="76200"/>
                                </a:lnTo>
                                <a:lnTo>
                                  <a:pt x="44450" y="76200"/>
                                </a:lnTo>
                                <a:lnTo>
                                  <a:pt x="44450" y="402589"/>
                                </a:lnTo>
                                <a:lnTo>
                                  <a:pt x="31750" y="402589"/>
                                </a:lnTo>
                                <a:lnTo>
                                  <a:pt x="31750" y="76200"/>
                                </a:lnTo>
                                <a:lnTo>
                                  <a:pt x="0" y="76200"/>
                                </a:lnTo>
                                <a:lnTo>
                                  <a:pt x="381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67" name="Shape 47467"/>
                        <wps:cNvSpPr/>
                        <wps:spPr>
                          <a:xfrm>
                            <a:off x="3260725" y="1058668"/>
                            <a:ext cx="701675" cy="408050"/>
                          </a:xfrm>
                          <a:custGeom>
                            <a:avLst/>
                            <a:gdLst/>
                            <a:ahLst/>
                            <a:cxnLst/>
                            <a:rect l="0" t="0" r="0" b="0"/>
                            <a:pathLst>
                              <a:path w="701675" h="408050">
                                <a:moveTo>
                                  <a:pt x="0" y="0"/>
                                </a:moveTo>
                                <a:lnTo>
                                  <a:pt x="85090" y="5080"/>
                                </a:lnTo>
                                <a:lnTo>
                                  <a:pt x="69243" y="32548"/>
                                </a:lnTo>
                                <a:lnTo>
                                  <a:pt x="701675" y="397128"/>
                                </a:lnTo>
                                <a:lnTo>
                                  <a:pt x="695325" y="408050"/>
                                </a:lnTo>
                                <a:lnTo>
                                  <a:pt x="62876" y="43584"/>
                                </a:lnTo>
                                <a:lnTo>
                                  <a:pt x="46990" y="71120"/>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68" name="Shape 47468"/>
                        <wps:cNvSpPr/>
                        <wps:spPr>
                          <a:xfrm>
                            <a:off x="1976501" y="1058160"/>
                            <a:ext cx="818769" cy="408813"/>
                          </a:xfrm>
                          <a:custGeom>
                            <a:avLst/>
                            <a:gdLst/>
                            <a:ahLst/>
                            <a:cxnLst/>
                            <a:rect l="0" t="0" r="0" b="0"/>
                            <a:pathLst>
                              <a:path w="818769" h="408813">
                                <a:moveTo>
                                  <a:pt x="733552" y="0"/>
                                </a:moveTo>
                                <a:lnTo>
                                  <a:pt x="818769" y="508"/>
                                </a:lnTo>
                                <a:lnTo>
                                  <a:pt x="767334" y="68453"/>
                                </a:lnTo>
                                <a:lnTo>
                                  <a:pt x="753253" y="39922"/>
                                </a:lnTo>
                                <a:lnTo>
                                  <a:pt x="5588" y="408813"/>
                                </a:lnTo>
                                <a:lnTo>
                                  <a:pt x="0" y="397384"/>
                                </a:lnTo>
                                <a:lnTo>
                                  <a:pt x="747598" y="28463"/>
                                </a:lnTo>
                                <a:lnTo>
                                  <a:pt x="73355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69" name="Shape 47469"/>
                        <wps:cNvSpPr/>
                        <wps:spPr>
                          <a:xfrm>
                            <a:off x="3493135" y="1045205"/>
                            <a:ext cx="1283335" cy="422149"/>
                          </a:xfrm>
                          <a:custGeom>
                            <a:avLst/>
                            <a:gdLst/>
                            <a:ahLst/>
                            <a:cxnLst/>
                            <a:rect l="0" t="0" r="0" b="0"/>
                            <a:pathLst>
                              <a:path w="1283335" h="422149">
                                <a:moveTo>
                                  <a:pt x="84074" y="0"/>
                                </a:moveTo>
                                <a:lnTo>
                                  <a:pt x="74567" y="30212"/>
                                </a:lnTo>
                                <a:lnTo>
                                  <a:pt x="1283335" y="409956"/>
                                </a:lnTo>
                                <a:lnTo>
                                  <a:pt x="1279525" y="422149"/>
                                </a:lnTo>
                                <a:lnTo>
                                  <a:pt x="70733" y="42397"/>
                                </a:lnTo>
                                <a:lnTo>
                                  <a:pt x="61214" y="72644"/>
                                </a:lnTo>
                                <a:lnTo>
                                  <a:pt x="0" y="13463"/>
                                </a:lnTo>
                                <a:lnTo>
                                  <a:pt x="8407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70" name="Shape 47470"/>
                        <wps:cNvSpPr/>
                        <wps:spPr>
                          <a:xfrm>
                            <a:off x="3609975" y="1035680"/>
                            <a:ext cx="2097913" cy="431800"/>
                          </a:xfrm>
                          <a:custGeom>
                            <a:avLst/>
                            <a:gdLst/>
                            <a:ahLst/>
                            <a:cxnLst/>
                            <a:rect l="0" t="0" r="0" b="0"/>
                            <a:pathLst>
                              <a:path w="2097913" h="431800">
                                <a:moveTo>
                                  <a:pt x="82042" y="0"/>
                                </a:moveTo>
                                <a:lnTo>
                                  <a:pt x="76072" y="31116"/>
                                </a:lnTo>
                                <a:lnTo>
                                  <a:pt x="2097913" y="419354"/>
                                </a:lnTo>
                                <a:lnTo>
                                  <a:pt x="2095627" y="431800"/>
                                </a:lnTo>
                                <a:lnTo>
                                  <a:pt x="73688" y="43544"/>
                                </a:lnTo>
                                <a:lnTo>
                                  <a:pt x="67691" y="74803"/>
                                </a:lnTo>
                                <a:lnTo>
                                  <a:pt x="0" y="22988"/>
                                </a:lnTo>
                                <a:lnTo>
                                  <a:pt x="8204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71" name="Shape 47471"/>
                        <wps:cNvSpPr/>
                        <wps:spPr>
                          <a:xfrm>
                            <a:off x="1511808" y="384679"/>
                            <a:ext cx="1167257" cy="419735"/>
                          </a:xfrm>
                          <a:custGeom>
                            <a:avLst/>
                            <a:gdLst/>
                            <a:ahLst/>
                            <a:cxnLst/>
                            <a:rect l="0" t="0" r="0" b="0"/>
                            <a:pathLst>
                              <a:path w="1167257" h="419735">
                                <a:moveTo>
                                  <a:pt x="4064" y="0"/>
                                </a:moveTo>
                                <a:lnTo>
                                  <a:pt x="1097359" y="377622"/>
                                </a:lnTo>
                                <a:lnTo>
                                  <a:pt x="1107694" y="347726"/>
                                </a:lnTo>
                                <a:lnTo>
                                  <a:pt x="1167257" y="408559"/>
                                </a:lnTo>
                                <a:lnTo>
                                  <a:pt x="1082802" y="419735"/>
                                </a:lnTo>
                                <a:lnTo>
                                  <a:pt x="1093187" y="389691"/>
                                </a:lnTo>
                                <a:lnTo>
                                  <a:pt x="0" y="11938"/>
                                </a:lnTo>
                                <a:lnTo>
                                  <a:pt x="406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72" name="Shape 47472"/>
                        <wps:cNvSpPr/>
                        <wps:spPr>
                          <a:xfrm>
                            <a:off x="2989580" y="390647"/>
                            <a:ext cx="76200" cy="402590"/>
                          </a:xfrm>
                          <a:custGeom>
                            <a:avLst/>
                            <a:gdLst/>
                            <a:ahLst/>
                            <a:cxnLst/>
                            <a:rect l="0" t="0" r="0" b="0"/>
                            <a:pathLst>
                              <a:path w="76200" h="402590">
                                <a:moveTo>
                                  <a:pt x="31750" y="0"/>
                                </a:moveTo>
                                <a:lnTo>
                                  <a:pt x="44450" y="0"/>
                                </a:lnTo>
                                <a:lnTo>
                                  <a:pt x="44450" y="326390"/>
                                </a:lnTo>
                                <a:lnTo>
                                  <a:pt x="76200" y="326390"/>
                                </a:lnTo>
                                <a:lnTo>
                                  <a:pt x="38100" y="402590"/>
                                </a:lnTo>
                                <a:lnTo>
                                  <a:pt x="0" y="326390"/>
                                </a:lnTo>
                                <a:lnTo>
                                  <a:pt x="31750" y="326390"/>
                                </a:lnTo>
                                <a:lnTo>
                                  <a:pt x="3175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473" name="Shape 47473"/>
                        <wps:cNvSpPr/>
                        <wps:spPr>
                          <a:xfrm>
                            <a:off x="3378200" y="384679"/>
                            <a:ext cx="1049401" cy="416814"/>
                          </a:xfrm>
                          <a:custGeom>
                            <a:avLst/>
                            <a:gdLst/>
                            <a:ahLst/>
                            <a:cxnLst/>
                            <a:rect l="0" t="0" r="0" b="0"/>
                            <a:pathLst>
                              <a:path w="1049401" h="416814">
                                <a:moveTo>
                                  <a:pt x="1044829" y="0"/>
                                </a:moveTo>
                                <a:lnTo>
                                  <a:pt x="1049401" y="11938"/>
                                </a:lnTo>
                                <a:lnTo>
                                  <a:pt x="73388" y="387134"/>
                                </a:lnTo>
                                <a:lnTo>
                                  <a:pt x="84836" y="416814"/>
                                </a:lnTo>
                                <a:lnTo>
                                  <a:pt x="0" y="408559"/>
                                </a:lnTo>
                                <a:lnTo>
                                  <a:pt x="57404" y="345694"/>
                                </a:lnTo>
                                <a:lnTo>
                                  <a:pt x="68830" y="375316"/>
                                </a:lnTo>
                                <a:lnTo>
                                  <a:pt x="1044829"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619547" style="width:486pt;height:176.66pt;mso-position-horizontal-relative:char;mso-position-vertical-relative:line" coordsize="61722,22435">
                <v:rect id="Rectangle 47307" style="position:absolute;width:592;height:2625;left:3576;top:0;" filled="f" stroked="f">
                  <v:textbox inset="0,0,0,0">
                    <w:txbxContent>
                      <w:p>
                        <w:pPr>
                          <w:spacing w:before="0" w:after="160" w:line="259" w:lineRule="auto"/>
                          <w:ind w:left="0" w:firstLine="0"/>
                          <w:jc w:val="left"/>
                        </w:pPr>
                        <w:r>
                          <w:rPr/>
                          <w:t xml:space="preserve"> </w:t>
                        </w:r>
                      </w:p>
                    </w:txbxContent>
                  </v:textbox>
                </v:rect>
                <v:rect id="Rectangle 47309" style="position:absolute;width:592;height:2625;left:3576;top:2042;" filled="f" stroked="f">
                  <v:textbox inset="0,0,0,0">
                    <w:txbxContent>
                      <w:p>
                        <w:pPr>
                          <w:spacing w:before="0" w:after="160" w:line="259" w:lineRule="auto"/>
                          <w:ind w:left="0" w:firstLine="0"/>
                          <w:jc w:val="left"/>
                        </w:pPr>
                        <w:r>
                          <w:rPr/>
                          <w:t xml:space="preserve"> </w:t>
                        </w:r>
                      </w:p>
                    </w:txbxContent>
                  </v:textbox>
                </v:rect>
                <v:rect id="Rectangle 47311" style="position:absolute;width:592;height:2625;left:3576;top:4084;" filled="f" stroked="f">
                  <v:textbox inset="0,0,0,0">
                    <w:txbxContent>
                      <w:p>
                        <w:pPr>
                          <w:spacing w:before="0" w:after="160" w:line="259" w:lineRule="auto"/>
                          <w:ind w:left="0" w:firstLine="0"/>
                          <w:jc w:val="left"/>
                        </w:pPr>
                        <w:r>
                          <w:rPr/>
                          <w:t xml:space="preserve"> </w:t>
                        </w:r>
                      </w:p>
                    </w:txbxContent>
                  </v:textbox>
                </v:rect>
                <v:rect id="Rectangle 47313" style="position:absolute;width:592;height:2625;left:3576;top:6126;" filled="f" stroked="f">
                  <v:textbox inset="0,0,0,0">
                    <w:txbxContent>
                      <w:p>
                        <w:pPr>
                          <w:spacing w:before="0" w:after="160" w:line="259" w:lineRule="auto"/>
                          <w:ind w:left="0" w:firstLine="0"/>
                          <w:jc w:val="left"/>
                        </w:pPr>
                        <w:r>
                          <w:rPr/>
                          <w:t xml:space="preserve"> </w:t>
                        </w:r>
                      </w:p>
                    </w:txbxContent>
                  </v:textbox>
                </v:rect>
                <v:rect id="Rectangle 47315" style="position:absolute;width:592;height:2625;left:3576;top:8168;" filled="f" stroked="f">
                  <v:textbox inset="0,0,0,0">
                    <w:txbxContent>
                      <w:p>
                        <w:pPr>
                          <w:spacing w:before="0" w:after="160" w:line="259" w:lineRule="auto"/>
                          <w:ind w:left="0" w:firstLine="0"/>
                          <w:jc w:val="left"/>
                        </w:pPr>
                        <w:r>
                          <w:rPr/>
                          <w:t xml:space="preserve"> </w:t>
                        </w:r>
                      </w:p>
                    </w:txbxContent>
                  </v:textbox>
                </v:rect>
                <v:rect id="Rectangle 47317" style="position:absolute;width:592;height:2625;left:3576;top:10210;" filled="f" stroked="f">
                  <v:textbox inset="0,0,0,0">
                    <w:txbxContent>
                      <w:p>
                        <w:pPr>
                          <w:spacing w:before="0" w:after="160" w:line="259" w:lineRule="auto"/>
                          <w:ind w:left="0" w:firstLine="0"/>
                          <w:jc w:val="left"/>
                        </w:pPr>
                        <w:r>
                          <w:rPr/>
                          <w:t xml:space="preserve"> </w:t>
                        </w:r>
                      </w:p>
                    </w:txbxContent>
                  </v:textbox>
                </v:rect>
                <v:rect id="Rectangle 47319" style="position:absolute;width:592;height:2625;left:3576;top:12252;" filled="f" stroked="f">
                  <v:textbox inset="0,0,0,0">
                    <w:txbxContent>
                      <w:p>
                        <w:pPr>
                          <w:spacing w:before="0" w:after="160" w:line="259" w:lineRule="auto"/>
                          <w:ind w:left="0" w:firstLine="0"/>
                          <w:jc w:val="left"/>
                        </w:pPr>
                        <w:r>
                          <w:rPr/>
                          <w:t xml:space="preserve"> </w:t>
                        </w:r>
                      </w:p>
                    </w:txbxContent>
                  </v:textbox>
                </v:rect>
                <v:rect id="Rectangle 47320" style="position:absolute;width:592;height:2625;left:3576;top:14310;" filled="f" stroked="f">
                  <v:textbox inset="0,0,0,0">
                    <w:txbxContent>
                      <w:p>
                        <w:pPr>
                          <w:spacing w:before="0" w:after="160" w:line="259" w:lineRule="auto"/>
                          <w:ind w:left="0" w:firstLine="0"/>
                          <w:jc w:val="left"/>
                        </w:pPr>
                        <w:r>
                          <w:rPr>
                            <w:rFonts w:cs="Times New Roman" w:hAnsi="Times New Roman" w:eastAsia="Times New Roman" w:ascii="Times New Roman"/>
                            <w:b w:val="1"/>
                            <w:i w:val="1"/>
                          </w:rPr>
                          <w:t xml:space="preserve"> </w:t>
                        </w:r>
                      </w:p>
                    </w:txbxContent>
                  </v:textbox>
                </v:rect>
                <v:rect id="Rectangle 47321" style="position:absolute;width:592;height:2625;left:3576;top:16352;" filled="f" stroked="f">
                  <v:textbox inset="0,0,0,0">
                    <w:txbxContent>
                      <w:p>
                        <w:pPr>
                          <w:spacing w:before="0" w:after="160" w:line="259" w:lineRule="auto"/>
                          <w:ind w:left="0" w:firstLine="0"/>
                          <w:jc w:val="left"/>
                        </w:pPr>
                        <w:r>
                          <w:rPr>
                            <w:rFonts w:cs="Times New Roman" w:hAnsi="Times New Roman" w:eastAsia="Times New Roman" w:ascii="Times New Roman"/>
                            <w:b w:val="1"/>
                            <w:i w:val="1"/>
                          </w:rPr>
                          <w:t xml:space="preserve"> </w:t>
                        </w:r>
                      </w:p>
                    </w:txbxContent>
                  </v:textbox>
                </v:rect>
                <v:rect id="Rectangle 47322" style="position:absolute;width:592;height:2625;left:3576;top:18394;" filled="f" stroked="f">
                  <v:textbox inset="0,0,0,0">
                    <w:txbxContent>
                      <w:p>
                        <w:pPr>
                          <w:spacing w:before="0" w:after="160" w:line="259" w:lineRule="auto"/>
                          <w:ind w:left="0" w:firstLine="0"/>
                          <w:jc w:val="left"/>
                        </w:pPr>
                        <w:r>
                          <w:rPr>
                            <w:rFonts w:cs="Times New Roman" w:hAnsi="Times New Roman" w:eastAsia="Times New Roman" w:ascii="Times New Roman"/>
                            <w:b w:val="1"/>
                            <w:i w:val="1"/>
                          </w:rPr>
                          <w:t xml:space="preserve"> </w:t>
                        </w:r>
                      </w:p>
                    </w:txbxContent>
                  </v:textbox>
                </v:rect>
                <v:rect id="Rectangle 47323" style="position:absolute;width:592;height:2625;left:3576;top:20436;" filled="f" stroked="f">
                  <v:textbox inset="0,0,0,0">
                    <w:txbxContent>
                      <w:p>
                        <w:pPr>
                          <w:spacing w:before="0" w:after="160" w:line="259" w:lineRule="auto"/>
                          <w:ind w:left="0" w:firstLine="0"/>
                          <w:jc w:val="left"/>
                        </w:pPr>
                        <w:r>
                          <w:rPr>
                            <w:rFonts w:cs="Times New Roman" w:hAnsi="Times New Roman" w:eastAsia="Times New Roman" w:ascii="Times New Roman"/>
                            <w:b w:val="1"/>
                            <w:i w:val="1"/>
                          </w:rPr>
                          <w:t xml:space="preserve"> </w:t>
                        </w:r>
                      </w:p>
                    </w:txbxContent>
                  </v:textbox>
                </v:rect>
                <v:shape id="Shape 47390" style="position:absolute;width:17468;height:3651;left:3492;top:255;" coordsize="1746885,365125" path="m0,365125l1746885,365125l1746885,0l0,0x">
                  <v:stroke weight="0.75pt" endcap="round" joinstyle="miter" miterlimit="10" on="true" color="#000000"/>
                  <v:fill on="false" color="#000000" opacity="0"/>
                </v:shape>
                <v:rect id="Rectangle 47391" style="position:absolute;width:22020;height:1843;left:3957;top:1126;" filled="f" stroked="f">
                  <v:textbox inset="0,0,0,0">
                    <w:txbxContent>
                      <w:p>
                        <w:pPr>
                          <w:spacing w:before="0" w:after="160" w:line="259" w:lineRule="auto"/>
                          <w:ind w:left="0" w:firstLine="0"/>
                          <w:jc w:val="left"/>
                        </w:pPr>
                        <w:r>
                          <w:rPr>
                            <w:sz w:val="24"/>
                          </w:rPr>
                          <w:t xml:space="preserve">Ситуация на рынке труда</w:t>
                        </w:r>
                      </w:p>
                    </w:txbxContent>
                  </v:textbox>
                </v:rect>
                <v:rect id="Rectangle 47392" style="position:absolute;width:506;height:2243;left:20527;top:825;" filled="f" stroked="f">
                  <v:textbox inset="0,0,0,0">
                    <w:txbxContent>
                      <w:p>
                        <w:pPr>
                          <w:spacing w:before="0" w:after="160" w:line="259" w:lineRule="auto"/>
                          <w:ind w:left="0" w:firstLine="0"/>
                          <w:jc w:val="left"/>
                        </w:pPr>
                        <w:r>
                          <w:rPr>
                            <w:sz w:val="24"/>
                          </w:rPr>
                          <w:t xml:space="preserve"> </w:t>
                        </w:r>
                      </w:p>
                    </w:txbxContent>
                  </v:textbox>
                </v:rect>
                <v:shape id="Shape 47394" style="position:absolute;width:16300;height:3651;left:22129;top:255;" coordsize="1630045,365125" path="m0,365125l1630045,365125l1630045,0l0,0x">
                  <v:stroke weight="0.75pt" endcap="round" joinstyle="miter" miterlimit="10" on="true" color="#000000"/>
                  <v:fill on="false" color="#000000" opacity="0"/>
                </v:shape>
                <v:rect id="Rectangle 47395" style="position:absolute;width:8671;height:1843;left:27217;top:669;" filled="f" stroked="f">
                  <v:textbox inset="0,0,0,0">
                    <w:txbxContent>
                      <w:p>
                        <w:pPr>
                          <w:spacing w:before="0" w:after="160" w:line="259" w:lineRule="auto"/>
                          <w:ind w:left="0" w:firstLine="0"/>
                          <w:jc w:val="left"/>
                        </w:pPr>
                        <w:r>
                          <w:rPr>
                            <w:sz w:val="24"/>
                          </w:rPr>
                          <w:t xml:space="preserve">Трудовое </w:t>
                        </w:r>
                      </w:p>
                    </w:txbxContent>
                  </v:textbox>
                </v:rect>
                <v:rect id="Rectangle 47396" style="position:absolute;width:15212;height:1843;left:24565;top:2421;" filled="f" stroked="f">
                  <v:textbox inset="0,0,0,0">
                    <w:txbxContent>
                      <w:p>
                        <w:pPr>
                          <w:spacing w:before="0" w:after="160" w:line="259" w:lineRule="auto"/>
                          <w:ind w:left="0" w:firstLine="0"/>
                          <w:jc w:val="left"/>
                        </w:pPr>
                        <w:r>
                          <w:rPr>
                            <w:sz w:val="24"/>
                          </w:rPr>
                          <w:t xml:space="preserve">законодательство</w:t>
                        </w:r>
                      </w:p>
                    </w:txbxContent>
                  </v:textbox>
                </v:rect>
                <v:rect id="Rectangle 47397" style="position:absolute;width:506;height:2243;left:35998;top:2120;" filled="f" stroked="f">
                  <v:textbox inset="0,0,0,0">
                    <w:txbxContent>
                      <w:p>
                        <w:pPr>
                          <w:spacing w:before="0" w:after="160" w:line="259" w:lineRule="auto"/>
                          <w:ind w:left="0" w:firstLine="0"/>
                          <w:jc w:val="left"/>
                        </w:pPr>
                        <w:r>
                          <w:rPr>
                            <w:sz w:val="24"/>
                          </w:rPr>
                          <w:t xml:space="preserve"> </w:t>
                        </w:r>
                      </w:p>
                    </w:txbxContent>
                  </v:textbox>
                </v:rect>
                <v:shape id="Shape 47399" style="position:absolute;width:15144;height:3651;left:39592;top:255;" coordsize="1514475,365125" path="m0,365125l1514475,365125l1514475,0l0,0x">
                  <v:stroke weight="0.75pt" endcap="round" joinstyle="miter" miterlimit="10" on="true" color="#000000"/>
                  <v:fill on="false" color="#000000" opacity="0"/>
                </v:shape>
                <v:rect id="Rectangle 47400" style="position:absolute;width:18219;height:1843;left:40311;top:1126;" filled="f" stroked="f">
                  <v:textbox inset="0,0,0,0">
                    <w:txbxContent>
                      <w:p>
                        <w:pPr>
                          <w:spacing w:before="0" w:after="160" w:line="259" w:lineRule="auto"/>
                          <w:ind w:left="0" w:firstLine="0"/>
                          <w:jc w:val="left"/>
                        </w:pPr>
                        <w:r>
                          <w:rPr>
                            <w:sz w:val="24"/>
                          </w:rPr>
                          <w:t xml:space="preserve">Положение на рынке</w:t>
                        </w:r>
                      </w:p>
                    </w:txbxContent>
                  </v:textbox>
                </v:rect>
                <v:rect id="Rectangle 47401" style="position:absolute;width:506;height:2243;left:54015;top:825;" filled="f" stroked="f">
                  <v:textbox inset="0,0,0,0">
                    <w:txbxContent>
                      <w:p>
                        <w:pPr>
                          <w:spacing w:before="0" w:after="160" w:line="259" w:lineRule="auto"/>
                          <w:ind w:left="0" w:firstLine="0"/>
                          <w:jc w:val="left"/>
                        </w:pPr>
                        <w:r>
                          <w:rPr>
                            <w:sz w:val="24"/>
                          </w:rPr>
                          <w:t xml:space="preserve"> </w:t>
                        </w:r>
                      </w:p>
                    </w:txbxContent>
                  </v:textbox>
                </v:rect>
                <v:shape id="Shape 47403" style="position:absolute;width:31438;height:2584;left:13976;top:8002;" coordsize="3143885,258445" path="m0,258445l3143885,258445l3143885,0l0,0x">
                  <v:stroke weight="0.75pt" endcap="round" joinstyle="miter" miterlimit="10" on="true" color="#000000"/>
                  <v:fill on="false" color="#000000" opacity="0"/>
                </v:shape>
                <v:rect id="Rectangle 47404" style="position:absolute;width:8330;height:1811;left:18225;top:8542;"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Система </w:t>
                        </w:r>
                      </w:p>
                    </w:txbxContent>
                  </v:textbox>
                </v:rect>
                <v:rect id="Rectangle 47405" style="position:absolute;width:10898;height:1811;left:24489;top:8542;"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управления</w:t>
                        </w:r>
                      </w:p>
                    </w:txbxContent>
                  </v:textbox>
                </v:rect>
                <v:rect id="Rectangle 47406" style="position:absolute;width:506;height:2243;left:32688;top:8216;"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rect id="Rectangle 47407" style="position:absolute;width:10821;height:1811;left:33054;top:8542;"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персоналом</w:t>
                        </w:r>
                      </w:p>
                    </w:txbxContent>
                  </v:textbox>
                </v:rect>
                <v:rect id="Rectangle 47408" style="position:absolute;width:506;height:2243;left:41194;top:8216;" filled="f" stroked="f">
                  <v:textbox inset="0,0,0,0">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shape id="Shape 47410" style="position:absolute;width:6985;height:7969;left:0;top:14466;" coordsize="698500,796925" path="m0,796925l698500,796925l698500,0l0,0x">
                  <v:stroke weight="0.75pt" endcap="round" joinstyle="miter" miterlimit="10" on="true" color="#000000"/>
                  <v:fill on="false" color="#000000" opacity="0"/>
                </v:shape>
                <v:rect id="Rectangle 47411" style="position:absolute;width:4447;height:1843;left:1824;top:15330;" filled="f" stroked="f">
                  <v:textbox inset="0,0,0,0">
                    <w:txbxContent>
                      <w:p>
                        <w:pPr>
                          <w:spacing w:before="0" w:after="160" w:line="259" w:lineRule="auto"/>
                          <w:ind w:left="0" w:firstLine="0"/>
                          <w:jc w:val="left"/>
                        </w:pPr>
                        <w:r>
                          <w:rPr>
                            <w:sz w:val="24"/>
                          </w:rPr>
                          <w:t xml:space="preserve">Цели</w:t>
                        </w:r>
                      </w:p>
                    </w:txbxContent>
                  </v:textbox>
                </v:rect>
                <v:rect id="Rectangle 47412" style="position:absolute;width:506;height:2243;left:5177;top:15028;" filled="f" stroked="f">
                  <v:textbox inset="0,0,0,0">
                    <w:txbxContent>
                      <w:p>
                        <w:pPr>
                          <w:spacing w:before="0" w:after="160" w:line="259" w:lineRule="auto"/>
                          <w:ind w:left="0" w:firstLine="0"/>
                          <w:jc w:val="left"/>
                        </w:pPr>
                        <w:r>
                          <w:rPr>
                            <w:sz w:val="24"/>
                          </w:rPr>
                          <w:t xml:space="preserve"> </w:t>
                        </w:r>
                      </w:p>
                    </w:txbxContent>
                  </v:textbox>
                </v:rect>
                <v:rect id="Rectangle 47413" style="position:absolute;width:506;height:2243;left:5557;top:15028;" filled="f" stroked="f">
                  <v:textbox inset="0,0,0,0">
                    <w:txbxContent>
                      <w:p>
                        <w:pPr>
                          <w:spacing w:before="0" w:after="160" w:line="259" w:lineRule="auto"/>
                          <w:ind w:left="0" w:firstLine="0"/>
                          <w:jc w:val="left"/>
                        </w:pPr>
                        <w:r>
                          <w:rPr>
                            <w:sz w:val="24"/>
                          </w:rPr>
                          <w:t xml:space="preserve"> </w:t>
                        </w:r>
                      </w:p>
                    </w:txbxContent>
                  </v:textbox>
                </v:rect>
                <v:rect id="Rectangle 47414" style="position:absolute;width:7221;height:1843;left:541;top:17082;" filled="f" stroked="f">
                  <v:textbox inset="0,0,0,0">
                    <w:txbxContent>
                      <w:p>
                        <w:pPr>
                          <w:spacing w:before="0" w:after="160" w:line="259" w:lineRule="auto"/>
                          <w:ind w:left="0" w:firstLine="0"/>
                          <w:jc w:val="left"/>
                        </w:pPr>
                        <w:r>
                          <w:rPr>
                            <w:sz w:val="24"/>
                          </w:rPr>
                          <w:t xml:space="preserve">предпри</w:t>
                        </w:r>
                      </w:p>
                    </w:txbxContent>
                  </v:textbox>
                </v:rect>
                <v:rect id="Rectangle 47415" style="position:absolute;width:674;height:2243;left:5984;top:16781;" filled="f" stroked="f">
                  <v:textbox inset="0,0,0,0">
                    <w:txbxContent>
                      <w:p>
                        <w:pPr>
                          <w:spacing w:before="0" w:after="160" w:line="259" w:lineRule="auto"/>
                          <w:ind w:left="0" w:firstLine="0"/>
                          <w:jc w:val="left"/>
                        </w:pPr>
                        <w:r>
                          <w:rPr>
                            <w:sz w:val="24"/>
                          </w:rPr>
                          <w:t xml:space="preserve">-</w:t>
                        </w:r>
                      </w:p>
                    </w:txbxContent>
                  </v:textbox>
                </v:rect>
                <v:rect id="Rectangle 47416" style="position:absolute;width:3849;height:1843;left:2068;top:18835;" filled="f" stroked="f">
                  <v:textbox inset="0,0,0,0">
                    <w:txbxContent>
                      <w:p>
                        <w:pPr>
                          <w:spacing w:before="0" w:after="160" w:line="259" w:lineRule="auto"/>
                          <w:ind w:left="0" w:firstLine="0"/>
                          <w:jc w:val="left"/>
                        </w:pPr>
                        <w:r>
                          <w:rPr>
                            <w:sz w:val="24"/>
                          </w:rPr>
                          <w:t xml:space="preserve">ятия</w:t>
                        </w:r>
                      </w:p>
                    </w:txbxContent>
                  </v:textbox>
                </v:rect>
                <v:rect id="Rectangle 47417" style="position:absolute;width:506;height:2243;left:4948;top:18534;" filled="f" stroked="f">
                  <v:textbox inset="0,0,0,0">
                    <w:txbxContent>
                      <w:p>
                        <w:pPr>
                          <w:spacing w:before="0" w:after="160" w:line="259" w:lineRule="auto"/>
                          <w:ind w:left="0" w:firstLine="0"/>
                          <w:jc w:val="left"/>
                        </w:pPr>
                        <w:r>
                          <w:rPr>
                            <w:sz w:val="24"/>
                          </w:rPr>
                          <w:t xml:space="preserve"> </w:t>
                        </w:r>
                      </w:p>
                    </w:txbxContent>
                  </v:textbox>
                </v:rect>
                <v:shape id="Shape 47419" style="position:absolute;width:8153;height:7969;left:8153;top:14466;" coordsize="815340,796925" path="m0,796925l815340,796925l815340,0l0,0x">
                  <v:stroke weight="0.75pt" endcap="round" joinstyle="miter" miterlimit="10" on="true" color="#000000"/>
                  <v:fill on="false" color="#000000" opacity="0"/>
                </v:shape>
                <v:rect id="Rectangle 47420" style="position:absolute;width:8217;height:1843;left:8879;top:15330;" filled="f" stroked="f">
                  <v:textbox inset="0,0,0,0">
                    <w:txbxContent>
                      <w:p>
                        <w:pPr>
                          <w:spacing w:before="0" w:after="160" w:line="259" w:lineRule="auto"/>
                          <w:ind w:left="0" w:firstLine="0"/>
                          <w:jc w:val="left"/>
                        </w:pPr>
                        <w:r>
                          <w:rPr>
                            <w:sz w:val="24"/>
                          </w:rPr>
                          <w:t xml:space="preserve">Направле</w:t>
                        </w:r>
                      </w:p>
                    </w:txbxContent>
                  </v:textbox>
                </v:rect>
                <v:rect id="Rectangle 47421" style="position:absolute;width:674;height:2243;left:15052;top:15028;" filled="f" stroked="f">
                  <v:textbox inset="0,0,0,0">
                    <w:txbxContent>
                      <w:p>
                        <w:pPr>
                          <w:spacing w:before="0" w:after="160" w:line="259" w:lineRule="auto"/>
                          <w:ind w:left="0" w:firstLine="0"/>
                          <w:jc w:val="left"/>
                        </w:pPr>
                        <w:r>
                          <w:rPr>
                            <w:sz w:val="24"/>
                          </w:rPr>
                          <w:t xml:space="preserve">-</w:t>
                        </w:r>
                      </w:p>
                    </w:txbxContent>
                  </v:textbox>
                </v:rect>
                <v:rect id="Rectangle 47422" style="position:absolute;width:3583;height:1843;left:11059;top:17082;" filled="f" stroked="f">
                  <v:textbox inset="0,0,0,0">
                    <w:txbxContent>
                      <w:p>
                        <w:pPr>
                          <w:spacing w:before="0" w:after="160" w:line="259" w:lineRule="auto"/>
                          <w:ind w:left="0" w:firstLine="0"/>
                          <w:jc w:val="left"/>
                        </w:pPr>
                        <w:r>
                          <w:rPr>
                            <w:sz w:val="24"/>
                          </w:rPr>
                          <w:t xml:space="preserve">ние </w:t>
                        </w:r>
                      </w:p>
                    </w:txbxContent>
                  </v:textbox>
                </v:rect>
                <v:rect id="Rectangle 47423" style="position:absolute;width:9591;height:1843;left:8620;top:18835;" filled="f" stroked="f">
                  <v:textbox inset="0,0,0,0">
                    <w:txbxContent>
                      <w:p>
                        <w:pPr>
                          <w:spacing w:before="0" w:after="160" w:line="259" w:lineRule="auto"/>
                          <w:ind w:left="0" w:firstLine="0"/>
                          <w:jc w:val="left"/>
                        </w:pPr>
                        <w:r>
                          <w:rPr>
                            <w:sz w:val="24"/>
                          </w:rPr>
                          <w:t xml:space="preserve">деятельнос</w:t>
                        </w:r>
                      </w:p>
                    </w:txbxContent>
                  </v:textbox>
                </v:rect>
                <v:rect id="Rectangle 47424" style="position:absolute;width:674;height:2243;left:11226;top:20286;" filled="f" stroked="f">
                  <v:textbox inset="0,0,0,0">
                    <w:txbxContent>
                      <w:p>
                        <w:pPr>
                          <w:spacing w:before="0" w:after="160" w:line="259" w:lineRule="auto"/>
                          <w:ind w:left="0" w:firstLine="0"/>
                          <w:jc w:val="left"/>
                        </w:pPr>
                        <w:r>
                          <w:rPr>
                            <w:sz w:val="24"/>
                          </w:rPr>
                          <w:t xml:space="preserve">-</w:t>
                        </w:r>
                      </w:p>
                    </w:txbxContent>
                  </v:textbox>
                </v:rect>
                <v:rect id="Rectangle 47425" style="position:absolute;width:1976;height:1843;left:11729;top:20587;" filled="f" stroked="f">
                  <v:textbox inset="0,0,0,0">
                    <w:txbxContent>
                      <w:p>
                        <w:pPr>
                          <w:spacing w:before="0" w:after="160" w:line="259" w:lineRule="auto"/>
                          <w:ind w:left="0" w:firstLine="0"/>
                          <w:jc w:val="left"/>
                        </w:pPr>
                        <w:r>
                          <w:rPr>
                            <w:sz w:val="24"/>
                          </w:rPr>
                          <w:t xml:space="preserve">ти</w:t>
                        </w:r>
                      </w:p>
                    </w:txbxContent>
                  </v:textbox>
                </v:rect>
                <v:rect id="Rectangle 47426" style="position:absolute;width:506;height:2243;left:13223;top:20286;" filled="f" stroked="f">
                  <v:textbox inset="0,0,0,0">
                    <w:txbxContent>
                      <w:p>
                        <w:pPr>
                          <w:spacing w:before="0" w:after="160" w:line="259" w:lineRule="auto"/>
                          <w:ind w:left="0" w:firstLine="0"/>
                          <w:jc w:val="left"/>
                        </w:pPr>
                        <w:r>
                          <w:rPr>
                            <w:sz w:val="24"/>
                          </w:rPr>
                          <w:t xml:space="preserve"> </w:t>
                        </w:r>
                      </w:p>
                    </w:txbxContent>
                  </v:textbox>
                </v:rect>
                <v:shape id="Shape 47428" style="position:absolute;width:8153;height:7969;left:17468;top:14466;" coordsize="815340,796925" path="m0,796925l815340,796925l815340,0l0,0x">
                  <v:stroke weight="0.75pt" endcap="round" joinstyle="miter" miterlimit="10" on="true" color="#000000"/>
                  <v:fill on="false" color="#000000" opacity="0"/>
                </v:shape>
                <v:rect id="Rectangle 47429" style="position:absolute;width:2472;height:1843;left:18256;top:15330;" filled="f" stroked="f">
                  <v:textbox inset="0,0,0,0">
                    <w:txbxContent>
                      <w:p>
                        <w:pPr>
                          <w:spacing w:before="0" w:after="160" w:line="259" w:lineRule="auto"/>
                          <w:ind w:left="0" w:firstLine="0"/>
                          <w:jc w:val="left"/>
                        </w:pPr>
                        <w:r>
                          <w:rPr>
                            <w:sz w:val="24"/>
                          </w:rPr>
                          <w:t xml:space="preserve">Ор</w:t>
                        </w:r>
                      </w:p>
                    </w:txbxContent>
                  </v:textbox>
                </v:rect>
                <v:rect id="Rectangle 47430" style="position:absolute;width:5616;height:1843;left:20115;top:15330;" filled="f" stroked="f">
                  <v:textbox inset="0,0,0,0">
                    <w:txbxContent>
                      <w:p>
                        <w:pPr>
                          <w:spacing w:before="0" w:after="160" w:line="259" w:lineRule="auto"/>
                          <w:ind w:left="0" w:firstLine="0"/>
                          <w:jc w:val="left"/>
                        </w:pPr>
                        <w:r>
                          <w:rPr>
                            <w:sz w:val="24"/>
                          </w:rPr>
                          <w:t xml:space="preserve">ганиза</w:t>
                        </w:r>
                      </w:p>
                    </w:txbxContent>
                  </v:textbox>
                </v:rect>
                <v:rect id="Rectangle 47431" style="position:absolute;width:674;height:2243;left:24337;top:15028;" filled="f" stroked="f">
                  <v:textbox inset="0,0,0,0">
                    <w:txbxContent>
                      <w:p>
                        <w:pPr>
                          <w:spacing w:before="0" w:after="160" w:line="259" w:lineRule="auto"/>
                          <w:ind w:left="0" w:firstLine="0"/>
                          <w:jc w:val="left"/>
                        </w:pPr>
                        <w:r>
                          <w:rPr>
                            <w:sz w:val="24"/>
                          </w:rPr>
                          <w:t xml:space="preserve">-</w:t>
                        </w:r>
                      </w:p>
                    </w:txbxContent>
                  </v:textbox>
                </v:rect>
                <v:rect id="Rectangle 47432" style="position:absolute;width:7696;height:1843;left:18850;top:17082;" filled="f" stroked="f">
                  <v:textbox inset="0,0,0,0">
                    <w:txbxContent>
                      <w:p>
                        <w:pPr>
                          <w:spacing w:before="0" w:after="160" w:line="259" w:lineRule="auto"/>
                          <w:ind w:left="0" w:firstLine="0"/>
                          <w:jc w:val="left"/>
                        </w:pPr>
                        <w:r>
                          <w:rPr>
                            <w:sz w:val="24"/>
                          </w:rPr>
                          <w:t xml:space="preserve">ционная </w:t>
                        </w:r>
                      </w:p>
                    </w:txbxContent>
                  </v:textbox>
                </v:rect>
                <v:rect id="Rectangle 47433" style="position:absolute;width:7724;height:1843;left:18637;top:18835;" filled="f" stroked="f">
                  <v:textbox inset="0,0,0,0">
                    <w:txbxContent>
                      <w:p>
                        <w:pPr>
                          <w:spacing w:before="0" w:after="160" w:line="259" w:lineRule="auto"/>
                          <w:ind w:left="0" w:firstLine="0"/>
                          <w:jc w:val="left"/>
                        </w:pPr>
                        <w:r>
                          <w:rPr>
                            <w:sz w:val="24"/>
                          </w:rPr>
                          <w:t xml:space="preserve">культура</w:t>
                        </w:r>
                      </w:p>
                    </w:txbxContent>
                  </v:textbox>
                </v:rect>
                <v:rect id="Rectangle 47434" style="position:absolute;width:506;height:2243;left:24458;top:18534;" filled="f" stroked="f">
                  <v:textbox inset="0,0,0,0">
                    <w:txbxContent>
                      <w:p>
                        <w:pPr>
                          <w:spacing w:before="0" w:after="160" w:line="259" w:lineRule="auto"/>
                          <w:ind w:left="0" w:firstLine="0"/>
                          <w:jc w:val="left"/>
                        </w:pPr>
                        <w:r>
                          <w:rPr>
                            <w:sz w:val="24"/>
                          </w:rPr>
                          <w:t xml:space="preserve"> </w:t>
                        </w:r>
                      </w:p>
                    </w:txbxContent>
                  </v:textbox>
                </v:rect>
                <v:shape id="Shape 47436" style="position:absolute;width:8128;height:7969;left:26790;top:14466;" coordsize="812800,796925" path="m0,796925l812800,796925l812800,0l0,0x">
                  <v:stroke weight="0.75pt" endcap="round" joinstyle="miter" miterlimit="10" on="true" color="#000000"/>
                  <v:fill on="false" color="#000000" opacity="0"/>
                </v:shape>
                <v:rect id="Rectangle 47437" style="position:absolute;width:6374;height:1843;left:28192;top:15330;" filled="f" stroked="f">
                  <v:textbox inset="0,0,0,0">
                    <w:txbxContent>
                      <w:p>
                        <w:pPr>
                          <w:spacing w:before="0" w:after="160" w:line="259" w:lineRule="auto"/>
                          <w:ind w:left="0" w:firstLine="0"/>
                          <w:jc w:val="left"/>
                        </w:pPr>
                        <w:r>
                          <w:rPr>
                            <w:sz w:val="24"/>
                          </w:rPr>
                          <w:t xml:space="preserve">Особен</w:t>
                        </w:r>
                      </w:p>
                    </w:txbxContent>
                  </v:textbox>
                </v:rect>
                <v:rect id="Rectangle 47438" style="position:absolute;width:674;height:2243;left:32993;top:15028;" filled="f" stroked="f">
                  <v:textbox inset="0,0,0,0">
                    <w:txbxContent>
                      <w:p>
                        <w:pPr>
                          <w:spacing w:before="0" w:after="160" w:line="259" w:lineRule="auto"/>
                          <w:ind w:left="0" w:firstLine="0"/>
                          <w:jc w:val="left"/>
                        </w:pPr>
                        <w:r>
                          <w:rPr>
                            <w:sz w:val="24"/>
                          </w:rPr>
                          <w:t xml:space="preserve">-</w:t>
                        </w:r>
                      </w:p>
                    </w:txbxContent>
                  </v:textbox>
                </v:rect>
                <v:rect id="Rectangle 47439" style="position:absolute;width:5488;height:1843;left:28985;top:17082;" filled="f" stroked="f">
                  <v:textbox inset="0,0,0,0">
                    <w:txbxContent>
                      <w:p>
                        <w:pPr>
                          <w:spacing w:before="0" w:after="160" w:line="259" w:lineRule="auto"/>
                          <w:ind w:left="0" w:firstLine="0"/>
                          <w:jc w:val="left"/>
                        </w:pPr>
                        <w:r>
                          <w:rPr>
                            <w:sz w:val="24"/>
                          </w:rPr>
                          <w:t xml:space="preserve">ности </w:t>
                        </w:r>
                      </w:p>
                    </w:txbxContent>
                  </v:textbox>
                </v:rect>
                <v:rect id="Rectangle 47440" style="position:absolute;width:6585;height:1843;left:28116;top:18835;" filled="f" stroked="f">
                  <v:textbox inset="0,0,0,0">
                    <w:txbxContent>
                      <w:p>
                        <w:pPr>
                          <w:spacing w:before="0" w:after="160" w:line="259" w:lineRule="auto"/>
                          <w:ind w:left="0" w:firstLine="0"/>
                          <w:jc w:val="left"/>
                        </w:pPr>
                        <w:r>
                          <w:rPr>
                            <w:sz w:val="24"/>
                          </w:rPr>
                          <w:t xml:space="preserve">менедж</w:t>
                        </w:r>
                      </w:p>
                    </w:txbxContent>
                  </v:textbox>
                </v:rect>
                <v:rect id="Rectangle 47441" style="position:absolute;width:674;height:2243;left:33069;top:18534;" filled="f" stroked="f">
                  <v:textbox inset="0,0,0,0">
                    <w:txbxContent>
                      <w:p>
                        <w:pPr>
                          <w:spacing w:before="0" w:after="160" w:line="259" w:lineRule="auto"/>
                          <w:ind w:left="0" w:firstLine="0"/>
                          <w:jc w:val="left"/>
                        </w:pPr>
                        <w:r>
                          <w:rPr>
                            <w:sz w:val="24"/>
                          </w:rPr>
                          <w:t xml:space="preserve">-</w:t>
                        </w:r>
                      </w:p>
                    </w:txbxContent>
                  </v:textbox>
                </v:rect>
                <v:rect id="Rectangle 47442" style="position:absolute;width:5047;height:1843;left:28954;top:20587;" filled="f" stroked="f">
                  <v:textbox inset="0,0,0,0">
                    <w:txbxContent>
                      <w:p>
                        <w:pPr>
                          <w:spacing w:before="0" w:after="160" w:line="259" w:lineRule="auto"/>
                          <w:ind w:left="0" w:firstLine="0"/>
                          <w:jc w:val="left"/>
                        </w:pPr>
                        <w:r>
                          <w:rPr>
                            <w:sz w:val="24"/>
                          </w:rPr>
                          <w:t xml:space="preserve">мента</w:t>
                        </w:r>
                      </w:p>
                    </w:txbxContent>
                  </v:textbox>
                </v:rect>
                <v:rect id="Rectangle 47443" style="position:absolute;width:506;height:2243;left:32749;top:20286;" filled="f" stroked="f">
                  <v:textbox inset="0,0,0,0">
                    <w:txbxContent>
                      <w:p>
                        <w:pPr>
                          <w:spacing w:before="0" w:after="160" w:line="259" w:lineRule="auto"/>
                          <w:ind w:left="0" w:firstLine="0"/>
                          <w:jc w:val="left"/>
                        </w:pPr>
                        <w:r>
                          <w:rPr>
                            <w:sz w:val="24"/>
                          </w:rPr>
                          <w:t xml:space="preserve"> </w:t>
                        </w:r>
                      </w:p>
                    </w:txbxContent>
                  </v:textbox>
                </v:rect>
                <v:shape id="Shape 47445" style="position:absolute;width:8153;height:7969;left:36099;top:14466;" coordsize="815340,796925" path="m0,796925l815340,796925l815340,0l0,0x">
                  <v:stroke weight="0.75pt" endcap="round" joinstyle="miter" miterlimit="10" on="true" color="#000000"/>
                  <v:fill on="false" color="#000000" opacity="0"/>
                </v:shape>
                <v:rect id="Rectangle 47446" style="position:absolute;width:10173;height:1843;left:36363;top:14872;" filled="f" stroked="f">
                  <v:textbox inset="0,0,0,0">
                    <w:txbxContent>
                      <w:p>
                        <w:pPr>
                          <w:spacing w:before="0" w:after="160" w:line="259" w:lineRule="auto"/>
                          <w:ind w:left="0" w:firstLine="0"/>
                          <w:jc w:val="left"/>
                        </w:pPr>
                        <w:r>
                          <w:rPr>
                            <w:sz w:val="24"/>
                          </w:rPr>
                          <w:t xml:space="preserve">Перспектив</w:t>
                        </w:r>
                      </w:p>
                    </w:txbxContent>
                  </v:textbox>
                </v:rect>
                <v:rect id="Rectangle 47447" style="position:absolute;width:1864;height:1843;left:36607;top:16625;" filled="f" stroked="f">
                  <v:textbox inset="0,0,0,0">
                    <w:txbxContent>
                      <w:p>
                        <w:pPr>
                          <w:spacing w:before="0" w:after="160" w:line="259" w:lineRule="auto"/>
                          <w:ind w:left="0" w:firstLine="0"/>
                          <w:jc w:val="left"/>
                        </w:pPr>
                        <w:r>
                          <w:rPr>
                            <w:sz w:val="24"/>
                          </w:rPr>
                          <w:t xml:space="preserve">ы </w:t>
                        </w:r>
                      </w:p>
                    </w:txbxContent>
                  </v:textbox>
                </v:rect>
                <v:rect id="Rectangle 47448" style="position:absolute;width:7675;height:1843;left:38009;top:16625;" filled="f" stroked="f">
                  <v:textbox inset="0,0,0,0">
                    <w:txbxContent>
                      <w:p>
                        <w:pPr>
                          <w:spacing w:before="0" w:after="160" w:line="259" w:lineRule="auto"/>
                          <w:ind w:left="0" w:firstLine="0"/>
                          <w:jc w:val="left"/>
                        </w:pPr>
                        <w:r>
                          <w:rPr>
                            <w:sz w:val="24"/>
                          </w:rPr>
                          <w:t xml:space="preserve">развития</w:t>
                        </w:r>
                      </w:p>
                    </w:txbxContent>
                  </v:textbox>
                </v:rect>
                <v:rect id="Rectangle 47449" style="position:absolute;width:506;height:2243;left:43770;top:16324;" filled="f" stroked="f">
                  <v:textbox inset="0,0,0,0">
                    <w:txbxContent>
                      <w:p>
                        <w:pPr>
                          <w:spacing w:before="0" w:after="160" w:line="259" w:lineRule="auto"/>
                          <w:ind w:left="0" w:firstLine="0"/>
                          <w:jc w:val="left"/>
                        </w:pPr>
                        <w:r>
                          <w:rPr>
                            <w:sz w:val="24"/>
                          </w:rPr>
                          <w:t xml:space="preserve"> </w:t>
                        </w:r>
                      </w:p>
                    </w:txbxContent>
                  </v:textbox>
                </v:rect>
                <v:shape id="Shape 47451" style="position:absolute;width:8153;height:7969;left:53568;top:14466;" coordsize="815340,796925" path="m0,796925l815340,796925l815340,0l0,0x">
                  <v:stroke weight="0.75pt" endcap="round" joinstyle="miter" miterlimit="10" on="true" color="#000000"/>
                  <v:fill on="false" color="#000000" opacity="0"/>
                </v:shape>
                <v:rect id="Rectangle 47452" style="position:absolute;width:6522;height:1843;left:55402;top:14872;" filled="f" stroked="f">
                  <v:textbox inset="0,0,0,0">
                    <w:txbxContent>
                      <w:p>
                        <w:pPr>
                          <w:spacing w:before="0" w:after="160" w:line="259" w:lineRule="auto"/>
                          <w:ind w:left="0" w:firstLine="0"/>
                          <w:jc w:val="left"/>
                        </w:pPr>
                        <w:r>
                          <w:rPr>
                            <w:sz w:val="24"/>
                          </w:rPr>
                          <w:t xml:space="preserve">Размер </w:t>
                        </w:r>
                      </w:p>
                    </w:txbxContent>
                  </v:textbox>
                </v:rect>
                <v:rect id="Rectangle 47453" style="position:absolute;width:8162;height:1843;left:54350;top:16625;" filled="f" stroked="f">
                  <v:textbox inset="0,0,0,0">
                    <w:txbxContent>
                      <w:p>
                        <w:pPr>
                          <w:spacing w:before="0" w:after="160" w:line="259" w:lineRule="auto"/>
                          <w:ind w:left="0" w:firstLine="0"/>
                          <w:jc w:val="left"/>
                        </w:pPr>
                        <w:r>
                          <w:rPr>
                            <w:sz w:val="24"/>
                          </w:rPr>
                          <w:t xml:space="preserve">предприя</w:t>
                        </w:r>
                      </w:p>
                    </w:txbxContent>
                  </v:textbox>
                </v:rect>
                <v:rect id="Rectangle 47454" style="position:absolute;width:674;height:2243;left:60492;top:16324;" filled="f" stroked="f">
                  <v:textbox inset="0,0,0,0">
                    <w:txbxContent>
                      <w:p>
                        <w:pPr>
                          <w:spacing w:before="0" w:after="160" w:line="259" w:lineRule="auto"/>
                          <w:ind w:left="0" w:firstLine="0"/>
                          <w:jc w:val="left"/>
                        </w:pPr>
                        <w:r>
                          <w:rPr>
                            <w:sz w:val="24"/>
                          </w:rPr>
                          <w:t xml:space="preserve">-</w:t>
                        </w:r>
                      </w:p>
                    </w:txbxContent>
                  </v:textbox>
                </v:rect>
                <v:rect id="Rectangle 47455" style="position:absolute;width:2916;height:1843;left:56575;top:18378;" filled="f" stroked="f">
                  <v:textbox inset="0,0,0,0">
                    <w:txbxContent>
                      <w:p>
                        <w:pPr>
                          <w:spacing w:before="0" w:after="160" w:line="259" w:lineRule="auto"/>
                          <w:ind w:left="0" w:firstLine="0"/>
                          <w:jc w:val="left"/>
                        </w:pPr>
                        <w:r>
                          <w:rPr>
                            <w:sz w:val="24"/>
                          </w:rPr>
                          <w:t xml:space="preserve">тия</w:t>
                        </w:r>
                      </w:p>
                    </w:txbxContent>
                  </v:textbox>
                </v:rect>
                <v:rect id="Rectangle 47456" style="position:absolute;width:506;height:2243;left:58755;top:18076;" filled="f" stroked="f">
                  <v:textbox inset="0,0,0,0">
                    <w:txbxContent>
                      <w:p>
                        <w:pPr>
                          <w:spacing w:before="0" w:after="160" w:line="259" w:lineRule="auto"/>
                          <w:ind w:left="0" w:firstLine="0"/>
                          <w:jc w:val="left"/>
                        </w:pPr>
                        <w:r>
                          <w:rPr>
                            <w:sz w:val="24"/>
                          </w:rPr>
                          <w:t xml:space="preserve"> </w:t>
                        </w:r>
                      </w:p>
                    </w:txbxContent>
                  </v:textbox>
                </v:rect>
                <v:shape id="Shape 47458" style="position:absolute;width:6991;height:7969;left:45415;top:14466;" coordsize="699135,796925" path="m0,796925l699135,796925l699135,0l0,0x">
                  <v:stroke weight="0.75pt" endcap="round" joinstyle="miter" miterlimit="10" on="true" color="#000000"/>
                  <v:fill on="false" color="#000000" opacity="0"/>
                </v:shape>
                <v:rect id="Rectangle 47459" style="position:absolute;width:6504;height:1843;left:46666;top:15330;" filled="f" stroked="f">
                  <v:textbox inset="0,0,0,0">
                    <w:txbxContent>
                      <w:p>
                        <w:pPr>
                          <w:spacing w:before="0" w:after="160" w:line="259" w:lineRule="auto"/>
                          <w:ind w:left="0" w:firstLine="0"/>
                          <w:jc w:val="left"/>
                        </w:pPr>
                        <w:r>
                          <w:rPr>
                            <w:sz w:val="24"/>
                          </w:rPr>
                          <w:t xml:space="preserve">Состав </w:t>
                        </w:r>
                      </w:p>
                    </w:txbxContent>
                  </v:textbox>
                </v:rect>
                <v:rect id="Rectangle 47460" style="position:absolute;width:6895;height:1843;left:46071;top:17082;" filled="f" stroked="f">
                  <v:textbox inset="0,0,0,0">
                    <w:txbxContent>
                      <w:p>
                        <w:pPr>
                          <w:spacing w:before="0" w:after="160" w:line="259" w:lineRule="auto"/>
                          <w:ind w:left="0" w:firstLine="0"/>
                          <w:jc w:val="left"/>
                        </w:pPr>
                        <w:r>
                          <w:rPr>
                            <w:sz w:val="24"/>
                          </w:rPr>
                          <w:t xml:space="preserve">персона</w:t>
                        </w:r>
                      </w:p>
                    </w:txbxContent>
                  </v:textbox>
                </v:rect>
                <v:rect id="Rectangle 47461" style="position:absolute;width:674;height:2243;left:51253;top:16781;" filled="f" stroked="f">
                  <v:textbox inset="0,0,0,0">
                    <w:txbxContent>
                      <w:p>
                        <w:pPr>
                          <w:spacing w:before="0" w:after="160" w:line="259" w:lineRule="auto"/>
                          <w:ind w:left="0" w:firstLine="0"/>
                          <w:jc w:val="left"/>
                        </w:pPr>
                        <w:r>
                          <w:rPr>
                            <w:sz w:val="24"/>
                          </w:rPr>
                          <w:t xml:space="preserve">-</w:t>
                        </w:r>
                      </w:p>
                    </w:txbxContent>
                  </v:textbox>
                </v:rect>
                <v:rect id="Rectangle 47462" style="position:absolute;width:1913;height:1843;left:48205;top:18835;" filled="f" stroked="f">
                  <v:textbox inset="0,0,0,0">
                    <w:txbxContent>
                      <w:p>
                        <w:pPr>
                          <w:spacing w:before="0" w:after="160" w:line="259" w:lineRule="auto"/>
                          <w:ind w:left="0" w:firstLine="0"/>
                          <w:jc w:val="left"/>
                        </w:pPr>
                        <w:r>
                          <w:rPr>
                            <w:sz w:val="24"/>
                          </w:rPr>
                          <w:t xml:space="preserve">ла</w:t>
                        </w:r>
                      </w:p>
                    </w:txbxContent>
                  </v:textbox>
                </v:rect>
                <v:rect id="Rectangle 47463" style="position:absolute;width:506;height:2243;left:49637;top:18534;" filled="f" stroked="f">
                  <v:textbox inset="0,0,0,0">
                    <w:txbxContent>
                      <w:p>
                        <w:pPr>
                          <w:spacing w:before="0" w:after="160" w:line="259" w:lineRule="auto"/>
                          <w:ind w:left="0" w:firstLine="0"/>
                          <w:jc w:val="left"/>
                        </w:pPr>
                        <w:r>
                          <w:rPr>
                            <w:sz w:val="24"/>
                          </w:rPr>
                          <w:t xml:space="preserve"> </w:t>
                        </w:r>
                      </w:p>
                    </w:txbxContent>
                  </v:textbox>
                </v:rect>
                <v:shape id="Shape 47464" style="position:absolute;width:20966;height:4318;left:3486;top:10356;" coordsize="2096694,431800" path="m2014652,0l2096694,22988l2029003,74803l2023006,43545l2388,431800l0,419354l2020622,31118l2014652,0x">
                  <v:stroke weight="0pt" endcap="round" joinstyle="miter" miterlimit="10" on="false" color="#000000" opacity="0"/>
                  <v:fill on="true" color="#000000"/>
                </v:shape>
                <v:shape id="Shape 47465" style="position:absolute;width:14000;height:4241;left:11621;top:10431;" coordsize="1400048,424180" path="m1316228,0l1400048,15494l1337310,73152l1328515,42636l3556,424180l0,411988l1325008,30466l1316228,0x">
                  <v:stroke weight="0pt" endcap="round" joinstyle="miter" miterlimit="10" on="false" color="#000000" opacity="0"/>
                  <v:fill on="true" color="#000000"/>
                </v:shape>
                <v:shape id="Shape 47466" style="position:absolute;width:762;height:4025;left:29895;top:10586;" coordsize="76200,402589" path="m38100,0l76200,76200l44450,76200l44450,402589l31750,402589l31750,76200l0,76200l38100,0x">
                  <v:stroke weight="0pt" endcap="round" joinstyle="miter" miterlimit="10" on="false" color="#000000" opacity="0"/>
                  <v:fill on="true" color="#000000"/>
                </v:shape>
                <v:shape id="Shape 47467" style="position:absolute;width:7016;height:4080;left:32607;top:10586;" coordsize="701675,408050" path="m0,0l85090,5080l69243,32548l701675,397128l695325,408050l62876,43584l46990,71120l0,0x">
                  <v:stroke weight="0pt" endcap="round" joinstyle="miter" miterlimit="10" on="false" color="#000000" opacity="0"/>
                  <v:fill on="true" color="#000000"/>
                </v:shape>
                <v:shape id="Shape 47468" style="position:absolute;width:8187;height:4088;left:19765;top:10581;" coordsize="818769,408813" path="m733552,0l818769,508l767334,68453l753253,39922l5588,408813l0,397384l747598,28463l733552,0x">
                  <v:stroke weight="0pt" endcap="round" joinstyle="miter" miterlimit="10" on="false" color="#000000" opacity="0"/>
                  <v:fill on="true" color="#000000"/>
                </v:shape>
                <v:shape id="Shape 47469" style="position:absolute;width:12833;height:4221;left:34931;top:10452;" coordsize="1283335,422149" path="m84074,0l74567,30212l1283335,409956l1279525,422149l70733,42397l61214,72644l0,13463l84074,0x">
                  <v:stroke weight="0pt" endcap="round" joinstyle="miter" miterlimit="10" on="false" color="#000000" opacity="0"/>
                  <v:fill on="true" color="#000000"/>
                </v:shape>
                <v:shape id="Shape 47470" style="position:absolute;width:20979;height:4318;left:36099;top:10356;" coordsize="2097913,431800" path="m82042,0l76072,31116l2097913,419354l2095627,431800l73688,43544l67691,74803l0,22988l82042,0x">
                  <v:stroke weight="0pt" endcap="round" joinstyle="miter" miterlimit="10" on="false" color="#000000" opacity="0"/>
                  <v:fill on="true" color="#000000"/>
                </v:shape>
                <v:shape id="Shape 47471" style="position:absolute;width:11672;height:4197;left:15118;top:3846;" coordsize="1167257,419735" path="m4064,0l1097359,377622l1107694,347726l1167257,408559l1082802,419735l1093187,389691l0,11938l4064,0x">
                  <v:stroke weight="0pt" endcap="round" joinstyle="miter" miterlimit="10" on="false" color="#000000" opacity="0"/>
                  <v:fill on="true" color="#000000"/>
                </v:shape>
                <v:shape id="Shape 47472" style="position:absolute;width:762;height:4025;left:29895;top:3906;" coordsize="76200,402590" path="m31750,0l44450,0l44450,326390l76200,326390l38100,402590l0,326390l31750,326390l31750,0x">
                  <v:stroke weight="0pt" endcap="round" joinstyle="miter" miterlimit="10" on="false" color="#000000" opacity="0"/>
                  <v:fill on="true" color="#000000"/>
                </v:shape>
                <v:shape id="Shape 47473" style="position:absolute;width:10494;height:4168;left:33782;top:3846;" coordsize="1049401,416814" path="m1044829,0l1049401,11938l73388,387134l84836,416814l0,408559l57404,345694l68830,375316l1044829,0x">
                  <v:stroke weight="0pt" endcap="round" joinstyle="miter" miterlimit="10" on="false" color="#000000" opacity="0"/>
                  <v:fill on="true" color="#000000"/>
                </v:shape>
              </v:group>
            </w:pict>
          </mc:Fallback>
        </mc:AlternateContent>
      </w:r>
    </w:p>
    <w:p w:rsidR="002C0F56" w:rsidRDefault="00E67C6E">
      <w:pPr>
        <w:spacing w:after="4" w:line="266" w:lineRule="auto"/>
        <w:ind w:left="739" w:right="1093" w:hanging="10"/>
      </w:pPr>
      <w:r>
        <w:rPr>
          <w:b/>
          <w:i/>
        </w:rPr>
        <w:t xml:space="preserve">Внутренние факторы </w:t>
      </w:r>
    </w:p>
    <w:p w:rsidR="002C0F56" w:rsidRDefault="00E67C6E">
      <w:pPr>
        <w:spacing w:after="0" w:line="259" w:lineRule="auto"/>
        <w:ind w:left="744" w:firstLine="0"/>
        <w:jc w:val="left"/>
      </w:pPr>
      <w:r>
        <w:t xml:space="preserve"> </w:t>
      </w:r>
    </w:p>
    <w:p w:rsidR="002C0F56" w:rsidRDefault="00E67C6E">
      <w:pPr>
        <w:spacing w:after="5" w:line="271" w:lineRule="auto"/>
        <w:ind w:left="4287" w:right="396" w:hanging="3406"/>
        <w:jc w:val="left"/>
      </w:pPr>
      <w:r>
        <w:rPr>
          <w:b/>
          <w:sz w:val="24"/>
        </w:rPr>
        <w:t xml:space="preserve">Рис. 2. </w:t>
      </w:r>
      <w:r>
        <w:rPr>
          <w:b/>
          <w:sz w:val="24"/>
        </w:rPr>
        <w:t xml:space="preserve">Факторы, влияющие на формирование системы управления персоналом предприятия </w:t>
      </w:r>
    </w:p>
    <w:p w:rsidR="002C0F56" w:rsidRDefault="00E67C6E">
      <w:pPr>
        <w:spacing w:after="25" w:line="259" w:lineRule="auto"/>
        <w:ind w:left="744" w:firstLine="0"/>
        <w:jc w:val="left"/>
      </w:pPr>
      <w:r>
        <w:t xml:space="preserve"> </w:t>
      </w:r>
    </w:p>
    <w:p w:rsidR="002C0F56" w:rsidRDefault="00E67C6E">
      <w:pPr>
        <w:ind w:left="165" w:right="870"/>
      </w:pPr>
      <w:r>
        <w:lastRenderedPageBreak/>
        <w:t>Эффективность управления персоналом, наиболее полная реализация поставленных целей во многом зависят от выбора вариантов построения самой системы управления персоналом предприят</w:t>
      </w:r>
      <w:r>
        <w:t xml:space="preserve">ия, механизма его функционирования, выбора наиболее оптимальных технологий и методов </w:t>
      </w:r>
    </w:p>
    <w:p w:rsidR="002C0F56" w:rsidRDefault="00E67C6E">
      <w:pPr>
        <w:ind w:left="165" w:right="302" w:firstLine="0"/>
      </w:pPr>
      <w:r>
        <w:t xml:space="preserve">управления. [4, с.145] </w:t>
      </w:r>
    </w:p>
    <w:p w:rsidR="002C0F56" w:rsidRDefault="00E67C6E">
      <w:pPr>
        <w:ind w:left="165" w:right="867"/>
      </w:pPr>
      <w:r>
        <w:t>Методы управления персоналом - это способы воздействия на коллектив и отдельных работников с целью осуществления координации их деятельности в про</w:t>
      </w:r>
      <w:r>
        <w:t xml:space="preserve">цессе функционирования предприятия. Методы управления персоналом делятся на три основные группы: административные, экономические и </w:t>
      </w:r>
    </w:p>
    <w:p w:rsidR="002C0F56" w:rsidRDefault="00E67C6E">
      <w:pPr>
        <w:spacing w:after="12"/>
        <w:ind w:left="165" w:right="302" w:firstLine="0"/>
      </w:pPr>
      <w:r>
        <w:t xml:space="preserve">социально-психологические (рис. 3). [5, с.56] </w:t>
      </w:r>
    </w:p>
    <w:p w:rsidR="002C0F56" w:rsidRDefault="00E67C6E">
      <w:pPr>
        <w:spacing w:after="0"/>
        <w:ind w:left="165" w:right="869"/>
      </w:pPr>
      <w:r>
        <w:t xml:space="preserve">На данный момент сложилась ситуация, когда управлению персоналом не уделяется достаточно внимания, технология разработки и принятия кадровых решений несовершенна и научно не обоснована, в большинстве случаев отсутствует ориентация на достижение социальной </w:t>
      </w:r>
      <w:r>
        <w:t xml:space="preserve">эффективности в управлении персоналом. Это связано с существованием ряда проблем в области управления персоналом на предприятиях . </w:t>
      </w:r>
    </w:p>
    <w:p w:rsidR="002C0F56" w:rsidRDefault="00E67C6E">
      <w:pPr>
        <w:ind w:left="165" w:right="864"/>
      </w:pPr>
      <w:r>
        <w:t>На сегодняшний день назрело серьезное несоответствие между растущей объективной потребностью в обеспечении функций управлени</w:t>
      </w:r>
      <w:r>
        <w:t>я персоналом и состоянием служб, отвечающих за это. Функции управления персоналом рассредоточены между различными подразделениями, так или иначе участвующих в решении кадровых вопросов. Отсутствие необходимой координации не позволяет эффективно управлять п</w:t>
      </w:r>
      <w:r>
        <w:t>ерсоналом. Из-за этого, как правило, HR-службы пока не способны взять на себя роль, обеспечивающую весь комплекс мер по управлению персоналом, гарантирующих качество подбора и расстановки персонала всех уровней. Их практическое влияние на эффективность раб</w:t>
      </w:r>
      <w:r>
        <w:t xml:space="preserve">оты предприятия минимально, а престиж среди других </w:t>
      </w:r>
    </w:p>
    <w:p w:rsidR="002C0F56" w:rsidRDefault="00E67C6E">
      <w:pPr>
        <w:ind w:left="165" w:right="302" w:firstLine="0"/>
      </w:pPr>
      <w:r>
        <w:t xml:space="preserve">служб не высок. [1, с.15-18] </w:t>
      </w:r>
    </w:p>
    <w:p w:rsidR="002C0F56" w:rsidRDefault="002C0F56">
      <w:pPr>
        <w:sectPr w:rsidR="002C0F56">
          <w:headerReference w:type="even" r:id="rId1007"/>
          <w:headerReference w:type="default" r:id="rId1008"/>
          <w:footerReference w:type="even" r:id="rId1009"/>
          <w:footerReference w:type="default" r:id="rId1010"/>
          <w:headerReference w:type="first" r:id="rId1011"/>
          <w:footerReference w:type="first" r:id="rId1012"/>
          <w:pgSz w:w="11906" w:h="16838"/>
          <w:pgMar w:top="1531" w:right="266" w:bottom="1214" w:left="953" w:header="765" w:footer="709" w:gutter="0"/>
          <w:cols w:space="720"/>
        </w:sectPr>
      </w:pPr>
    </w:p>
    <w:p w:rsidR="002C0F56" w:rsidRDefault="00E67C6E">
      <w:pPr>
        <w:spacing w:after="0" w:line="259" w:lineRule="auto"/>
        <w:ind w:left="526" w:firstLine="0"/>
        <w:jc w:val="left"/>
      </w:pPr>
      <w:r>
        <w:t xml:space="preserve"> </w:t>
      </w:r>
    </w:p>
    <w:p w:rsidR="002C0F56" w:rsidRDefault="00E67C6E">
      <w:pPr>
        <w:spacing w:after="0" w:line="259" w:lineRule="auto"/>
        <w:ind w:left="526" w:firstLine="0"/>
        <w:jc w:val="left"/>
      </w:pPr>
      <w:r>
        <w:t xml:space="preserve"> </w:t>
      </w:r>
    </w:p>
    <w:p w:rsidR="002C0F56" w:rsidRDefault="00E67C6E">
      <w:pPr>
        <w:spacing w:after="0" w:line="259" w:lineRule="auto"/>
        <w:ind w:left="526" w:firstLine="0"/>
        <w:jc w:val="left"/>
      </w:pPr>
      <w:r>
        <w:t xml:space="preserve"> </w:t>
      </w:r>
    </w:p>
    <w:p w:rsidR="002C0F56" w:rsidRDefault="00E67C6E">
      <w:pPr>
        <w:spacing w:after="0" w:line="259" w:lineRule="auto"/>
        <w:ind w:left="526" w:firstLine="0"/>
        <w:jc w:val="left"/>
      </w:pPr>
      <w:r>
        <w:t xml:space="preserve"> </w:t>
      </w:r>
    </w:p>
    <w:p w:rsidR="002C0F56" w:rsidRDefault="00E67C6E">
      <w:pPr>
        <w:spacing w:after="0" w:line="259" w:lineRule="auto"/>
        <w:ind w:left="10" w:right="8" w:hanging="10"/>
        <w:jc w:val="center"/>
      </w:pPr>
      <w:r>
        <w:rPr>
          <w:sz w:val="24"/>
        </w:rPr>
        <w:t xml:space="preserve">Административные </w:t>
      </w:r>
    </w:p>
    <w:p w:rsidR="002C0F56" w:rsidRDefault="00E67C6E">
      <w:pPr>
        <w:spacing w:after="0" w:line="259" w:lineRule="auto"/>
        <w:ind w:left="526" w:firstLine="0"/>
        <w:jc w:val="left"/>
      </w:pPr>
      <w:r>
        <w:t xml:space="preserve"> </w:t>
      </w:r>
    </w:p>
    <w:p w:rsidR="002C0F56" w:rsidRDefault="00E67C6E">
      <w:pPr>
        <w:spacing w:after="5" w:line="274" w:lineRule="auto"/>
        <w:ind w:left="-5" w:right="84" w:hanging="10"/>
      </w:pPr>
      <w:r>
        <w:rPr>
          <w:sz w:val="24"/>
        </w:rPr>
        <w:t xml:space="preserve">1.Формирование </w:t>
      </w:r>
      <w:r>
        <w:t xml:space="preserve"> </w:t>
      </w:r>
      <w:r>
        <w:rPr>
          <w:sz w:val="24"/>
        </w:rPr>
        <w:t xml:space="preserve">структуры органов </w:t>
      </w:r>
      <w:r>
        <w:t xml:space="preserve"> </w:t>
      </w:r>
      <w:r>
        <w:rPr>
          <w:sz w:val="24"/>
        </w:rPr>
        <w:t>управления.</w:t>
      </w:r>
      <w:r>
        <w:t xml:space="preserve"> </w:t>
      </w:r>
      <w:r>
        <w:rPr>
          <w:sz w:val="24"/>
        </w:rPr>
        <w:t xml:space="preserve"> 2.Утверждение административных норм </w:t>
      </w:r>
      <w:r>
        <w:t xml:space="preserve"> </w:t>
      </w:r>
      <w:r>
        <w:rPr>
          <w:sz w:val="24"/>
        </w:rPr>
        <w:t>и нормативов.</w:t>
      </w:r>
      <w:r>
        <w:rPr>
          <w:sz w:val="43"/>
          <w:vertAlign w:val="superscript"/>
        </w:rPr>
        <w:t xml:space="preserve"> </w:t>
      </w:r>
      <w:r>
        <w:rPr>
          <w:sz w:val="43"/>
          <w:vertAlign w:val="superscript"/>
        </w:rPr>
        <w:tab/>
      </w:r>
      <w:r>
        <w:rPr>
          <w:sz w:val="24"/>
        </w:rPr>
        <w:t xml:space="preserve"> </w:t>
      </w:r>
      <w:r>
        <w:rPr>
          <w:sz w:val="24"/>
        </w:rPr>
        <w:t>3.Правов</w:t>
      </w:r>
      <w:r>
        <w:t xml:space="preserve"> </w:t>
      </w:r>
      <w:r>
        <w:rPr>
          <w:sz w:val="24"/>
        </w:rPr>
        <w:t>ое регулировани</w:t>
      </w:r>
      <w:r>
        <w:t xml:space="preserve"> </w:t>
      </w:r>
      <w:r>
        <w:rPr>
          <w:sz w:val="24"/>
        </w:rPr>
        <w:t xml:space="preserve">е. </w:t>
      </w:r>
    </w:p>
    <w:p w:rsidR="002C0F56" w:rsidRDefault="00E67C6E">
      <w:pPr>
        <w:spacing w:after="28" w:line="271" w:lineRule="auto"/>
        <w:ind w:left="-5" w:hanging="10"/>
        <w:jc w:val="left"/>
      </w:pPr>
      <w:r>
        <w:rPr>
          <w:sz w:val="24"/>
        </w:rPr>
        <w:t>4.Издание</w:t>
      </w:r>
      <w:r>
        <w:t xml:space="preserve"> </w:t>
      </w:r>
      <w:r>
        <w:tab/>
      </w:r>
      <w:r>
        <w:rPr>
          <w:sz w:val="24"/>
        </w:rPr>
        <w:t xml:space="preserve"> приказов, указаний и </w:t>
      </w:r>
      <w:r>
        <w:t xml:space="preserve"> </w:t>
      </w:r>
    </w:p>
    <w:p w:rsidR="002C0F56" w:rsidRDefault="00E67C6E">
      <w:pPr>
        <w:spacing w:after="5" w:line="271" w:lineRule="auto"/>
        <w:ind w:left="-5" w:hanging="10"/>
        <w:jc w:val="left"/>
      </w:pPr>
      <w:r>
        <w:rPr>
          <w:sz w:val="24"/>
        </w:rPr>
        <w:t xml:space="preserve">распоряжений. </w:t>
      </w:r>
    </w:p>
    <w:p w:rsidR="002C0F56" w:rsidRDefault="00E67C6E">
      <w:pPr>
        <w:spacing w:after="0" w:line="259" w:lineRule="auto"/>
        <w:ind w:left="526" w:firstLine="0"/>
        <w:jc w:val="left"/>
      </w:pPr>
      <w:r>
        <w:t xml:space="preserve"> </w:t>
      </w:r>
    </w:p>
    <w:p w:rsidR="002C0F56" w:rsidRDefault="00E67C6E">
      <w:pPr>
        <w:spacing w:after="5" w:line="271" w:lineRule="auto"/>
        <w:ind w:left="-5" w:hanging="10"/>
        <w:jc w:val="left"/>
      </w:pPr>
      <w:r>
        <w:rPr>
          <w:sz w:val="24"/>
        </w:rPr>
        <w:t>5.Инструктирование. 6.Наб</w:t>
      </w:r>
      <w:r>
        <w:rPr>
          <w:sz w:val="43"/>
          <w:vertAlign w:val="superscript"/>
        </w:rPr>
        <w:t xml:space="preserve"> </w:t>
      </w:r>
      <w:r>
        <w:rPr>
          <w:sz w:val="24"/>
        </w:rPr>
        <w:t>ор, отбор и расстановка кадров.</w:t>
      </w:r>
      <w:r>
        <w:t xml:space="preserve"> </w:t>
      </w:r>
      <w:r>
        <w:tab/>
      </w:r>
      <w:r>
        <w:rPr>
          <w:sz w:val="24"/>
        </w:rPr>
        <w:t xml:space="preserve"> </w:t>
      </w:r>
    </w:p>
    <w:p w:rsidR="002C0F56" w:rsidRDefault="00E67C6E">
      <w:pPr>
        <w:spacing w:after="35" w:line="271" w:lineRule="auto"/>
        <w:ind w:left="-5" w:hanging="10"/>
        <w:jc w:val="left"/>
      </w:pPr>
      <w:r>
        <w:rPr>
          <w:sz w:val="24"/>
        </w:rPr>
        <w:t>7.Утверждение</w:t>
      </w:r>
      <w:r>
        <w:t xml:space="preserve"> </w:t>
      </w:r>
      <w:r>
        <w:tab/>
      </w:r>
      <w:r>
        <w:rPr>
          <w:sz w:val="24"/>
        </w:rPr>
        <w:t xml:space="preserve"> методик и рекомендаций.</w:t>
      </w:r>
      <w:r>
        <w:t xml:space="preserve"> </w:t>
      </w:r>
      <w:r>
        <w:tab/>
      </w:r>
      <w:r>
        <w:rPr>
          <w:sz w:val="24"/>
        </w:rPr>
        <w:t xml:space="preserve"> </w:t>
      </w:r>
    </w:p>
    <w:p w:rsidR="002C0F56" w:rsidRDefault="00E67C6E">
      <w:pPr>
        <w:spacing w:after="5" w:line="271" w:lineRule="auto"/>
        <w:ind w:left="-5" w:hanging="10"/>
        <w:jc w:val="left"/>
      </w:pPr>
      <w:r>
        <w:rPr>
          <w:sz w:val="24"/>
        </w:rPr>
        <w:t>8.Разработка</w:t>
      </w:r>
      <w:r>
        <w:rPr>
          <w:sz w:val="43"/>
          <w:vertAlign w:val="subscript"/>
        </w:rPr>
        <w:t xml:space="preserve"> </w:t>
      </w:r>
      <w:r>
        <w:rPr>
          <w:sz w:val="43"/>
          <w:vertAlign w:val="subscript"/>
        </w:rPr>
        <w:tab/>
      </w:r>
      <w:r>
        <w:rPr>
          <w:sz w:val="24"/>
        </w:rPr>
        <w:t xml:space="preserve"> положений, должностных инструкций, стандартов </w:t>
      </w:r>
      <w:r>
        <w:t xml:space="preserve"> </w:t>
      </w:r>
      <w:r>
        <w:rPr>
          <w:sz w:val="24"/>
        </w:rPr>
        <w:t>организации.</w:t>
      </w:r>
      <w:r>
        <w:rPr>
          <w:sz w:val="43"/>
          <w:vertAlign w:val="superscript"/>
        </w:rPr>
        <w:t xml:space="preserve"> </w:t>
      </w:r>
      <w:r>
        <w:rPr>
          <w:sz w:val="43"/>
          <w:vertAlign w:val="superscript"/>
        </w:rPr>
        <w:tab/>
      </w:r>
      <w:r>
        <w:rPr>
          <w:sz w:val="24"/>
        </w:rPr>
        <w:t xml:space="preserve"> </w:t>
      </w:r>
    </w:p>
    <w:p w:rsidR="002C0F56" w:rsidRDefault="00E67C6E">
      <w:pPr>
        <w:spacing w:after="46" w:line="274" w:lineRule="auto"/>
        <w:ind w:left="-5" w:right="560" w:hanging="10"/>
      </w:pPr>
      <w:r>
        <w:rPr>
          <w:sz w:val="24"/>
        </w:rPr>
        <w:t>9.Разработка</w:t>
      </w:r>
      <w:r>
        <w:rPr>
          <w:i/>
        </w:rPr>
        <w:t xml:space="preserve"> </w:t>
      </w:r>
      <w:r>
        <w:rPr>
          <w:sz w:val="24"/>
        </w:rPr>
        <w:t xml:space="preserve"> другой регламентир</w:t>
      </w:r>
      <w:r>
        <w:rPr>
          <w:i/>
        </w:rPr>
        <w:t xml:space="preserve"> </w:t>
      </w:r>
      <w:r>
        <w:rPr>
          <w:sz w:val="24"/>
        </w:rPr>
        <w:t>ующей документации.</w:t>
      </w:r>
      <w:r>
        <w:rPr>
          <w:i/>
        </w:rPr>
        <w:t xml:space="preserve"> </w:t>
      </w:r>
      <w:r>
        <w:rPr>
          <w:i/>
        </w:rPr>
        <w:tab/>
      </w:r>
      <w:r>
        <w:rPr>
          <w:sz w:val="24"/>
        </w:rPr>
        <w:t xml:space="preserve"> </w:t>
      </w:r>
    </w:p>
    <w:p w:rsidR="002C0F56" w:rsidRDefault="00E67C6E">
      <w:pPr>
        <w:spacing w:after="87" w:line="271" w:lineRule="auto"/>
        <w:ind w:left="-5" w:hanging="10"/>
        <w:jc w:val="left"/>
      </w:pPr>
      <w:r>
        <w:rPr>
          <w:sz w:val="24"/>
        </w:rPr>
        <w:t>10.Установление</w:t>
      </w:r>
      <w:r>
        <w:rPr>
          <w:i/>
          <w:sz w:val="43"/>
          <w:vertAlign w:val="subscript"/>
        </w:rPr>
        <w:t xml:space="preserve"> </w:t>
      </w:r>
      <w:r>
        <w:rPr>
          <w:i/>
          <w:sz w:val="43"/>
          <w:vertAlign w:val="subscript"/>
        </w:rPr>
        <w:tab/>
      </w:r>
      <w:r>
        <w:rPr>
          <w:sz w:val="24"/>
        </w:rPr>
        <w:t xml:space="preserve"> административных </w:t>
      </w:r>
    </w:p>
    <w:p w:rsidR="002C0F56" w:rsidRDefault="00E67C6E">
      <w:pPr>
        <w:tabs>
          <w:tab w:val="center" w:pos="2316"/>
        </w:tabs>
        <w:spacing w:after="5" w:line="271" w:lineRule="auto"/>
        <w:ind w:left="-15" w:firstLine="0"/>
        <w:jc w:val="left"/>
      </w:pPr>
      <w:r>
        <w:rPr>
          <w:sz w:val="24"/>
        </w:rPr>
        <w:t>санкций и поощрений.</w:t>
      </w:r>
      <w:r>
        <w:rPr>
          <w:i/>
        </w:rPr>
        <w:t xml:space="preserve"> </w:t>
      </w:r>
      <w:r>
        <w:rPr>
          <w:i/>
        </w:rPr>
        <w:tab/>
      </w:r>
      <w:r>
        <w:rPr>
          <w:sz w:val="24"/>
        </w:rPr>
        <w:t xml:space="preserve"> </w:t>
      </w:r>
    </w:p>
    <w:p w:rsidR="002C0F56" w:rsidRDefault="00E67C6E">
      <w:pPr>
        <w:spacing w:after="0" w:line="259" w:lineRule="auto"/>
        <w:ind w:left="526" w:firstLine="0"/>
        <w:jc w:val="left"/>
      </w:pPr>
      <w:r>
        <w:rPr>
          <w:i/>
        </w:rPr>
        <w:lastRenderedPageBreak/>
        <w:t xml:space="preserve"> </w:t>
      </w:r>
    </w:p>
    <w:p w:rsidR="002C0F56" w:rsidRDefault="00E67C6E">
      <w:pPr>
        <w:spacing w:after="814" w:line="271" w:lineRule="auto"/>
        <w:ind w:left="80" w:right="396" w:hanging="10"/>
        <w:jc w:val="left"/>
      </w:pPr>
      <w:r>
        <w:rPr>
          <w:b/>
          <w:sz w:val="24"/>
        </w:rPr>
        <w:t xml:space="preserve">Методы управления персоналом </w:t>
      </w:r>
    </w:p>
    <w:p w:rsidR="002C0F56" w:rsidRDefault="00E67C6E">
      <w:pPr>
        <w:tabs>
          <w:tab w:val="center" w:pos="1583"/>
          <w:tab w:val="center" w:pos="5093"/>
        </w:tabs>
        <w:spacing w:after="201" w:line="271" w:lineRule="auto"/>
        <w:ind w:left="0" w:firstLine="0"/>
        <w:jc w:val="left"/>
      </w:pPr>
      <w:r>
        <w:rPr>
          <w:rFonts w:ascii="Calibri" w:eastAsia="Calibri" w:hAnsi="Calibri" w:cs="Calibri"/>
          <w:sz w:val="22"/>
        </w:rPr>
        <w:tab/>
      </w:r>
      <w:r>
        <w:rPr>
          <w:sz w:val="24"/>
        </w:rPr>
        <w:t xml:space="preserve">Экономические </w:t>
      </w:r>
      <w:r>
        <w:rPr>
          <w:sz w:val="24"/>
        </w:rPr>
        <w:tab/>
        <w:t xml:space="preserve">Социально-психологические </w:t>
      </w:r>
    </w:p>
    <w:p w:rsidR="002C0F56" w:rsidRDefault="00E67C6E">
      <w:pPr>
        <w:spacing w:after="5" w:line="271" w:lineRule="auto"/>
        <w:ind w:left="-5" w:hanging="10"/>
        <w:jc w:val="left"/>
      </w:pPr>
      <w:r>
        <w:rPr>
          <w:sz w:val="24"/>
        </w:rPr>
        <w:t xml:space="preserve">1.Технико-экономический </w:t>
      </w:r>
      <w:r>
        <w:rPr>
          <w:sz w:val="24"/>
        </w:rPr>
        <w:tab/>
        <w:t xml:space="preserve">1.Социально-психологический анализ. </w:t>
      </w:r>
      <w:r>
        <w:rPr>
          <w:sz w:val="24"/>
        </w:rPr>
        <w:tab/>
        <w:t xml:space="preserve">анализ. </w:t>
      </w:r>
    </w:p>
    <w:p w:rsidR="002C0F56" w:rsidRDefault="00E67C6E">
      <w:pPr>
        <w:spacing w:after="5" w:line="271" w:lineRule="auto"/>
        <w:ind w:left="-5" w:hanging="10"/>
        <w:jc w:val="left"/>
      </w:pPr>
      <w:r>
        <w:rPr>
          <w:sz w:val="24"/>
        </w:rPr>
        <w:t xml:space="preserve">2.Технико-экономическое </w:t>
      </w:r>
      <w:r>
        <w:rPr>
          <w:sz w:val="24"/>
        </w:rPr>
        <w:tab/>
        <w:t>2. Социально-</w:t>
      </w:r>
      <w:r>
        <w:rPr>
          <w:sz w:val="24"/>
        </w:rPr>
        <w:t xml:space="preserve">психологическое </w:t>
      </w:r>
      <w:r>
        <w:rPr>
          <w:sz w:val="24"/>
        </w:rPr>
        <w:t xml:space="preserve">обоснование. </w:t>
      </w:r>
      <w:r>
        <w:rPr>
          <w:sz w:val="24"/>
        </w:rPr>
        <w:tab/>
        <w:t xml:space="preserve">планирование. </w:t>
      </w:r>
    </w:p>
    <w:p w:rsidR="002C0F56" w:rsidRDefault="00E67C6E">
      <w:pPr>
        <w:spacing w:after="5" w:line="271" w:lineRule="auto"/>
        <w:ind w:left="-5" w:hanging="10"/>
        <w:jc w:val="left"/>
      </w:pPr>
      <w:r>
        <w:rPr>
          <w:sz w:val="24"/>
        </w:rPr>
        <w:t xml:space="preserve">3.Технико-экономическое </w:t>
      </w:r>
      <w:r>
        <w:rPr>
          <w:sz w:val="24"/>
        </w:rPr>
        <w:tab/>
        <w:t xml:space="preserve">3. Создание творческой планирование. </w:t>
      </w:r>
      <w:r>
        <w:rPr>
          <w:sz w:val="24"/>
        </w:rPr>
        <w:tab/>
        <w:t xml:space="preserve">атмосферы. </w:t>
      </w:r>
    </w:p>
    <w:p w:rsidR="002C0F56" w:rsidRDefault="00E67C6E">
      <w:pPr>
        <w:spacing w:after="5" w:line="271" w:lineRule="auto"/>
        <w:ind w:left="-5" w:hanging="10"/>
        <w:jc w:val="left"/>
      </w:pPr>
      <w:r>
        <w:rPr>
          <w:rFonts w:ascii="Calibri" w:eastAsia="Calibri" w:hAnsi="Calibri" w:cs="Calibri"/>
          <w:noProof/>
          <w:sz w:val="22"/>
        </w:rPr>
        <mc:AlternateContent>
          <mc:Choice Requires="wpg">
            <w:drawing>
              <wp:anchor distT="0" distB="0" distL="114300" distR="114300" simplePos="0" relativeHeight="251667456" behindDoc="1" locked="0" layoutInCell="1" allowOverlap="1">
                <wp:simplePos x="0" y="0"/>
                <wp:positionH relativeFrom="column">
                  <wp:posOffset>-1853056</wp:posOffset>
                </wp:positionH>
                <wp:positionV relativeFrom="paragraph">
                  <wp:posOffset>-2082252</wp:posOffset>
                </wp:positionV>
                <wp:extent cx="6172200" cy="5592445"/>
                <wp:effectExtent l="0" t="0" r="0" b="0"/>
                <wp:wrapNone/>
                <wp:docPr id="619897" name="Group 619897"/>
                <wp:cNvGraphicFramePr/>
                <a:graphic xmlns:a="http://schemas.openxmlformats.org/drawingml/2006/main">
                  <a:graphicData uri="http://schemas.microsoft.com/office/word/2010/wordprocessingGroup">
                    <wpg:wgp>
                      <wpg:cNvGrpSpPr/>
                      <wpg:grpSpPr>
                        <a:xfrm>
                          <a:off x="0" y="0"/>
                          <a:ext cx="6172200" cy="5592445"/>
                          <a:chOff x="0" y="0"/>
                          <a:chExt cx="6172200" cy="5592445"/>
                        </a:xfrm>
                      </wpg:grpSpPr>
                      <wps:wsp>
                        <wps:cNvPr id="47556" name="Shape 47556"/>
                        <wps:cNvSpPr/>
                        <wps:spPr>
                          <a:xfrm>
                            <a:off x="1485900" y="0"/>
                            <a:ext cx="3086100" cy="286385"/>
                          </a:xfrm>
                          <a:custGeom>
                            <a:avLst/>
                            <a:gdLst/>
                            <a:ahLst/>
                            <a:cxnLst/>
                            <a:rect l="0" t="0" r="0" b="0"/>
                            <a:pathLst>
                              <a:path w="3086100" h="286385">
                                <a:moveTo>
                                  <a:pt x="0" y="286385"/>
                                </a:moveTo>
                                <a:lnTo>
                                  <a:pt x="3086100" y="286385"/>
                                </a:lnTo>
                                <a:lnTo>
                                  <a:pt x="30861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567" name="Shape 47567"/>
                        <wps:cNvSpPr/>
                        <wps:spPr>
                          <a:xfrm>
                            <a:off x="0" y="706120"/>
                            <a:ext cx="1714500" cy="272415"/>
                          </a:xfrm>
                          <a:custGeom>
                            <a:avLst/>
                            <a:gdLst/>
                            <a:ahLst/>
                            <a:cxnLst/>
                            <a:rect l="0" t="0" r="0" b="0"/>
                            <a:pathLst>
                              <a:path w="1714500" h="272415">
                                <a:moveTo>
                                  <a:pt x="0" y="272415"/>
                                </a:moveTo>
                                <a:lnTo>
                                  <a:pt x="1714500" y="272415"/>
                                </a:lnTo>
                                <a:lnTo>
                                  <a:pt x="17145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571" name="Shape 47571"/>
                        <wps:cNvSpPr/>
                        <wps:spPr>
                          <a:xfrm>
                            <a:off x="1828800" y="706120"/>
                            <a:ext cx="2057400" cy="272415"/>
                          </a:xfrm>
                          <a:custGeom>
                            <a:avLst/>
                            <a:gdLst/>
                            <a:ahLst/>
                            <a:cxnLst/>
                            <a:rect l="0" t="0" r="0" b="0"/>
                            <a:pathLst>
                              <a:path w="2057400" h="272415">
                                <a:moveTo>
                                  <a:pt x="0" y="272415"/>
                                </a:moveTo>
                                <a:lnTo>
                                  <a:pt x="2057400" y="272415"/>
                                </a:lnTo>
                                <a:lnTo>
                                  <a:pt x="20574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575" name="Shape 47575"/>
                        <wps:cNvSpPr/>
                        <wps:spPr>
                          <a:xfrm>
                            <a:off x="4000500" y="706120"/>
                            <a:ext cx="2171700" cy="272415"/>
                          </a:xfrm>
                          <a:custGeom>
                            <a:avLst/>
                            <a:gdLst/>
                            <a:ahLst/>
                            <a:cxnLst/>
                            <a:rect l="0" t="0" r="0" b="0"/>
                            <a:pathLst>
                              <a:path w="2171700" h="272415">
                                <a:moveTo>
                                  <a:pt x="0" y="272415"/>
                                </a:moveTo>
                                <a:lnTo>
                                  <a:pt x="2171700" y="272415"/>
                                </a:lnTo>
                                <a:lnTo>
                                  <a:pt x="21717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117" name="Shape 705117"/>
                        <wps:cNvSpPr/>
                        <wps:spPr>
                          <a:xfrm>
                            <a:off x="0" y="978535"/>
                            <a:ext cx="1714500" cy="4613910"/>
                          </a:xfrm>
                          <a:custGeom>
                            <a:avLst/>
                            <a:gdLst/>
                            <a:ahLst/>
                            <a:cxnLst/>
                            <a:rect l="0" t="0" r="0" b="0"/>
                            <a:pathLst>
                              <a:path w="1714500" h="4613910">
                                <a:moveTo>
                                  <a:pt x="0" y="0"/>
                                </a:moveTo>
                                <a:lnTo>
                                  <a:pt x="1714500" y="0"/>
                                </a:lnTo>
                                <a:lnTo>
                                  <a:pt x="1714500" y="4613910"/>
                                </a:lnTo>
                                <a:lnTo>
                                  <a:pt x="0" y="461391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581" name="Shape 47581"/>
                        <wps:cNvSpPr/>
                        <wps:spPr>
                          <a:xfrm>
                            <a:off x="0" y="978535"/>
                            <a:ext cx="1714500" cy="4613910"/>
                          </a:xfrm>
                          <a:custGeom>
                            <a:avLst/>
                            <a:gdLst/>
                            <a:ahLst/>
                            <a:cxnLst/>
                            <a:rect l="0" t="0" r="0" b="0"/>
                            <a:pathLst>
                              <a:path w="1714500" h="4613910">
                                <a:moveTo>
                                  <a:pt x="0" y="4613910"/>
                                </a:moveTo>
                                <a:lnTo>
                                  <a:pt x="1714500" y="4613910"/>
                                </a:lnTo>
                                <a:lnTo>
                                  <a:pt x="17145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118" name="Shape 705118"/>
                        <wps:cNvSpPr/>
                        <wps:spPr>
                          <a:xfrm>
                            <a:off x="1828800" y="978535"/>
                            <a:ext cx="2057400" cy="4613910"/>
                          </a:xfrm>
                          <a:custGeom>
                            <a:avLst/>
                            <a:gdLst/>
                            <a:ahLst/>
                            <a:cxnLst/>
                            <a:rect l="0" t="0" r="0" b="0"/>
                            <a:pathLst>
                              <a:path w="2057400" h="4613910">
                                <a:moveTo>
                                  <a:pt x="0" y="0"/>
                                </a:moveTo>
                                <a:lnTo>
                                  <a:pt x="2057400" y="0"/>
                                </a:lnTo>
                                <a:lnTo>
                                  <a:pt x="2057400" y="4613910"/>
                                </a:lnTo>
                                <a:lnTo>
                                  <a:pt x="0" y="461391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644" name="Shape 47644"/>
                        <wps:cNvSpPr/>
                        <wps:spPr>
                          <a:xfrm>
                            <a:off x="1828800" y="978535"/>
                            <a:ext cx="2057400" cy="4613910"/>
                          </a:xfrm>
                          <a:custGeom>
                            <a:avLst/>
                            <a:gdLst/>
                            <a:ahLst/>
                            <a:cxnLst/>
                            <a:rect l="0" t="0" r="0" b="0"/>
                            <a:pathLst>
                              <a:path w="2057400" h="4613910">
                                <a:moveTo>
                                  <a:pt x="0" y="4613910"/>
                                </a:moveTo>
                                <a:lnTo>
                                  <a:pt x="2057400" y="4613910"/>
                                </a:lnTo>
                                <a:lnTo>
                                  <a:pt x="20574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705119" name="Shape 705119"/>
                        <wps:cNvSpPr/>
                        <wps:spPr>
                          <a:xfrm>
                            <a:off x="4000500" y="978535"/>
                            <a:ext cx="2171700" cy="4613910"/>
                          </a:xfrm>
                          <a:custGeom>
                            <a:avLst/>
                            <a:gdLst/>
                            <a:ahLst/>
                            <a:cxnLst/>
                            <a:rect l="0" t="0" r="0" b="0"/>
                            <a:pathLst>
                              <a:path w="2171700" h="4613910">
                                <a:moveTo>
                                  <a:pt x="0" y="0"/>
                                </a:moveTo>
                                <a:lnTo>
                                  <a:pt x="2171700" y="0"/>
                                </a:lnTo>
                                <a:lnTo>
                                  <a:pt x="2171700" y="4613910"/>
                                </a:lnTo>
                                <a:lnTo>
                                  <a:pt x="0" y="461391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47718" name="Shape 47718"/>
                        <wps:cNvSpPr/>
                        <wps:spPr>
                          <a:xfrm>
                            <a:off x="4000500" y="978535"/>
                            <a:ext cx="2171700" cy="4613910"/>
                          </a:xfrm>
                          <a:custGeom>
                            <a:avLst/>
                            <a:gdLst/>
                            <a:ahLst/>
                            <a:cxnLst/>
                            <a:rect l="0" t="0" r="0" b="0"/>
                            <a:pathLst>
                              <a:path w="2171700" h="4613910">
                                <a:moveTo>
                                  <a:pt x="0" y="4613910"/>
                                </a:moveTo>
                                <a:lnTo>
                                  <a:pt x="2171700" y="4613910"/>
                                </a:lnTo>
                                <a:lnTo>
                                  <a:pt x="21717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47780" name="Shape 47780"/>
                        <wps:cNvSpPr/>
                        <wps:spPr>
                          <a:xfrm>
                            <a:off x="1257300" y="280416"/>
                            <a:ext cx="1145159" cy="435229"/>
                          </a:xfrm>
                          <a:custGeom>
                            <a:avLst/>
                            <a:gdLst/>
                            <a:ahLst/>
                            <a:cxnLst/>
                            <a:rect l="0" t="0" r="0" b="0"/>
                            <a:pathLst>
                              <a:path w="1145159" h="435229">
                                <a:moveTo>
                                  <a:pt x="1140841" y="0"/>
                                </a:moveTo>
                                <a:lnTo>
                                  <a:pt x="1145159" y="11938"/>
                                </a:lnTo>
                                <a:lnTo>
                                  <a:pt x="73761" y="405454"/>
                                </a:lnTo>
                                <a:lnTo>
                                  <a:pt x="84709" y="435229"/>
                                </a:lnTo>
                                <a:lnTo>
                                  <a:pt x="0" y="425704"/>
                                </a:lnTo>
                                <a:lnTo>
                                  <a:pt x="58420" y="363728"/>
                                </a:lnTo>
                                <a:lnTo>
                                  <a:pt x="69366" y="393498"/>
                                </a:lnTo>
                                <a:lnTo>
                                  <a:pt x="1140841"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781" name="Shape 47781"/>
                        <wps:cNvSpPr/>
                        <wps:spPr>
                          <a:xfrm>
                            <a:off x="2933700" y="286385"/>
                            <a:ext cx="76200" cy="419736"/>
                          </a:xfrm>
                          <a:custGeom>
                            <a:avLst/>
                            <a:gdLst/>
                            <a:ahLst/>
                            <a:cxnLst/>
                            <a:rect l="0" t="0" r="0" b="0"/>
                            <a:pathLst>
                              <a:path w="76200" h="419736">
                                <a:moveTo>
                                  <a:pt x="31750" y="0"/>
                                </a:moveTo>
                                <a:lnTo>
                                  <a:pt x="44450" y="0"/>
                                </a:lnTo>
                                <a:lnTo>
                                  <a:pt x="44450" y="343536"/>
                                </a:lnTo>
                                <a:lnTo>
                                  <a:pt x="76200" y="343536"/>
                                </a:lnTo>
                                <a:lnTo>
                                  <a:pt x="38100" y="419736"/>
                                </a:lnTo>
                                <a:lnTo>
                                  <a:pt x="0" y="343536"/>
                                </a:lnTo>
                                <a:lnTo>
                                  <a:pt x="31750" y="343536"/>
                                </a:lnTo>
                                <a:lnTo>
                                  <a:pt x="3175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47782" name="Shape 47782"/>
                        <wps:cNvSpPr/>
                        <wps:spPr>
                          <a:xfrm>
                            <a:off x="3540887" y="280543"/>
                            <a:ext cx="1031113" cy="432053"/>
                          </a:xfrm>
                          <a:custGeom>
                            <a:avLst/>
                            <a:gdLst/>
                            <a:ahLst/>
                            <a:cxnLst/>
                            <a:rect l="0" t="0" r="0" b="0"/>
                            <a:pathLst>
                              <a:path w="1031113" h="432053">
                                <a:moveTo>
                                  <a:pt x="4826" y="0"/>
                                </a:moveTo>
                                <a:lnTo>
                                  <a:pt x="962968" y="390935"/>
                                </a:lnTo>
                                <a:lnTo>
                                  <a:pt x="974979" y="361569"/>
                                </a:lnTo>
                                <a:lnTo>
                                  <a:pt x="1031113" y="425577"/>
                                </a:lnTo>
                                <a:lnTo>
                                  <a:pt x="946150" y="432053"/>
                                </a:lnTo>
                                <a:lnTo>
                                  <a:pt x="958183" y="402635"/>
                                </a:lnTo>
                                <a:lnTo>
                                  <a:pt x="0" y="11684"/>
                                </a:lnTo>
                                <a:lnTo>
                                  <a:pt x="482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619897" style="width:486pt;height:440.35pt;position:absolute;z-index:-2147483482;mso-position-horizontal-relative:text;mso-position-horizontal:absolute;margin-left:-145.91pt;mso-position-vertical-relative:text;margin-top:-163.957pt;" coordsize="61722,55924">
                <v:shape id="Shape 47556" style="position:absolute;width:30861;height:2863;left:14859;top:0;" coordsize="3086100,286385" path="m0,286385l3086100,286385l3086100,0l0,0x">
                  <v:stroke weight="0.75pt" endcap="round" joinstyle="miter" miterlimit="10" on="true" color="#000000"/>
                  <v:fill on="false" color="#000000" opacity="0"/>
                </v:shape>
                <v:shape id="Shape 47567" style="position:absolute;width:17145;height:2724;left:0;top:7061;" coordsize="1714500,272415" path="m0,272415l1714500,272415l1714500,0l0,0x">
                  <v:stroke weight="0.75pt" endcap="round" joinstyle="miter" miterlimit="10" on="true" color="#000000"/>
                  <v:fill on="false" color="#000000" opacity="0"/>
                </v:shape>
                <v:shape id="Shape 47571" style="position:absolute;width:20574;height:2724;left:18288;top:7061;" coordsize="2057400,272415" path="m0,272415l2057400,272415l2057400,0l0,0x">
                  <v:stroke weight="0.75pt" endcap="round" joinstyle="miter" miterlimit="10" on="true" color="#000000"/>
                  <v:fill on="false" color="#000000" opacity="0"/>
                </v:shape>
                <v:shape id="Shape 47575" style="position:absolute;width:21717;height:2724;left:40005;top:7061;" coordsize="2171700,272415" path="m0,272415l2171700,272415l2171700,0l0,0x">
                  <v:stroke weight="0.75pt" endcap="round" joinstyle="miter" miterlimit="10" on="true" color="#000000"/>
                  <v:fill on="false" color="#000000" opacity="0"/>
                </v:shape>
                <v:shape id="Shape 705120" style="position:absolute;width:17145;height:46139;left:0;top:9785;" coordsize="1714500,4613910" path="m0,0l1714500,0l1714500,4613910l0,4613910l0,0">
                  <v:stroke weight="0pt" endcap="round" joinstyle="miter" miterlimit="10" on="false" color="#000000" opacity="0"/>
                  <v:fill on="true" color="#ffffff"/>
                </v:shape>
                <v:shape id="Shape 47581" style="position:absolute;width:17145;height:46139;left:0;top:9785;" coordsize="1714500,4613910" path="m0,4613910l1714500,4613910l1714500,0l0,0x">
                  <v:stroke weight="0.75pt" endcap="round" joinstyle="miter" miterlimit="10" on="true" color="#000000"/>
                  <v:fill on="false" color="#000000" opacity="0"/>
                </v:shape>
                <v:shape id="Shape 705121" style="position:absolute;width:20574;height:46139;left:18288;top:9785;" coordsize="2057400,4613910" path="m0,0l2057400,0l2057400,4613910l0,4613910l0,0">
                  <v:stroke weight="0pt" endcap="round" joinstyle="miter" miterlimit="10" on="false" color="#000000" opacity="0"/>
                  <v:fill on="true" color="#ffffff"/>
                </v:shape>
                <v:shape id="Shape 47644" style="position:absolute;width:20574;height:46139;left:18288;top:9785;" coordsize="2057400,4613910" path="m0,4613910l2057400,4613910l2057400,0l0,0x">
                  <v:stroke weight="0.75pt" endcap="round" joinstyle="miter" miterlimit="10" on="true" color="#000000"/>
                  <v:fill on="false" color="#000000" opacity="0"/>
                </v:shape>
                <v:shape id="Shape 705122" style="position:absolute;width:21717;height:46139;left:40005;top:9785;" coordsize="2171700,4613910" path="m0,0l2171700,0l2171700,4613910l0,4613910l0,0">
                  <v:stroke weight="0pt" endcap="round" joinstyle="miter" miterlimit="10" on="false" color="#000000" opacity="0"/>
                  <v:fill on="true" color="#ffffff"/>
                </v:shape>
                <v:shape id="Shape 47718" style="position:absolute;width:21717;height:46139;left:40005;top:9785;" coordsize="2171700,4613910" path="m0,4613910l2171700,4613910l2171700,0l0,0x">
                  <v:stroke weight="0.75pt" endcap="round" joinstyle="miter" miterlimit="10" on="true" color="#000000"/>
                  <v:fill on="false" color="#000000" opacity="0"/>
                </v:shape>
                <v:shape id="Shape 47780" style="position:absolute;width:11451;height:4352;left:12573;top:2804;" coordsize="1145159,435229" path="m1140841,0l1145159,11938l73761,405454l84709,435229l0,425704l58420,363728l69366,393498l1140841,0x">
                  <v:stroke weight="0pt" endcap="round" joinstyle="miter" miterlimit="10" on="false" color="#000000" opacity="0"/>
                  <v:fill on="true" color="#000000"/>
                </v:shape>
                <v:shape id="Shape 47781" style="position:absolute;width:762;height:4197;left:29337;top:2863;" coordsize="76200,419736" path="m31750,0l44450,0l44450,343536l76200,343536l38100,419736l0,343536l31750,343536l31750,0x">
                  <v:stroke weight="0pt" endcap="round" joinstyle="miter" miterlimit="10" on="false" color="#000000" opacity="0"/>
                  <v:fill on="true" color="#000000"/>
                </v:shape>
                <v:shape id="Shape 47782" style="position:absolute;width:10311;height:4320;left:35408;top:2805;" coordsize="1031113,432053" path="m4826,0l962968,390935l974979,361569l1031113,425577l946150,432053l958183,402635l0,11684l4826,0x">
                  <v:stroke weight="0pt" endcap="round" joinstyle="miter" miterlimit="10" on="false" color="#000000" opacity="0"/>
                  <v:fill on="true" color="#000000"/>
                </v:shape>
              </v:group>
            </w:pict>
          </mc:Fallback>
        </mc:AlternateContent>
      </w:r>
      <w:r>
        <w:rPr>
          <w:sz w:val="24"/>
        </w:rPr>
        <w:t xml:space="preserve">4.Экономическое </w:t>
      </w:r>
      <w:r>
        <w:rPr>
          <w:sz w:val="24"/>
        </w:rPr>
        <w:tab/>
        <w:t xml:space="preserve">4.Участие работников в стимулирование. </w:t>
      </w:r>
      <w:r>
        <w:rPr>
          <w:sz w:val="24"/>
        </w:rPr>
        <w:tab/>
        <w:t xml:space="preserve">управлении. 5.Финансирование. </w:t>
      </w:r>
      <w:r>
        <w:rPr>
          <w:sz w:val="24"/>
        </w:rPr>
        <w:tab/>
        <w:t xml:space="preserve">5.Социальная </w:t>
      </w:r>
      <w:r>
        <w:rPr>
          <w:sz w:val="24"/>
        </w:rPr>
        <w:t xml:space="preserve">и моральная 6.Мотивация трудовой </w:t>
      </w:r>
      <w:r>
        <w:rPr>
          <w:sz w:val="24"/>
        </w:rPr>
        <w:tab/>
        <w:t xml:space="preserve">мотивация. деятельности. </w:t>
      </w:r>
      <w:r>
        <w:rPr>
          <w:sz w:val="24"/>
        </w:rPr>
        <w:tab/>
        <w:t xml:space="preserve">6.Удовлетворение культурных и 7.Оплата труда. </w:t>
      </w:r>
      <w:r>
        <w:rPr>
          <w:sz w:val="24"/>
        </w:rPr>
        <w:tab/>
        <w:t xml:space="preserve">духовных потребностей. </w:t>
      </w:r>
    </w:p>
    <w:p w:rsidR="002C0F56" w:rsidRDefault="00E67C6E">
      <w:pPr>
        <w:spacing w:after="5" w:line="271" w:lineRule="auto"/>
        <w:ind w:left="-5" w:hanging="10"/>
        <w:jc w:val="left"/>
      </w:pPr>
      <w:r>
        <w:rPr>
          <w:sz w:val="24"/>
        </w:rPr>
        <w:t xml:space="preserve">8.Капиталовложения. 7.Формирование коллективов, 9.Кредитование. групп. </w:t>
      </w:r>
    </w:p>
    <w:p w:rsidR="002C0F56" w:rsidRDefault="00E67C6E">
      <w:pPr>
        <w:spacing w:after="5" w:line="271" w:lineRule="auto"/>
        <w:ind w:left="-5" w:hanging="10"/>
        <w:jc w:val="left"/>
      </w:pPr>
      <w:r>
        <w:rPr>
          <w:sz w:val="24"/>
        </w:rPr>
        <w:t xml:space="preserve">10.Ценообразование. </w:t>
      </w:r>
      <w:r>
        <w:rPr>
          <w:sz w:val="24"/>
        </w:rPr>
        <w:tab/>
        <w:t>8.Создание нормального 11.Участи</w:t>
      </w:r>
      <w:r>
        <w:rPr>
          <w:sz w:val="24"/>
        </w:rPr>
        <w:t xml:space="preserve">е в прибылях и </w:t>
      </w:r>
      <w:r>
        <w:rPr>
          <w:sz w:val="24"/>
        </w:rPr>
        <w:tab/>
        <w:t xml:space="preserve">психологического климата. </w:t>
      </w:r>
    </w:p>
    <w:p w:rsidR="002C0F56" w:rsidRDefault="00E67C6E">
      <w:pPr>
        <w:spacing w:after="5" w:line="271" w:lineRule="auto"/>
        <w:ind w:left="-5" w:hanging="10"/>
        <w:jc w:val="left"/>
      </w:pPr>
      <w:r>
        <w:rPr>
          <w:sz w:val="24"/>
        </w:rPr>
        <w:t xml:space="preserve">капитале. </w:t>
      </w:r>
      <w:r>
        <w:rPr>
          <w:sz w:val="24"/>
        </w:rPr>
        <w:tab/>
        <w:t xml:space="preserve">9.Установление социальных 12.Налогообложение. </w:t>
      </w:r>
      <w:r>
        <w:rPr>
          <w:sz w:val="24"/>
        </w:rPr>
        <w:tab/>
        <w:t xml:space="preserve">норм поведения. </w:t>
      </w:r>
    </w:p>
    <w:p w:rsidR="002C0F56" w:rsidRDefault="00E67C6E">
      <w:pPr>
        <w:spacing w:after="5" w:line="271" w:lineRule="auto"/>
        <w:ind w:left="-5" w:hanging="10"/>
        <w:jc w:val="left"/>
      </w:pPr>
      <w:r>
        <w:rPr>
          <w:sz w:val="24"/>
        </w:rPr>
        <w:t xml:space="preserve">13.Установление </w:t>
      </w:r>
      <w:r>
        <w:rPr>
          <w:sz w:val="24"/>
        </w:rPr>
        <w:tab/>
        <w:t xml:space="preserve">10.Развитие у работников экономических норм и </w:t>
      </w:r>
      <w:r>
        <w:rPr>
          <w:sz w:val="24"/>
        </w:rPr>
        <w:tab/>
        <w:t xml:space="preserve">инициативы и ответственности. </w:t>
      </w:r>
    </w:p>
    <w:p w:rsidR="002C0F56" w:rsidRDefault="00E67C6E">
      <w:pPr>
        <w:spacing w:after="5" w:line="271" w:lineRule="auto"/>
        <w:ind w:left="-5" w:hanging="10"/>
        <w:jc w:val="left"/>
      </w:pPr>
      <w:r>
        <w:rPr>
          <w:sz w:val="24"/>
        </w:rPr>
        <w:t xml:space="preserve">нормативов. </w:t>
      </w:r>
      <w:r>
        <w:rPr>
          <w:sz w:val="24"/>
        </w:rPr>
        <w:tab/>
        <w:t>11.Установление моральных 14.С</w:t>
      </w:r>
      <w:r>
        <w:rPr>
          <w:sz w:val="24"/>
        </w:rPr>
        <w:t xml:space="preserve">трахование. </w:t>
      </w:r>
      <w:r>
        <w:rPr>
          <w:sz w:val="24"/>
        </w:rPr>
        <w:tab/>
        <w:t xml:space="preserve">санкций и поощрений. </w:t>
      </w:r>
    </w:p>
    <w:p w:rsidR="002C0F56" w:rsidRDefault="00E67C6E">
      <w:pPr>
        <w:spacing w:after="5" w:line="271" w:lineRule="auto"/>
        <w:ind w:left="-5" w:right="3487" w:hanging="10"/>
        <w:jc w:val="left"/>
      </w:pPr>
      <w:r>
        <w:rPr>
          <w:sz w:val="24"/>
        </w:rPr>
        <w:t xml:space="preserve">15.Установление материальных санкций и поощрений. </w:t>
      </w:r>
    </w:p>
    <w:p w:rsidR="002C0F56" w:rsidRDefault="002C0F56">
      <w:pPr>
        <w:sectPr w:rsidR="002C0F56">
          <w:type w:val="continuous"/>
          <w:pgSz w:w="11906" w:h="16838"/>
          <w:pgMar w:top="1440" w:right="1104" w:bottom="1440" w:left="1171" w:header="720" w:footer="720" w:gutter="0"/>
          <w:cols w:num="2" w:space="720" w:equalWidth="0">
            <w:col w:w="2621" w:space="242"/>
            <w:col w:w="6768"/>
          </w:cols>
        </w:sectPr>
      </w:pPr>
    </w:p>
    <w:p w:rsidR="002C0F56" w:rsidRDefault="00E67C6E">
      <w:pPr>
        <w:spacing w:after="5" w:line="271" w:lineRule="auto"/>
        <w:ind w:left="3411" w:right="396" w:hanging="10"/>
        <w:jc w:val="left"/>
      </w:pPr>
      <w:r>
        <w:rPr>
          <w:b/>
          <w:sz w:val="24"/>
        </w:rPr>
        <w:t xml:space="preserve">Рис. 3. Система методов управления персоналом </w:t>
      </w:r>
    </w:p>
    <w:p w:rsidR="002C0F56" w:rsidRDefault="00E67C6E">
      <w:pPr>
        <w:spacing w:after="0" w:line="259" w:lineRule="auto"/>
        <w:ind w:left="1558" w:firstLine="0"/>
        <w:jc w:val="left"/>
      </w:pPr>
      <w:r>
        <w:t xml:space="preserve"> </w:t>
      </w:r>
    </w:p>
    <w:p w:rsidR="002C0F56" w:rsidRDefault="00E67C6E">
      <w:pPr>
        <w:spacing w:after="2"/>
        <w:ind w:left="994" w:right="302"/>
      </w:pPr>
      <w:r>
        <w:t>Все это возникает на фоне противоречия, существующего между целями HR-подразделений и их реаль</w:t>
      </w:r>
      <w:r>
        <w:t xml:space="preserve">но выполняемыми функциями. Так, в списке HRобязанностей значатся действия по учету, контролю, мотивации персонала, регулирование отношений между руководящим звеном и персоналом, однако в действительности, представленным экспертами, руководители этих служб </w:t>
      </w:r>
      <w:r>
        <w:t xml:space="preserve">оценивают свою роль в управлении социальными кадровыми процессами как второстепенную, считая, что все зависит от руководства предприятия. </w:t>
      </w:r>
    </w:p>
    <w:p w:rsidR="002C0F56" w:rsidRDefault="00E67C6E">
      <w:pPr>
        <w:ind w:left="994" w:right="302"/>
      </w:pPr>
      <w:r>
        <w:t>Таким образом, особое значение приобретает подсистема маркетинга персонала, что можно подчеркнуть следующими моментам</w:t>
      </w:r>
      <w:r>
        <w:t xml:space="preserve">и: </w:t>
      </w:r>
    </w:p>
    <w:p w:rsidR="002C0F56" w:rsidRDefault="00E67C6E">
      <w:pPr>
        <w:numPr>
          <w:ilvl w:val="0"/>
          <w:numId w:val="142"/>
        </w:numPr>
        <w:spacing w:after="3"/>
        <w:ind w:right="302"/>
      </w:pPr>
      <w:r>
        <w:t>маркетинг персонала способствует улучшению регулирования процессов формирования и распределения (перераспределения) трудовых ресурсов через сбор и анализ информации, изучение конъюнктуры рынка труда, получение данных о возможных объемах и структуре нео</w:t>
      </w:r>
      <w:r>
        <w:t xml:space="preserve">бходимых профессий и специальностей, стимулирование распределения трудовых ресурсов, проведение соответствующей рекламы; </w:t>
      </w:r>
    </w:p>
    <w:p w:rsidR="002C0F56" w:rsidRDefault="00E67C6E">
      <w:pPr>
        <w:numPr>
          <w:ilvl w:val="0"/>
          <w:numId w:val="142"/>
        </w:numPr>
        <w:ind w:right="302"/>
      </w:pPr>
      <w:r>
        <w:t>маркетинг персонала может значительно повлиять на воззрения людей и их образ жизни, так как уже сейчас повышаются требования работодат</w:t>
      </w:r>
      <w:r>
        <w:t xml:space="preserve">елей к нанимаемому работнику,а у работников формируются свои соответствующие требования к рабочему месту (соответствующая затратам труда заработная </w:t>
      </w:r>
      <w:r>
        <w:lastRenderedPageBreak/>
        <w:t>плата, хорошие условия труда, устраивающий работника распорядок рабочего дня, перспективность профессии, кор</w:t>
      </w:r>
      <w:r>
        <w:t xml:space="preserve">поративная культура и т.п.); </w:t>
      </w:r>
    </w:p>
    <w:p w:rsidR="002C0F56" w:rsidRDefault="00E67C6E">
      <w:pPr>
        <w:numPr>
          <w:ilvl w:val="0"/>
          <w:numId w:val="142"/>
        </w:numPr>
        <w:ind w:right="302"/>
      </w:pPr>
      <w:r>
        <w:t xml:space="preserve">маркетинг персонала позволяет повысить конкурентоспособность предприятия на рынке. </w:t>
      </w:r>
    </w:p>
    <w:p w:rsidR="002C0F56" w:rsidRDefault="00E67C6E">
      <w:pPr>
        <w:spacing w:after="0"/>
        <w:ind w:left="994" w:right="302"/>
      </w:pPr>
      <w:r>
        <w:t>Система управления персоналом представляет собой комплекс целей, задач и основных направлений деятельности, а также различных видов, методов и соответствующего механизма управления, направленных на повышение производительности труда и качества работы. С то</w:t>
      </w:r>
      <w:r>
        <w:t>чки зрения системного подхода к управлению персоналом в предприятии можно выделить такие основные подсистемы: подсистема обеспечения процесса управления персоналом, подсистема маркетинга персонала, подсистема развития персонала, подсистема мотивации персон</w:t>
      </w:r>
      <w:r>
        <w:t xml:space="preserve">ала, подсистема управления коммуникациями, подсистема создания и развития корпоративной культуры. </w:t>
      </w:r>
    </w:p>
    <w:p w:rsidR="002C0F56" w:rsidRDefault="00E67C6E">
      <w:pPr>
        <w:spacing w:after="21" w:line="259" w:lineRule="auto"/>
        <w:ind w:left="1558" w:firstLine="0"/>
        <w:jc w:val="left"/>
      </w:pPr>
      <w:r>
        <w:t xml:space="preserve"> </w:t>
      </w:r>
    </w:p>
    <w:p w:rsidR="002C0F56" w:rsidRDefault="00E67C6E">
      <w:pPr>
        <w:tabs>
          <w:tab w:val="center" w:pos="1558"/>
          <w:tab w:val="center" w:pos="4987"/>
        </w:tabs>
        <w:ind w:left="0" w:firstLine="0"/>
        <w:jc w:val="left"/>
      </w:pPr>
      <w:r>
        <w:rPr>
          <w:rFonts w:ascii="Calibri" w:eastAsia="Calibri" w:hAnsi="Calibri" w:cs="Calibri"/>
          <w:sz w:val="22"/>
        </w:rPr>
        <w:tab/>
      </w:r>
      <w:r>
        <w:t xml:space="preserve"> </w:t>
      </w:r>
      <w:r>
        <w:tab/>
        <w:t xml:space="preserve">Список литературы: </w:t>
      </w:r>
    </w:p>
    <w:p w:rsidR="002C0F56" w:rsidRDefault="00E67C6E">
      <w:pPr>
        <w:numPr>
          <w:ilvl w:val="0"/>
          <w:numId w:val="143"/>
        </w:numPr>
        <w:ind w:right="302"/>
      </w:pPr>
      <w:r>
        <w:t xml:space="preserve">Аширов  Д.А. Управление персоналом. - М.: ТК Велби, 2010. </w:t>
      </w:r>
    </w:p>
    <w:p w:rsidR="002C0F56" w:rsidRDefault="00E67C6E">
      <w:pPr>
        <w:numPr>
          <w:ilvl w:val="0"/>
          <w:numId w:val="143"/>
        </w:numPr>
        <w:ind w:right="302"/>
      </w:pPr>
      <w:r>
        <w:t>Балабанова Л.В., Воробьева Е.К. Управление на основе маркетинга: Монограф</w:t>
      </w:r>
      <w:r>
        <w:t xml:space="preserve">ия. – Донецк, 2004. </w:t>
      </w:r>
    </w:p>
    <w:p w:rsidR="002C0F56" w:rsidRDefault="00E67C6E">
      <w:pPr>
        <w:numPr>
          <w:ilvl w:val="0"/>
          <w:numId w:val="143"/>
        </w:numPr>
        <w:ind w:right="302"/>
      </w:pPr>
      <w:r>
        <w:t xml:space="preserve">Балабанова Л.В., Сардак Е.В. Управління персоналом: Навч.посібник. - Донецьк:ДонДУЕТ, 2011.-471 с. </w:t>
      </w:r>
    </w:p>
    <w:p w:rsidR="002C0F56" w:rsidRDefault="00E67C6E">
      <w:pPr>
        <w:numPr>
          <w:ilvl w:val="0"/>
          <w:numId w:val="143"/>
        </w:numPr>
        <w:ind w:right="302"/>
      </w:pPr>
      <w:r>
        <w:t xml:space="preserve">Базаров Т.Ю., Еремин Б.Л. Управление персоналом: Учебник / Под ред. </w:t>
      </w:r>
    </w:p>
    <w:p w:rsidR="002C0F56" w:rsidRDefault="00E67C6E">
      <w:pPr>
        <w:ind w:left="994" w:right="302" w:firstLine="0"/>
      </w:pPr>
      <w:r>
        <w:t xml:space="preserve">Т.Ю. Базарова. – М.: ЮНИТИ-ДАНА, 2015.  </w:t>
      </w:r>
    </w:p>
    <w:p w:rsidR="002C0F56" w:rsidRDefault="00E67C6E">
      <w:pPr>
        <w:numPr>
          <w:ilvl w:val="0"/>
          <w:numId w:val="143"/>
        </w:numPr>
        <w:ind w:right="302"/>
      </w:pPr>
      <w:r>
        <w:t>Спивак В.А. Организационн</w:t>
      </w:r>
      <w:r>
        <w:t xml:space="preserve">ое поведение. </w:t>
      </w:r>
      <w:r>
        <w:tab/>
        <w:t xml:space="preserve">Учебное </w:t>
      </w:r>
      <w:r>
        <w:tab/>
        <w:t xml:space="preserve">пособие. </w:t>
      </w:r>
      <w:r>
        <w:tab/>
        <w:t xml:space="preserve">— </w:t>
      </w:r>
    </w:p>
    <w:p w:rsidR="002C0F56" w:rsidRDefault="00E67C6E">
      <w:pPr>
        <w:ind w:left="994" w:right="302" w:firstLine="0"/>
      </w:pPr>
      <w:r>
        <w:t xml:space="preserve">М.: Эксмо, 2010. </w:t>
      </w:r>
    </w:p>
    <w:p w:rsidR="002C0F56" w:rsidRDefault="00E67C6E">
      <w:pPr>
        <w:numPr>
          <w:ilvl w:val="0"/>
          <w:numId w:val="143"/>
        </w:numPr>
        <w:ind w:right="302"/>
      </w:pPr>
      <w:r>
        <w:t xml:space="preserve">Федосеев В.Н., Капустин С.Н. Управление персоналом организации: Учебное пособие – М., 2011.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spacing w:after="25" w:line="259" w:lineRule="auto"/>
        <w:ind w:left="10" w:right="308" w:hanging="10"/>
        <w:jc w:val="right"/>
      </w:pPr>
      <w:r>
        <w:rPr>
          <w:b/>
        </w:rPr>
        <w:t xml:space="preserve">Лукашова Т. С. </w:t>
      </w:r>
    </w:p>
    <w:p w:rsidR="002C0F56" w:rsidRDefault="00E67C6E">
      <w:pPr>
        <w:spacing w:after="11" w:line="270" w:lineRule="auto"/>
        <w:ind w:left="10" w:right="308" w:hanging="10"/>
        <w:jc w:val="right"/>
      </w:pPr>
      <w:r>
        <w:t xml:space="preserve">Научный руководитель: Тарасенко Л. М.,  к.э.н., проф. </w:t>
      </w:r>
    </w:p>
    <w:p w:rsidR="002C0F56" w:rsidRDefault="00E67C6E">
      <w:pPr>
        <w:spacing w:after="0" w:line="267" w:lineRule="auto"/>
        <w:ind w:left="905" w:right="306" w:hanging="10"/>
        <w:jc w:val="right"/>
      </w:pPr>
      <w:r>
        <w:rPr>
          <w:i/>
        </w:rPr>
        <w:t>Макеевский экономико-</w:t>
      </w:r>
      <w:r>
        <w:rPr>
          <w:i/>
        </w:rPr>
        <w:t xml:space="preserve">гуманитарный институт </w:t>
      </w:r>
    </w:p>
    <w:p w:rsidR="002C0F56" w:rsidRDefault="00E67C6E">
      <w:pPr>
        <w:spacing w:after="30" w:line="259" w:lineRule="auto"/>
        <w:ind w:left="1558" w:firstLine="0"/>
        <w:jc w:val="left"/>
      </w:pPr>
      <w:r>
        <w:rPr>
          <w:b/>
        </w:rPr>
        <w:t xml:space="preserve"> </w:t>
      </w:r>
    </w:p>
    <w:p w:rsidR="002C0F56" w:rsidRDefault="00E67C6E">
      <w:pPr>
        <w:pStyle w:val="1"/>
        <w:ind w:left="700" w:right="690"/>
      </w:pPr>
      <w:r>
        <w:t xml:space="preserve">ФИНАНСОВЫЙ ГЛОБАЛИЗМ КАК ОБЪЕКТИВНЫЙ ЭТАП </w:t>
      </w:r>
    </w:p>
    <w:p w:rsidR="002C0F56" w:rsidRDefault="00E67C6E">
      <w:pPr>
        <w:pStyle w:val="1"/>
        <w:ind w:left="700" w:right="690"/>
      </w:pPr>
      <w:r>
        <w:t xml:space="preserve">ИНТЕРНАЦИОНАЛИЗАЦИИ МИРОВОГО ХОЗЯЙСТВА </w:t>
      </w:r>
    </w:p>
    <w:p w:rsidR="002C0F56" w:rsidRDefault="00E67C6E">
      <w:pPr>
        <w:spacing w:after="25" w:line="259" w:lineRule="auto"/>
        <w:ind w:left="1558" w:firstLine="0"/>
        <w:jc w:val="left"/>
      </w:pPr>
      <w:r>
        <w:t xml:space="preserve"> </w:t>
      </w:r>
    </w:p>
    <w:p w:rsidR="002C0F56" w:rsidRDefault="00E67C6E">
      <w:pPr>
        <w:ind w:left="994" w:right="302"/>
      </w:pPr>
      <w:r>
        <w:t>На рубеже XX и XXI вв. в мировой экономической жизни возникло и развивается новое явление, получившее название глобализации и отражающее новую сту</w:t>
      </w:r>
      <w:r>
        <w:t xml:space="preserve">пень интернационализации мирового хозяйства. Для процесса </w:t>
      </w:r>
      <w:r>
        <w:lastRenderedPageBreak/>
        <w:t>глобализации характерна переоценка роли знаний, научно-технического потенциала, роли государства в экономике, а также изменение геополитической карты мира. В литературе нет единства взглядов относит</w:t>
      </w:r>
      <w:r>
        <w:t>ельно определения глобализации. Одни экономисты под глобализацией понимают увеличение масштабов мировой торговли и других процессов международного обмена в условиях все более открытой, интегрированной, не признающей границ мировой экономики. Причем имеются</w:t>
      </w:r>
      <w:r>
        <w:t xml:space="preserve"> ввиду не только внешняя торговля, но и валютные потоки, движение капитала, обмен технологиями, информацией и идеями, перемещение людей. </w:t>
      </w:r>
    </w:p>
    <w:p w:rsidR="002C0F56" w:rsidRDefault="00E67C6E">
      <w:pPr>
        <w:ind w:left="994" w:right="302"/>
      </w:pPr>
      <w:r>
        <w:t>Ведущей тенденцией мирохозяйственного развития в начале третьего тысячелетия является финансовый глобализм, который им</w:t>
      </w:r>
      <w:r>
        <w:t>еет объективный характер и является закономерным результатом наращивания масштабов трансграничного перемещения финансовых активов; динамизации инвестиционно-кредитной деятельности транснациональных корпораций и банков; рост интернационализации национальных</w:t>
      </w:r>
      <w:r>
        <w:t xml:space="preserve"> финансовых систем и усиления межгосударственных финансовых связей; усиление либерализации и конвергенции валютных, инвестиционных и кредитных рынков; а также диверсификации механизмов аккумуляции и перераспределения в экономике инвестиционно-кредитных рес</w:t>
      </w:r>
      <w:r>
        <w:t xml:space="preserve">урсов.  </w:t>
      </w:r>
    </w:p>
    <w:p w:rsidR="002C0F56" w:rsidRDefault="00E67C6E">
      <w:pPr>
        <w:ind w:left="1558" w:right="302" w:firstLine="0"/>
      </w:pPr>
      <w:r>
        <w:t xml:space="preserve">Причины возникновения и развития глобализации: </w:t>
      </w:r>
    </w:p>
    <w:p w:rsidR="002C0F56" w:rsidRDefault="00E67C6E">
      <w:pPr>
        <w:numPr>
          <w:ilvl w:val="0"/>
          <w:numId w:val="144"/>
        </w:numPr>
        <w:spacing w:after="12"/>
        <w:ind w:right="302"/>
      </w:pPr>
      <w:r>
        <w:t xml:space="preserve">технологический прогресс; </w:t>
      </w:r>
    </w:p>
    <w:p w:rsidR="002C0F56" w:rsidRDefault="00E67C6E">
      <w:pPr>
        <w:numPr>
          <w:ilvl w:val="0"/>
          <w:numId w:val="144"/>
        </w:numPr>
        <w:ind w:right="302"/>
      </w:pPr>
      <w:r>
        <w:t xml:space="preserve">либерализация торговли, движения капиталов и других факторов производства; </w:t>
      </w:r>
    </w:p>
    <w:p w:rsidR="002C0F56" w:rsidRDefault="00E67C6E">
      <w:pPr>
        <w:numPr>
          <w:ilvl w:val="0"/>
          <w:numId w:val="144"/>
        </w:numPr>
        <w:ind w:right="302"/>
      </w:pPr>
      <w:r>
        <w:t xml:space="preserve">расширение сферы деятельности международных компаний в результате развития новых технологий и систем управления, базирующихся на новых средствах коммуникаций; </w:t>
      </w:r>
    </w:p>
    <w:p w:rsidR="002C0F56" w:rsidRDefault="00E67C6E">
      <w:pPr>
        <w:numPr>
          <w:ilvl w:val="0"/>
          <w:numId w:val="144"/>
        </w:numPr>
        <w:ind w:right="302"/>
      </w:pPr>
      <w:r>
        <w:t xml:space="preserve">достижение глобального единомыслия в оценке рыночной экономики и системы свободной торговли. </w:t>
      </w:r>
    </w:p>
    <w:p w:rsidR="002C0F56" w:rsidRDefault="00E67C6E">
      <w:pPr>
        <w:ind w:left="994" w:right="302"/>
      </w:pPr>
      <w:r>
        <w:t>Ра</w:t>
      </w:r>
      <w:r>
        <w:t>звитие финансового глобализма во многом стимулируется также диспропорцией экономического развития стран и регионов, асимметричностью межрегионального, межотраслевого и межсекторального распределения финансовых ресурсов; а также неуравновешенностью платежны</w:t>
      </w:r>
      <w:r>
        <w:t>х балансов стран. Речь идет о том, что острая нехватка в большинстве государств мира собственных финансовых ресурсов для осуществления инвестиционных операций, покрытия бюджетных дефицитов, проведения социальноэкономических реформ и выполнения своих долгов</w:t>
      </w:r>
      <w:r>
        <w:t xml:space="preserve">ых обязательств по внутренним и внешним кредитным обязательствам все более большей степени побуждает их к диверсификации источников внешнего финансирования национальных экономик за счет внешних ресурсов, а также внедрение </w:t>
      </w:r>
      <w:r>
        <w:lastRenderedPageBreak/>
        <w:t>современных электронных технологий</w:t>
      </w:r>
      <w:r>
        <w:t xml:space="preserve">, позволяющих проводить операции в режиме онлайн. </w:t>
      </w:r>
    </w:p>
    <w:p w:rsidR="002C0F56" w:rsidRDefault="00E67C6E">
      <w:pPr>
        <w:ind w:left="994" w:right="302"/>
      </w:pPr>
      <w:r>
        <w:t>Обобщение существующих на сегодня концептуальных подходов к идентификации сущности финансового рынка и его роли в экономической системе общества позволяет конкретизировать основные его квалификационные изм</w:t>
      </w:r>
      <w:r>
        <w:t xml:space="preserve">ерения, а именно: </w:t>
      </w:r>
    </w:p>
    <w:p w:rsidR="002C0F56" w:rsidRDefault="00E67C6E">
      <w:pPr>
        <w:numPr>
          <w:ilvl w:val="0"/>
          <w:numId w:val="145"/>
        </w:numPr>
        <w:ind w:right="302"/>
      </w:pPr>
      <w:r>
        <w:t xml:space="preserve">как совокупности финансовых институтов, направляют поток денежных средств от собственников сбережений к заемщикам; </w:t>
      </w:r>
    </w:p>
    <w:p w:rsidR="002C0F56" w:rsidRDefault="00E67C6E">
      <w:pPr>
        <w:numPr>
          <w:ilvl w:val="0"/>
          <w:numId w:val="145"/>
        </w:numPr>
        <w:ind w:right="302"/>
      </w:pPr>
      <w:r>
        <w:t xml:space="preserve">как системы финансовых посредников, осуществляющих перераспределение финансовых ресурсов; </w:t>
      </w:r>
    </w:p>
    <w:p w:rsidR="002C0F56" w:rsidRDefault="00E67C6E">
      <w:pPr>
        <w:numPr>
          <w:ilvl w:val="0"/>
          <w:numId w:val="145"/>
        </w:numPr>
        <w:ind w:right="302"/>
      </w:pPr>
      <w:r>
        <w:t xml:space="preserve">как сферы денежных отношений, </w:t>
      </w:r>
      <w:r>
        <w:t xml:space="preserve">возникающих в процессе куплипродажи финансовых активов, отражающих обязательства экономических субъектов друг перед одним по уплате долгов и доходов; </w:t>
      </w:r>
    </w:p>
    <w:p w:rsidR="002C0F56" w:rsidRDefault="00E67C6E">
      <w:pPr>
        <w:numPr>
          <w:ilvl w:val="0"/>
          <w:numId w:val="145"/>
        </w:numPr>
        <w:spacing w:after="11" w:line="270" w:lineRule="auto"/>
        <w:ind w:right="302"/>
      </w:pPr>
      <w:r>
        <w:t xml:space="preserve">как совокупности рыночных форм торговли финансовыми активами: </w:t>
      </w:r>
    </w:p>
    <w:p w:rsidR="002C0F56" w:rsidRDefault="00E67C6E">
      <w:pPr>
        <w:ind w:left="994" w:right="302" w:firstLine="0"/>
      </w:pPr>
      <w:r>
        <w:t>иностранной валютой, ценными бумагами, кре</w:t>
      </w:r>
      <w:r>
        <w:t xml:space="preserve">дитами, депозитами, производными  финансовыми инструментами; </w:t>
      </w:r>
    </w:p>
    <w:p w:rsidR="002C0F56" w:rsidRDefault="00E67C6E">
      <w:pPr>
        <w:numPr>
          <w:ilvl w:val="0"/>
          <w:numId w:val="145"/>
        </w:numPr>
        <w:ind w:right="302"/>
      </w:pPr>
      <w:r>
        <w:t>как формы организации денежных средств, объективной предпосылкой функционирование которых есть разногласия между потребностями субъектов хозяйствования в финансовых ресурсах и имеющимися источни</w:t>
      </w:r>
      <w:r>
        <w:t xml:space="preserve">ками </w:t>
      </w:r>
    </w:p>
    <w:p w:rsidR="002C0F56" w:rsidRDefault="00E67C6E">
      <w:pPr>
        <w:ind w:left="994" w:right="302" w:firstLine="0"/>
      </w:pPr>
      <w:r>
        <w:t xml:space="preserve">удовлетворения этих потребностей; </w:t>
      </w:r>
    </w:p>
    <w:p w:rsidR="002C0F56" w:rsidRDefault="00E67C6E">
      <w:pPr>
        <w:numPr>
          <w:ilvl w:val="0"/>
          <w:numId w:val="145"/>
        </w:numPr>
        <w:ind w:right="302"/>
      </w:pPr>
      <w:r>
        <w:t xml:space="preserve">как совокупности социально-экономических условий формирования предложения финансово-денежных ресурсов, а также условий их реализации, использования и воспроизведения; </w:t>
      </w:r>
    </w:p>
    <w:p w:rsidR="002C0F56" w:rsidRDefault="00E67C6E">
      <w:pPr>
        <w:numPr>
          <w:ilvl w:val="0"/>
          <w:numId w:val="145"/>
        </w:numPr>
        <w:spacing w:after="0"/>
        <w:ind w:right="302"/>
      </w:pPr>
      <w:r>
        <w:t>как сегмента глобального рынка, на котором прои</w:t>
      </w:r>
      <w:r>
        <w:t xml:space="preserve">сходит перераспределение временно свободных денежных ресурсов через финансовых посредников на основе использования финансовых инструментов и предоставления финансовых услуг, объединенных в форме финансовых продуктов, которые являются товаром на финансовом </w:t>
      </w:r>
      <w:r>
        <w:t xml:space="preserve">рынке [5, c. 92]. </w:t>
      </w:r>
    </w:p>
    <w:p w:rsidR="002C0F56" w:rsidRDefault="00E67C6E">
      <w:pPr>
        <w:spacing w:after="0"/>
        <w:ind w:left="994" w:right="302"/>
      </w:pPr>
      <w:r>
        <w:t xml:space="preserve">Ускоренное накопление глобальных финансовых активов вызывает функционирования их материальной, технической, инновационной, кредитной и инвестиционной компонент в форме капитала, а следовательно - их подчинения законам его движения. Речь </w:t>
      </w:r>
      <w:r>
        <w:t>идет о том, что трансграничное, межрегиональное и межсекторальное переливание капитала в современных условиях финансового глобализма, ориентируясь на скорейшую отдачу вложенного капитала и получения монопольных сверхприбылей, приобретает четко выраженный а</w:t>
      </w:r>
      <w:r>
        <w:t xml:space="preserve">симметричный характер. Это проявляется прежде всего в глубоком разрыве между показателями рентабельности производственных и финансовых операций, а также их долями в формировании ВВП стран и совокупной добавленной стоимости. </w:t>
      </w:r>
    </w:p>
    <w:p w:rsidR="002C0F56" w:rsidRDefault="00E67C6E">
      <w:pPr>
        <w:spacing w:after="0"/>
        <w:ind w:left="994" w:right="302"/>
      </w:pPr>
      <w:r>
        <w:lastRenderedPageBreak/>
        <w:t>В современной глобальной эконом</w:t>
      </w:r>
      <w:r>
        <w:t>ике финансовый рынок является своеобразным «барометром» рыночного благополучия; опосредует движение денежного капитала, обеспечивает экономический рост; а также отражает соотношение между основными мирохозяйственными пропорциями: производством и потреблени</w:t>
      </w:r>
      <w:r>
        <w:t>ем, сбережениями капитала и инвестициями, фондами потребления и фондами накопления, национальными доходами стран и фондами замещения между глобальным спросом и глобальным предложением и тому подобное. На финансовом рынке формируется ссудный процент как общ</w:t>
      </w:r>
      <w:r>
        <w:t xml:space="preserve">ее мерило эффективности капиталовложений в любую отрасль или сектор производства, а также курсы валют и ценных бумаг.  </w:t>
      </w:r>
    </w:p>
    <w:p w:rsidR="002C0F56" w:rsidRDefault="00E67C6E">
      <w:pPr>
        <w:spacing w:after="0"/>
        <w:ind w:left="994" w:right="302"/>
      </w:pPr>
      <w:r>
        <w:t>Материальной основой процессов финансового глобализма является интернационализация национальных финансовых рынков как процесс расширения</w:t>
      </w:r>
      <w:r>
        <w:t xml:space="preserve"> и углубления финансовых связей между странами мира, обусловленный повышением международной мобильности финансового капитала. Количественно она выражается, прежде всего, в опережающих темпах роста трансграничного перемещения финансовых активов (financialas</w:t>
      </w:r>
      <w:r>
        <w:t xml:space="preserve">sets) по сравнению с ростом общемирового валового внутреннего продукта, товаров и услуг.  </w:t>
      </w:r>
    </w:p>
    <w:p w:rsidR="002C0F56" w:rsidRDefault="00E67C6E">
      <w:pPr>
        <w:spacing w:after="0"/>
        <w:ind w:left="994" w:right="302"/>
      </w:pPr>
      <w:r>
        <w:t>Важной качественной характеристикой национальных финансовых рынков отдельных стран является их глубина (financialdepth), которую часто называют также рыночной вмести</w:t>
      </w:r>
      <w:r>
        <w:t xml:space="preserve">мостью.На макроэкономическом уровне глобализация проявляется в стремлении государств и интеграционных объединений к экономической активности вне своих границ за счет либерализации торговли, снятия торговых и инвестиционных барьеров, создания зон свободной </w:t>
      </w:r>
      <w:r>
        <w:t>торговли и т.п. Кроме того процессы глобализации и интеграции охватывают межгосударственные согласованные меры по целенаправленному формированию мирохозяйственного рыночного (экономического, правового, информационного, политического) пространства в крупных</w:t>
      </w:r>
      <w:r>
        <w:t xml:space="preserve"> регионах мира.  </w:t>
      </w:r>
    </w:p>
    <w:p w:rsidR="002C0F56" w:rsidRDefault="00E67C6E">
      <w:pPr>
        <w:spacing w:after="0"/>
        <w:ind w:left="994" w:right="302"/>
      </w:pPr>
      <w:r>
        <w:t>Как основной институт межотраслевого перелива капитала в экономике, фондовый рынок открывает корпоративному сектору практически неограниченные возможности трансформации сбережений населения и временно свободных финансовых ресурсов бизнеса</w:t>
      </w:r>
      <w:r>
        <w:t xml:space="preserve"> в инвестиции через выпуск и размещение корпорациями ценных бумаг, а следовательно, обеспечивает условия для экономического роста стран и определяет направления структурной трансформации их экономических систем. </w:t>
      </w:r>
    </w:p>
    <w:p w:rsidR="002C0F56" w:rsidRDefault="00E67C6E">
      <w:pPr>
        <w:spacing w:after="0"/>
        <w:ind w:left="994" w:right="302"/>
      </w:pPr>
      <w:r>
        <w:t>Таким образом, можно сделать вывод о том, ч</w:t>
      </w:r>
      <w:r>
        <w:t>то финансовая глобализация является составной частью глобализации всего мирового хозяйства и следствием экономической интеграции, интенсивно развившейся в течение второй половины прошедшего столетия. Она представляет собой финансовую взаимозависимость стра</w:t>
      </w:r>
      <w:r>
        <w:t xml:space="preserve">н всего мира, возникшую в результате возрастающего объема международных финансовых сделок и мировых потоков капитала с </w:t>
      </w:r>
      <w:r>
        <w:lastRenderedPageBreak/>
        <w:t>использованием многообразия финансовых инструментов, а также в связи с внедрением современных электронных технологий, средств коммуникаци</w:t>
      </w:r>
      <w:r>
        <w:t xml:space="preserve">и и информатизации. Финансовая глобализация, как неоднозначное по своему содержанию явление, имеет как положительные, так и отрицательные последствия, не только способствует ускорению экономического развития, но и увеличивает риски возникновения локальных </w:t>
      </w:r>
      <w:r>
        <w:t xml:space="preserve">кризисов, расширяет сферу их влияния.  </w:t>
      </w:r>
    </w:p>
    <w:p w:rsidR="002C0F56" w:rsidRDefault="00E67C6E">
      <w:pPr>
        <w:spacing w:after="0" w:line="259" w:lineRule="auto"/>
        <w:ind w:left="1318" w:firstLine="0"/>
        <w:jc w:val="center"/>
      </w:pPr>
      <w:r>
        <w:t xml:space="preserve"> </w:t>
      </w:r>
    </w:p>
    <w:p w:rsidR="002C0F56" w:rsidRDefault="00E67C6E">
      <w:pPr>
        <w:spacing w:after="15" w:line="268" w:lineRule="auto"/>
        <w:ind w:left="1262" w:hanging="10"/>
        <w:jc w:val="center"/>
      </w:pPr>
      <w:r>
        <w:t xml:space="preserve">Список литературы: </w:t>
      </w:r>
    </w:p>
    <w:p w:rsidR="002C0F56" w:rsidRDefault="00E67C6E">
      <w:pPr>
        <w:numPr>
          <w:ilvl w:val="0"/>
          <w:numId w:val="146"/>
        </w:numPr>
        <w:spacing w:after="0"/>
        <w:ind w:right="302"/>
      </w:pPr>
      <w:r>
        <w:t xml:space="preserve">Коптякова, С. В. Финансовая глобализация как условие и фактор развития банковской системы /С.В.Коптякова Известия Оренбургского государственного аграрного университета. – 2011. – ғ 31-1. – </w:t>
      </w:r>
      <w:r>
        <w:t xml:space="preserve">Том 3. – С. 223225. </w:t>
      </w:r>
    </w:p>
    <w:p w:rsidR="002C0F56" w:rsidRDefault="00E67C6E">
      <w:pPr>
        <w:numPr>
          <w:ilvl w:val="0"/>
          <w:numId w:val="146"/>
        </w:numPr>
        <w:ind w:right="302"/>
      </w:pPr>
      <w:r>
        <w:t>Financial Globalization: Retreat or Reseat? Global Capital Markets 2013. – McKinsey &amp; Company, 2013. 3.</w:t>
      </w:r>
      <w:r>
        <w:rPr>
          <w:rFonts w:ascii="Arial" w:eastAsia="Arial" w:hAnsi="Arial" w:cs="Arial"/>
        </w:rPr>
        <w:t xml:space="preserve"> </w:t>
      </w:r>
      <w:r>
        <w:t>Лукьяненко, Д. Колесов В. Глобальное экономическое развитие: тенденции, асимметрии, регулирование: монография / Д. Лукьяненко, В. К</w:t>
      </w:r>
      <w:r>
        <w:t xml:space="preserve">олесов, А. Колот, Я. Столярчук и др.; под науч. ред. Д. Лукьяненка и А. Поручника. – К.: КНЭУ, 2013. </w:t>
      </w:r>
    </w:p>
    <w:p w:rsidR="002C0F56" w:rsidRDefault="00E67C6E">
      <w:pPr>
        <w:numPr>
          <w:ilvl w:val="0"/>
          <w:numId w:val="147"/>
        </w:numPr>
        <w:ind w:right="302"/>
      </w:pPr>
      <w:r>
        <w:t xml:space="preserve">Ноздрев, С. В. Основные характеристики международного финансового рынка /С. В.  Ноздрев Российский внешнеэкономический вестник. – 2014. – ғ1. – С. 36-49. </w:t>
      </w:r>
    </w:p>
    <w:p w:rsidR="002C0F56" w:rsidRDefault="00E67C6E">
      <w:pPr>
        <w:numPr>
          <w:ilvl w:val="0"/>
          <w:numId w:val="147"/>
        </w:numPr>
        <w:ind w:right="302"/>
      </w:pPr>
      <w:r>
        <w:t xml:space="preserve">Радыгин, А. Энтов Р. В поисках институциональных характеристик экономического роста (новые подходы на рубеже ХХ – ХХІ вв.) /А. Радыгин, Р.Энтов Вопросы экономики. – 2008. – ғ8. – С. 4-27. </w:t>
      </w:r>
    </w:p>
    <w:p w:rsidR="002C0F56" w:rsidRDefault="00E67C6E">
      <w:pPr>
        <w:spacing w:after="0" w:line="259" w:lineRule="auto"/>
        <w:ind w:left="1558" w:firstLine="0"/>
        <w:jc w:val="left"/>
      </w:pPr>
      <w:r>
        <w:rPr>
          <w:b/>
          <w:i/>
        </w:rPr>
        <w:t xml:space="preserve"> </w:t>
      </w:r>
    </w:p>
    <w:p w:rsidR="002C0F56" w:rsidRDefault="00E67C6E">
      <w:pPr>
        <w:spacing w:after="28" w:line="259" w:lineRule="auto"/>
        <w:ind w:left="1558" w:firstLine="0"/>
        <w:jc w:val="left"/>
      </w:pPr>
      <w:r>
        <w:rPr>
          <w:b/>
          <w:i/>
        </w:rPr>
        <w:t xml:space="preserve"> </w:t>
      </w:r>
    </w:p>
    <w:p w:rsidR="002C0F56" w:rsidRDefault="00E67C6E">
      <w:pPr>
        <w:pStyle w:val="1"/>
        <w:spacing w:after="25" w:line="259" w:lineRule="auto"/>
        <w:ind w:right="308"/>
        <w:jc w:val="right"/>
      </w:pPr>
      <w:r>
        <w:t xml:space="preserve">Лысенко Д.Д. </w:t>
      </w:r>
      <w:r>
        <w:rPr>
          <w:b w:val="0"/>
        </w:rPr>
        <w:t>Научный руководитель: Голубничая С.Н., к.б.н., до</w:t>
      </w:r>
      <w:r>
        <w:rPr>
          <w:b w:val="0"/>
        </w:rPr>
        <w:t xml:space="preserve">ц.  </w:t>
      </w:r>
    </w:p>
    <w:p w:rsidR="002C0F56" w:rsidRDefault="00E67C6E">
      <w:pPr>
        <w:spacing w:after="0" w:line="267" w:lineRule="auto"/>
        <w:ind w:left="2569" w:right="308" w:hanging="10"/>
        <w:jc w:val="right"/>
      </w:pPr>
      <w:r>
        <w:rPr>
          <w:i/>
        </w:rPr>
        <w:t xml:space="preserve">Донецкий национальный университет экономики и торговли имени </w:t>
      </w:r>
    </w:p>
    <w:p w:rsidR="002C0F56" w:rsidRDefault="00E67C6E">
      <w:pPr>
        <w:spacing w:after="0" w:line="267" w:lineRule="auto"/>
        <w:ind w:left="905" w:right="307" w:hanging="10"/>
        <w:jc w:val="right"/>
      </w:pPr>
      <w:r>
        <w:rPr>
          <w:i/>
        </w:rPr>
        <w:t xml:space="preserve">Михаила Туган-Барановского </w:t>
      </w:r>
    </w:p>
    <w:p w:rsidR="002C0F56" w:rsidRDefault="00E67C6E">
      <w:pPr>
        <w:spacing w:after="30" w:line="259" w:lineRule="auto"/>
        <w:ind w:left="1558" w:firstLine="0"/>
        <w:jc w:val="left"/>
      </w:pPr>
      <w:r>
        <w:rPr>
          <w:b/>
        </w:rPr>
        <w:t xml:space="preserve"> </w:t>
      </w:r>
    </w:p>
    <w:p w:rsidR="002C0F56" w:rsidRDefault="00E67C6E">
      <w:pPr>
        <w:pStyle w:val="1"/>
        <w:ind w:left="700" w:right="5"/>
      </w:pPr>
      <w:r>
        <w:t xml:space="preserve">ЭКОЛОГИЗАЦИЯ ТУРИСТИЧЕСКОЙ СФЕРЫ </w:t>
      </w:r>
    </w:p>
    <w:p w:rsidR="002C0F56" w:rsidRDefault="00E67C6E">
      <w:pPr>
        <w:spacing w:after="0" w:line="259" w:lineRule="auto"/>
        <w:ind w:left="1558" w:firstLine="0"/>
        <w:jc w:val="left"/>
      </w:pPr>
      <w:r>
        <w:rPr>
          <w:i/>
        </w:rPr>
        <w:t xml:space="preserve"> </w:t>
      </w:r>
    </w:p>
    <w:p w:rsidR="002C0F56" w:rsidRDefault="00E67C6E">
      <w:pPr>
        <w:spacing w:after="0"/>
        <w:ind w:left="994" w:right="302"/>
      </w:pPr>
      <w:r>
        <w:t>Развитие экологического кризиса в первую очередь определяется увеличением объемов промышленного производства и использования природных ресурсов. В то же время промышленное производство обеспечивает основные возможности социального развития. При этом все бо</w:t>
      </w:r>
      <w:r>
        <w:t xml:space="preserve">льше очевидной становится неэффективность попыток изменения негативных тенденций в развитии экологической ситуации только на основе твердых административных методов и форм экологического управления. Выход из сложившегося положения непосредственно связан с </w:t>
      </w:r>
      <w:r>
        <w:t xml:space="preserve">поиском принципиально новых подходов к решению территориальных экологических проблем. </w:t>
      </w:r>
    </w:p>
    <w:p w:rsidR="002C0F56" w:rsidRDefault="00E67C6E">
      <w:pPr>
        <w:ind w:left="994" w:right="302"/>
      </w:pPr>
      <w:r>
        <w:lastRenderedPageBreak/>
        <w:t>Туристическая деятельность является неотъемлемым явлением современной жизни, выступая важной составляющей социально-</w:t>
      </w:r>
    </w:p>
    <w:p w:rsidR="002C0F56" w:rsidRDefault="00E67C6E">
      <w:pPr>
        <w:spacing w:after="10"/>
        <w:ind w:left="994" w:right="302" w:firstLine="0"/>
      </w:pPr>
      <w:r>
        <w:t>экономического развития регионов. Ведь устойчивое ра</w:t>
      </w:r>
      <w:r>
        <w:t xml:space="preserve">звитие туристической сферы, приспособленный к условиям соответствующего региона, будет способствовать развитию этого региона в будущем. </w:t>
      </w:r>
    </w:p>
    <w:p w:rsidR="002C0F56" w:rsidRDefault="00E67C6E">
      <w:pPr>
        <w:spacing w:after="0"/>
        <w:ind w:left="994" w:right="302"/>
      </w:pPr>
      <w:r>
        <w:t>По оценке ЮНВТО экологический туризм входит в пять основных стратегических направлений развития туризма на период до 20</w:t>
      </w:r>
      <w:r>
        <w:t>20 года. Экологический туризм объединяет широкий спектр видов туризма, основанных на использовании природных ресурсов. Успех туристического бизнеса предусматривает разрешение конфликта между необходимостью для человека незагрязненного воздуха, воды, нетрон</w:t>
      </w:r>
      <w:r>
        <w:t xml:space="preserve">утого ландшафта и посягательством на их чистоту и первичность со стороны предприятий и самих людей. Итак, развитие туризма зависит от состояния окружающей среды и эффективности природоохранной деятельности. </w:t>
      </w:r>
    </w:p>
    <w:p w:rsidR="002C0F56" w:rsidRDefault="00E67C6E">
      <w:pPr>
        <w:spacing w:after="0"/>
        <w:ind w:left="994" w:right="302"/>
      </w:pPr>
      <w:r>
        <w:t>Целью работы является рассмотрение аспектов испо</w:t>
      </w:r>
      <w:r>
        <w:t>льзования принципов экоменеджмента в туристической сфере. Безусловно эта проблема актуальна для Донецкого региона, который отличается большим количеством количеству промышленных предприятий, высокой плотностью их размещения, смертности населения и уровня з</w:t>
      </w:r>
      <w:r>
        <w:t xml:space="preserve">аболеваемости. </w:t>
      </w:r>
    </w:p>
    <w:p w:rsidR="002C0F56" w:rsidRDefault="00E67C6E">
      <w:pPr>
        <w:ind w:left="994" w:right="302"/>
      </w:pPr>
      <w:r>
        <w:t xml:space="preserve">Проблема активизации развития экологического туризма не нова. Исследователи обращают внимание на необходимость создания  экологоэкономических зон как инструментария апробации мер обеспечения экобезопасности и сохранения природно-ресурсного </w:t>
      </w:r>
      <w:r>
        <w:t xml:space="preserve">потенциала [1-2]. </w:t>
      </w:r>
    </w:p>
    <w:p w:rsidR="002C0F56" w:rsidRDefault="00E67C6E">
      <w:pPr>
        <w:spacing w:after="10"/>
        <w:ind w:left="994" w:right="302"/>
      </w:pPr>
      <w:r>
        <w:t>Образование на определенных территориях специальных туристскорекреационных зон позволит обеспечить рациональное освоение туристскорекреационного потенциала среды, будет способствовать сохранению уникальных природных систем, созданию новы</w:t>
      </w:r>
      <w:r>
        <w:t xml:space="preserve">х рабочих мест и развития соответствующей инфраструктуры [3]. </w:t>
      </w:r>
    </w:p>
    <w:p w:rsidR="002C0F56" w:rsidRDefault="00E67C6E">
      <w:pPr>
        <w:spacing w:after="0"/>
        <w:ind w:left="994" w:right="302"/>
      </w:pPr>
      <w:r>
        <w:t xml:space="preserve">Сейчас рекреационная составляющая этих территорий способствует развитию экологически ориентированного туризма. Полученные от этого выгоды могут быть использованы для разработки соответствующих </w:t>
      </w:r>
      <w:r>
        <w:t>экономических механизмов, обеспечивая одновременно сохранение биологического разнообразия и его рекреационное использование, решение проблем занятости населения, привлечение средств от экологического туризма на сохранение и возобновление окружающей среды и</w:t>
      </w:r>
      <w:r>
        <w:t xml:space="preserve"> осуществления других мероприятий. </w:t>
      </w:r>
    </w:p>
    <w:p w:rsidR="002C0F56" w:rsidRDefault="00E67C6E">
      <w:pPr>
        <w:spacing w:after="0"/>
        <w:ind w:left="994" w:right="302"/>
      </w:pPr>
      <w:r>
        <w:t>Анализ статистических данных свидетельствует, что доходы от туризма являются наиболее высокими в тех странах, где значительные площади занимают особо охраняемые природные территории. В Донецкой Народной Республике по сос</w:t>
      </w:r>
      <w:r>
        <w:t xml:space="preserve">тоянию на октябрь 2016 насчитывается 38 единиц природных территорий особой охраны. Необходимо  также учитывать сравнительно низкую </w:t>
      </w:r>
      <w:r>
        <w:lastRenderedPageBreak/>
        <w:t xml:space="preserve">рекреационную емкость природных территорий, особо охраняемых. Туристическое движение в широком смысле, к сожалению, является </w:t>
      </w:r>
      <w:r>
        <w:t xml:space="preserve">одним из элементов разрушения природной среды. Для преодоления этого противоречия необходимо внедрение принципов экоменеджемента в туристической деятельности. </w:t>
      </w:r>
    </w:p>
    <w:p w:rsidR="002C0F56" w:rsidRDefault="00E67C6E">
      <w:pPr>
        <w:spacing w:after="2"/>
        <w:ind w:left="994" w:right="302"/>
      </w:pPr>
      <w:r>
        <w:t>Использование рекреационных функций особо охраняемых природных территорий требует капитальных вл</w:t>
      </w:r>
      <w:r>
        <w:t>ожений для создания особой инфраструктуры - прокладка экологических маршрутов, создание информационных материалов, открытие музеев и других элементов, а также для проведения специальных исследований, направленных на уточнение рекреационной емкости, построе</w:t>
      </w:r>
      <w:r>
        <w:t xml:space="preserve">ние прогнозов потоков туристов. </w:t>
      </w:r>
    </w:p>
    <w:p w:rsidR="002C0F56" w:rsidRDefault="00E67C6E">
      <w:pPr>
        <w:spacing w:after="0"/>
        <w:ind w:left="994" w:right="302"/>
      </w:pPr>
      <w:r>
        <w:t>Для повышения уровня самоокупаемости учреждений природнозаповедного фонда предлагается стимулирование развития деятельности заповедных территорий с приоритетной ориентацией на экологизацию, в том числе сельский зеленый тури</w:t>
      </w:r>
      <w:r>
        <w:t xml:space="preserve">зм, традиционные народные промыслы, производства экологически чистых продуктов питания, оздоровительных и лечебных травяных смесей, предметов быта.  </w:t>
      </w:r>
    </w:p>
    <w:p w:rsidR="002C0F56" w:rsidRDefault="00E67C6E">
      <w:pPr>
        <w:spacing w:after="0"/>
        <w:ind w:left="994" w:right="302"/>
      </w:pPr>
      <w:r>
        <w:t>Под экологизацией туристической сферы подразумевается внедрение таких способов и методов рационального исп</w:t>
      </w:r>
      <w:r>
        <w:t>ользования туристскорекреационного потенциала, благодаря которым будет обеспечиваться сохранение качества окружающей природной среды как важного фактора качества жизни в регионе. Важным фактором выступает инновационное обеспечение. Характерными чертами эко</w:t>
      </w:r>
      <w:r>
        <w:t>безопоасных инноваций является высокий уровень средств труда и туристических услуг, их прогрессивность. Эти черты в конечном итоге их проявления имеют целью достижения сбалансированности развития туристических зон, предвидя сохранения оптимальных условий ф</w:t>
      </w:r>
      <w:r>
        <w:t xml:space="preserve">ункционирования экологических систем. </w:t>
      </w:r>
    </w:p>
    <w:p w:rsidR="002C0F56" w:rsidRDefault="00E67C6E">
      <w:pPr>
        <w:ind w:left="994" w:right="302"/>
      </w:pPr>
      <w:r>
        <w:t xml:space="preserve">Комплексный характер эффективности инновационных решений, направленных на обеспечение экологической безопасности туристскорекреационной зоны, включает: </w:t>
      </w:r>
    </w:p>
    <w:p w:rsidR="002C0F56" w:rsidRDefault="00E67C6E">
      <w:pPr>
        <w:numPr>
          <w:ilvl w:val="0"/>
          <w:numId w:val="148"/>
        </w:numPr>
        <w:ind w:right="302"/>
      </w:pPr>
      <w:r>
        <w:t xml:space="preserve">экономический эффект - </w:t>
      </w:r>
      <w:r>
        <w:t>улучшение качества продукции, роста производительности труда, оптимизация срока службы основных фондов, совершенствование техники и технологии, сокращение сроков их освоения, применения новых видов сырья и материалов: уменьшения соответствующих штрафов, пе</w:t>
      </w:r>
      <w:r>
        <w:t>ни и выплат по экологических платежей, на топливно энергетические ресурсы, приобретение сырья и материалов, снижения норм расхода материалов, углубление специализации производства, снижение условно-постоянных расходов на эксплуатацию новых средств труда, с</w:t>
      </w:r>
      <w:r>
        <w:t xml:space="preserve">овершенствование системы управления и организации труда, ликвидацию последствий загрязнения окружающей среды; </w:t>
      </w:r>
    </w:p>
    <w:p w:rsidR="002C0F56" w:rsidRDefault="00E67C6E">
      <w:pPr>
        <w:numPr>
          <w:ilvl w:val="0"/>
          <w:numId w:val="148"/>
        </w:numPr>
        <w:ind w:right="302"/>
      </w:pPr>
      <w:r>
        <w:lastRenderedPageBreak/>
        <w:t>социальный эффект - уменьшение заболеваемости населения, экономия рабочей силы, психологический эффект в результате удовлетворения населением кач</w:t>
      </w:r>
      <w:r>
        <w:t>еством среды, формирование надлежащего моральнопсихологического климата, улучшения системы экологического образования и эргономических характеристик среды жизни и труда людей, эстетический эффект от сохранения окружающей среды, предотвращения миграции, кот</w:t>
      </w:r>
      <w:r>
        <w:t xml:space="preserve">орая может быть вызвана ухудшением качества окружающей среды, генетический эффект, рекреационное обеспечения региона, улучшение демографической ситуации; </w:t>
      </w:r>
    </w:p>
    <w:p w:rsidR="002C0F56" w:rsidRDefault="00E67C6E">
      <w:pPr>
        <w:numPr>
          <w:ilvl w:val="0"/>
          <w:numId w:val="148"/>
        </w:numPr>
        <w:spacing w:after="10"/>
        <w:ind w:right="302"/>
      </w:pPr>
      <w:r>
        <w:t>экологический эффект - увеличение расходов на рациональное использование и воспроизводство природно-р</w:t>
      </w:r>
      <w:r>
        <w:t xml:space="preserve">есурсного потенциала региона, предотвращения техногенных аварий и катастроф; получения положительных результатов: воспроизведение и поддержание экологического равновесия, сохранения уникальных элементов окружающей среды. </w:t>
      </w:r>
    </w:p>
    <w:p w:rsidR="002C0F56" w:rsidRDefault="00E67C6E">
      <w:pPr>
        <w:spacing w:after="0"/>
        <w:ind w:left="994" w:right="302"/>
      </w:pPr>
      <w:r>
        <w:t>Таким образом, вопрос развития сет</w:t>
      </w:r>
      <w:r>
        <w:t>и туристических объектов приобретает стратегически важное значение. Использование инновационных решений различного характера, направленных на достижение сбалансированности развития туристических зон, предусматривает сохранение оптимальных условий функциони</w:t>
      </w:r>
      <w:r>
        <w:t>рования природно-экологических систем. Необходимо организовать туристическую деятельность руководствуясь принципами экоменеджмента, чтобы сохранить природную среду, его эстетическую красоту, многообразие и чистоту не только для тех, кто отдыхает сегодня, н</w:t>
      </w:r>
      <w:r>
        <w:t xml:space="preserve">о и для тех, кто будет отдыхать в будущем. </w:t>
      </w:r>
    </w:p>
    <w:p w:rsidR="002C0F56" w:rsidRDefault="00E67C6E">
      <w:pPr>
        <w:spacing w:after="25" w:line="259" w:lineRule="auto"/>
        <w:ind w:left="1318" w:firstLine="0"/>
        <w:jc w:val="center"/>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49"/>
        </w:numPr>
        <w:ind w:right="302"/>
      </w:pPr>
      <w:r>
        <w:t>Галушкіна Т.П., Фесенко О.А. Екополігони як інструментарій апробації заходів забезпечення екобезпеки та збереження природно-ресурсного потенціалу на регіональному рівні // Материалы докладов</w:t>
      </w:r>
      <w:r>
        <w:t xml:space="preserve"> Всеукр. науч.-практ. конф. «Современные проблемы социально-экономического развития регионов Украины». – Донецк: Ин-т экономики пром-сти НАН Украины, 2013. – С.120125. </w:t>
      </w:r>
    </w:p>
    <w:p w:rsidR="002C0F56" w:rsidRDefault="00E67C6E">
      <w:pPr>
        <w:numPr>
          <w:ilvl w:val="0"/>
          <w:numId w:val="149"/>
        </w:numPr>
        <w:ind w:right="302"/>
      </w:pPr>
      <w:r>
        <w:t>Тишков А.А., Чжан Гуаншэн. Экологический туризм на особо охраняемых природных территори</w:t>
      </w:r>
      <w:r>
        <w:t xml:space="preserve">ях Китая // Известия АН. – </w:t>
      </w:r>
    </w:p>
    <w:p w:rsidR="002C0F56" w:rsidRDefault="00E67C6E">
      <w:pPr>
        <w:ind w:left="994" w:right="302" w:firstLine="0"/>
      </w:pPr>
      <w:r>
        <w:t xml:space="preserve">Сер.Географическая. – 2013.- №1. – С.90-100. </w:t>
      </w:r>
    </w:p>
    <w:p w:rsidR="002C0F56" w:rsidRDefault="00E67C6E">
      <w:pPr>
        <w:numPr>
          <w:ilvl w:val="0"/>
          <w:numId w:val="149"/>
        </w:numPr>
        <w:ind w:right="302"/>
      </w:pPr>
      <w:r>
        <w:t xml:space="preserve">Егоренков Л.И. Экология туризма и сервиса. - М.: Финансы и статистика, 2015.-208 с.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25" w:line="259" w:lineRule="auto"/>
        <w:ind w:left="10" w:right="309" w:hanging="10"/>
        <w:jc w:val="right"/>
      </w:pPr>
      <w:r>
        <w:rPr>
          <w:b/>
        </w:rPr>
        <w:t xml:space="preserve">Маланова Н.А. </w:t>
      </w:r>
    </w:p>
    <w:p w:rsidR="002C0F56" w:rsidRDefault="00E67C6E">
      <w:pPr>
        <w:spacing w:after="11" w:line="270" w:lineRule="auto"/>
        <w:ind w:left="10" w:right="309" w:hanging="10"/>
        <w:jc w:val="right"/>
      </w:pPr>
      <w:r>
        <w:t xml:space="preserve">Научный руководитель: Корниенко Е.В., к.соц.н., доц.  </w:t>
      </w:r>
    </w:p>
    <w:p w:rsidR="002C0F56" w:rsidRDefault="00E67C6E">
      <w:pPr>
        <w:spacing w:after="0" w:line="267" w:lineRule="auto"/>
        <w:ind w:left="905" w:right="311" w:hanging="10"/>
        <w:jc w:val="right"/>
      </w:pPr>
      <w:r>
        <w:rPr>
          <w:i/>
        </w:rPr>
        <w:t xml:space="preserve">Таганрогский институт управления и экономики </w:t>
      </w:r>
    </w:p>
    <w:p w:rsidR="002C0F56" w:rsidRDefault="00E67C6E">
      <w:pPr>
        <w:spacing w:after="0" w:line="259" w:lineRule="auto"/>
        <w:ind w:left="1558" w:firstLine="0"/>
        <w:jc w:val="left"/>
      </w:pPr>
      <w:r>
        <w:rPr>
          <w:i/>
        </w:rPr>
        <w:t xml:space="preserve"> </w:t>
      </w:r>
    </w:p>
    <w:p w:rsidR="002C0F56" w:rsidRDefault="00E67C6E">
      <w:pPr>
        <w:pStyle w:val="1"/>
        <w:spacing w:after="15" w:line="271" w:lineRule="auto"/>
        <w:ind w:left="1321" w:right="0"/>
        <w:jc w:val="left"/>
      </w:pPr>
      <w:r>
        <w:lastRenderedPageBreak/>
        <w:t xml:space="preserve">СОЦИОЛОГИЧЕСКИЙ АНАЛИЗ ОТНОШЕНИЯ СОТРУДНИКОВ К </w:t>
      </w:r>
    </w:p>
    <w:p w:rsidR="002C0F56" w:rsidRDefault="00E67C6E">
      <w:pPr>
        <w:spacing w:after="15" w:line="271" w:lineRule="auto"/>
        <w:ind w:left="1602" w:hanging="10"/>
        <w:jc w:val="left"/>
      </w:pPr>
      <w:r>
        <w:rPr>
          <w:b/>
        </w:rPr>
        <w:t xml:space="preserve">СИСТЕМЕ УПРАВЛЕНИЯ ЧЕЛОВЕЧЕСКИМИ РЕСУРСАМИ В </w:t>
      </w:r>
    </w:p>
    <w:p w:rsidR="002C0F56" w:rsidRDefault="00E67C6E">
      <w:pPr>
        <w:pStyle w:val="1"/>
        <w:ind w:left="700" w:right="7"/>
      </w:pPr>
      <w:r>
        <w:t xml:space="preserve">ОРГАНИЗАЦИИ  </w:t>
      </w:r>
    </w:p>
    <w:p w:rsidR="002C0F56" w:rsidRDefault="00E67C6E">
      <w:pPr>
        <w:spacing w:after="25" w:line="259" w:lineRule="auto"/>
        <w:ind w:left="1558" w:firstLine="0"/>
        <w:jc w:val="left"/>
      </w:pPr>
      <w:r>
        <w:t xml:space="preserve"> </w:t>
      </w:r>
    </w:p>
    <w:p w:rsidR="002C0F56" w:rsidRDefault="00E67C6E">
      <w:pPr>
        <w:spacing w:after="10"/>
        <w:ind w:left="994" w:right="302"/>
      </w:pPr>
      <w:r>
        <w:t>В современной России существует такая проблема как безработица, но несмотря на это, многие предпри</w:t>
      </w:r>
      <w:r>
        <w:t xml:space="preserve">ятия сталкиваются с актуальной проблемой высокой текучести кадров. </w:t>
      </w:r>
    </w:p>
    <w:p w:rsidR="002C0F56" w:rsidRDefault="00E67C6E">
      <w:pPr>
        <w:ind w:left="994" w:right="302"/>
      </w:pPr>
      <w:r>
        <w:t>Министерство Российской Федерации по делам гражданской обороны, чрезвычайным ситуациям и ликвидации последствий стихийных бедствий (МЧС России) — федеральное министерство, одна из</w:t>
      </w:r>
      <w:hyperlink r:id="rId1013">
        <w:r>
          <w:t xml:space="preserve"> </w:t>
        </w:r>
      </w:hyperlink>
      <w:hyperlink r:id="rId1014">
        <w:r>
          <w:t>аварийно</w:t>
        </w:r>
      </w:hyperlink>
      <w:hyperlink r:id="rId1015"/>
      <w:hyperlink r:id="rId1016">
        <w:r>
          <w:t>спасательных служб</w:t>
        </w:r>
      </w:hyperlink>
      <w:hyperlink r:id="rId1017">
        <w:r>
          <w:t xml:space="preserve"> </w:t>
        </w:r>
      </w:hyperlink>
      <w:r>
        <w:t xml:space="preserve">России [3]. </w:t>
      </w:r>
    </w:p>
    <w:p w:rsidR="002C0F56" w:rsidRDefault="00E67C6E">
      <w:pPr>
        <w:spacing w:after="0"/>
        <w:ind w:left="994" w:right="302"/>
      </w:pPr>
      <w:r>
        <w:t>В 2016 году штатная численность работников, содержащихся за счет с</w:t>
      </w:r>
      <w:r>
        <w:t>редств областного бюджета, деятельность которых направлена на решение задач программы, составляет 745,5 единиц [4]. В том числе: отдельные посты пожарной охраны - 310 единиц, единая дежурно-диспетчерская служба Тюменской области - 212 единиц Управление мер</w:t>
      </w:r>
      <w:r>
        <w:t xml:space="preserve">оприятий защиты населения и территорий - 112,5 единиц, ГКУ ТО Тюменская областная служба экстренного реагирования (далее ТОСЭР) - 111 единиц [1]. </w:t>
      </w:r>
    </w:p>
    <w:p w:rsidR="002C0F56" w:rsidRDefault="00E67C6E">
      <w:pPr>
        <w:ind w:left="994" w:right="302"/>
      </w:pPr>
      <w:r>
        <w:t>Общая численность сил, находящихся в распоряжении Главного управления МЧС России по Тюменской области, состав</w:t>
      </w:r>
      <w:r>
        <w:t xml:space="preserve">ляет 4 177,5 чел [2]. </w:t>
      </w:r>
    </w:p>
    <w:p w:rsidR="002C0F56" w:rsidRDefault="00E67C6E">
      <w:pPr>
        <w:spacing w:after="11"/>
        <w:ind w:left="994" w:right="302"/>
      </w:pPr>
      <w:r>
        <w:t xml:space="preserve">Для проведения выявления отношения работников к системе управления персоналом в ГУ МЧС по Тюменской области нами было проведено исследование с помощью метода анкетирования.  </w:t>
      </w:r>
    </w:p>
    <w:p w:rsidR="002C0F56" w:rsidRDefault="00E67C6E">
      <w:pPr>
        <w:spacing w:after="2"/>
        <w:ind w:left="994" w:right="302"/>
      </w:pPr>
      <w:r>
        <w:t>Из проведенного анализа, можно сделать вывод, что в данной</w:t>
      </w:r>
      <w:r>
        <w:t xml:space="preserve"> организации работает, в основном, молодой персонал в возрасте от 26 до 35 лет, со стажем работы от 3 до 10 лет (рисунок 1). Также большая часть работников (55%) удовлетворена своей работой в данной организации. </w:t>
      </w:r>
    </w:p>
    <w:p w:rsidR="002C0F56" w:rsidRDefault="00E67C6E">
      <w:pPr>
        <w:spacing w:after="0" w:line="259" w:lineRule="auto"/>
        <w:ind w:left="3430" w:firstLine="0"/>
        <w:jc w:val="left"/>
      </w:pPr>
      <w:r>
        <w:rPr>
          <w:noProof/>
        </w:rPr>
        <w:drawing>
          <wp:inline distT="0" distB="0" distL="0" distR="0">
            <wp:extent cx="3383280" cy="2286000"/>
            <wp:effectExtent l="0" t="0" r="0" b="0"/>
            <wp:docPr id="48835" name="Picture 48835"/>
            <wp:cNvGraphicFramePr/>
            <a:graphic xmlns:a="http://schemas.openxmlformats.org/drawingml/2006/main">
              <a:graphicData uri="http://schemas.openxmlformats.org/drawingml/2006/picture">
                <pic:pic xmlns:pic="http://schemas.openxmlformats.org/drawingml/2006/picture">
                  <pic:nvPicPr>
                    <pic:cNvPr id="48835" name="Picture 48835"/>
                    <pic:cNvPicPr/>
                  </pic:nvPicPr>
                  <pic:blipFill>
                    <a:blip r:embed="rId1018"/>
                    <a:stretch>
                      <a:fillRect/>
                    </a:stretch>
                  </pic:blipFill>
                  <pic:spPr>
                    <a:xfrm>
                      <a:off x="0" y="0"/>
                      <a:ext cx="3383280" cy="2286000"/>
                    </a:xfrm>
                    <a:prstGeom prst="rect">
                      <a:avLst/>
                    </a:prstGeom>
                  </pic:spPr>
                </pic:pic>
              </a:graphicData>
            </a:graphic>
          </wp:inline>
        </w:drawing>
      </w:r>
      <w:r>
        <w:t xml:space="preserve"> </w:t>
      </w:r>
    </w:p>
    <w:p w:rsidR="002C0F56" w:rsidRDefault="00E67C6E">
      <w:pPr>
        <w:pStyle w:val="4"/>
        <w:ind w:left="1181" w:right="6"/>
      </w:pPr>
      <w:r>
        <w:t xml:space="preserve">Рис. 1. Возраст работников организации </w:t>
      </w:r>
    </w:p>
    <w:p w:rsidR="002C0F56" w:rsidRDefault="00E67C6E">
      <w:pPr>
        <w:spacing w:after="0" w:line="259" w:lineRule="auto"/>
        <w:ind w:left="1558" w:firstLine="0"/>
        <w:jc w:val="left"/>
      </w:pPr>
      <w:r>
        <w:t xml:space="preserve"> </w:t>
      </w:r>
    </w:p>
    <w:p w:rsidR="002C0F56" w:rsidRDefault="00E67C6E">
      <w:pPr>
        <w:spacing w:after="3"/>
        <w:ind w:left="994" w:right="302"/>
      </w:pPr>
      <w:r>
        <w:lastRenderedPageBreak/>
        <w:t>Это говорит о том, что работники захотят расти в профессиональном плане. Так же у большинства работников, а именно 65% от общего количества работников, оценивают свою продолжительность труда равномерной, тем самым хорошо сказываясь на интенсивности работ</w:t>
      </w:r>
      <w:r>
        <w:t xml:space="preserve">ы и ее результаты.  </w:t>
      </w:r>
    </w:p>
    <w:p w:rsidR="002C0F56" w:rsidRDefault="00E67C6E">
      <w:pPr>
        <w:spacing w:after="2"/>
        <w:ind w:left="994" w:right="302"/>
      </w:pPr>
      <w:r>
        <w:t>Выясняя отношение работников к организации, необходимо было узнать, как они оценивают организацию своего рабочего места. Как оказалось, не всех работников устраивает организация рабочего места, 15% работников обозначили, что им не хват</w:t>
      </w:r>
      <w:r>
        <w:t xml:space="preserve">ает комнаты отдыха (рисунок 2).  </w:t>
      </w:r>
    </w:p>
    <w:p w:rsidR="002C0F56" w:rsidRDefault="00E67C6E">
      <w:pPr>
        <w:spacing w:after="0"/>
        <w:ind w:left="994" w:right="302"/>
      </w:pPr>
      <w:r>
        <w:t xml:space="preserve">Также большинство респондентов отмечают, что в их организации, в основном, стабильный коллектив, и отношение к корпоративной культуре у большинства положительное (55%) но, не смотря на это, только 45% опрошенных ответило, </w:t>
      </w:r>
      <w:r>
        <w:t xml:space="preserve">что отношение в коллективе хорошее и что проблем в коллективе не было (рисунок 3).  </w:t>
      </w:r>
    </w:p>
    <w:p w:rsidR="002C0F56" w:rsidRDefault="00E67C6E">
      <w:pPr>
        <w:spacing w:after="0" w:line="259" w:lineRule="auto"/>
        <w:ind w:left="1558" w:firstLine="0"/>
        <w:jc w:val="left"/>
      </w:pPr>
      <w:r>
        <w:t xml:space="preserve"> </w:t>
      </w:r>
    </w:p>
    <w:p w:rsidR="002C0F56" w:rsidRDefault="00E67C6E">
      <w:pPr>
        <w:spacing w:after="0" w:line="259" w:lineRule="auto"/>
        <w:ind w:left="3250" w:firstLine="0"/>
        <w:jc w:val="left"/>
      </w:pPr>
      <w:r>
        <w:rPr>
          <w:noProof/>
        </w:rPr>
        <w:drawing>
          <wp:inline distT="0" distB="0" distL="0" distR="0">
            <wp:extent cx="3611880" cy="2525395"/>
            <wp:effectExtent l="0" t="0" r="0" b="0"/>
            <wp:docPr id="48885" name="Picture 48885"/>
            <wp:cNvGraphicFramePr/>
            <a:graphic xmlns:a="http://schemas.openxmlformats.org/drawingml/2006/main">
              <a:graphicData uri="http://schemas.openxmlformats.org/drawingml/2006/picture">
                <pic:pic xmlns:pic="http://schemas.openxmlformats.org/drawingml/2006/picture">
                  <pic:nvPicPr>
                    <pic:cNvPr id="48885" name="Picture 48885"/>
                    <pic:cNvPicPr/>
                  </pic:nvPicPr>
                  <pic:blipFill>
                    <a:blip r:embed="rId1019"/>
                    <a:stretch>
                      <a:fillRect/>
                    </a:stretch>
                  </pic:blipFill>
                  <pic:spPr>
                    <a:xfrm>
                      <a:off x="0" y="0"/>
                      <a:ext cx="3611880" cy="2525395"/>
                    </a:xfrm>
                    <a:prstGeom prst="rect">
                      <a:avLst/>
                    </a:prstGeom>
                  </pic:spPr>
                </pic:pic>
              </a:graphicData>
            </a:graphic>
          </wp:inline>
        </w:drawing>
      </w:r>
      <w:r>
        <w:t xml:space="preserve"> </w:t>
      </w:r>
    </w:p>
    <w:p w:rsidR="002C0F56" w:rsidRDefault="00E67C6E">
      <w:pPr>
        <w:pStyle w:val="4"/>
        <w:ind w:left="1181" w:right="2"/>
      </w:pPr>
      <w:r>
        <w:t xml:space="preserve">Рис. 2. Оценка рабочего места </w:t>
      </w:r>
    </w:p>
    <w:p w:rsidR="002C0F56" w:rsidRDefault="00E67C6E">
      <w:pPr>
        <w:spacing w:after="0" w:line="259" w:lineRule="auto"/>
        <w:ind w:left="1558" w:firstLine="0"/>
        <w:jc w:val="left"/>
      </w:pPr>
      <w:r>
        <w:t xml:space="preserve"> </w:t>
      </w:r>
    </w:p>
    <w:p w:rsidR="002C0F56" w:rsidRDefault="00E67C6E">
      <w:pPr>
        <w:spacing w:after="0" w:line="259" w:lineRule="auto"/>
        <w:ind w:left="1558" w:right="1827" w:firstLine="0"/>
        <w:jc w:val="left"/>
      </w:pPr>
      <w:r>
        <w:t xml:space="preserve"> </w:t>
      </w:r>
    </w:p>
    <w:p w:rsidR="002C0F56" w:rsidRDefault="00E67C6E">
      <w:pPr>
        <w:spacing w:after="0" w:line="259" w:lineRule="auto"/>
        <w:ind w:left="0" w:right="1755" w:firstLine="0"/>
        <w:jc w:val="right"/>
      </w:pPr>
      <w:r>
        <w:rPr>
          <w:noProof/>
        </w:rPr>
        <w:drawing>
          <wp:inline distT="0" distB="0" distL="0" distR="0">
            <wp:extent cx="3837305" cy="2228215"/>
            <wp:effectExtent l="0" t="0" r="0" b="0"/>
            <wp:docPr id="48896" name="Picture 48896"/>
            <wp:cNvGraphicFramePr/>
            <a:graphic xmlns:a="http://schemas.openxmlformats.org/drawingml/2006/main">
              <a:graphicData uri="http://schemas.openxmlformats.org/drawingml/2006/picture">
                <pic:pic xmlns:pic="http://schemas.openxmlformats.org/drawingml/2006/picture">
                  <pic:nvPicPr>
                    <pic:cNvPr id="48896" name="Picture 48896"/>
                    <pic:cNvPicPr/>
                  </pic:nvPicPr>
                  <pic:blipFill>
                    <a:blip r:embed="rId1020"/>
                    <a:stretch>
                      <a:fillRect/>
                    </a:stretch>
                  </pic:blipFill>
                  <pic:spPr>
                    <a:xfrm>
                      <a:off x="0" y="0"/>
                      <a:ext cx="3837305" cy="2228215"/>
                    </a:xfrm>
                    <a:prstGeom prst="rect">
                      <a:avLst/>
                    </a:prstGeom>
                  </pic:spPr>
                </pic:pic>
              </a:graphicData>
            </a:graphic>
          </wp:inline>
        </w:drawing>
      </w:r>
      <w:r>
        <w:t xml:space="preserve"> </w:t>
      </w:r>
    </w:p>
    <w:p w:rsidR="002C0F56" w:rsidRDefault="00E67C6E">
      <w:pPr>
        <w:spacing w:after="5" w:line="271" w:lineRule="auto"/>
        <w:ind w:left="2907" w:right="396" w:hanging="10"/>
        <w:jc w:val="left"/>
      </w:pPr>
      <w:r>
        <w:rPr>
          <w:b/>
          <w:sz w:val="24"/>
        </w:rPr>
        <w:t xml:space="preserve">Рис. 3. Социально-психологический климат в коллективе </w:t>
      </w:r>
    </w:p>
    <w:p w:rsidR="002C0F56" w:rsidRDefault="00E67C6E">
      <w:pPr>
        <w:spacing w:after="0" w:line="259" w:lineRule="auto"/>
        <w:ind w:left="1558" w:firstLine="0"/>
        <w:jc w:val="left"/>
      </w:pPr>
      <w:r>
        <w:lastRenderedPageBreak/>
        <w:t xml:space="preserve"> </w:t>
      </w:r>
    </w:p>
    <w:p w:rsidR="002C0F56" w:rsidRDefault="00E67C6E">
      <w:pPr>
        <w:ind w:left="994" w:right="302"/>
      </w:pPr>
      <w:r>
        <w:t xml:space="preserve">Также большинство работников (45%) считают, что внутрифирменная система продвижения в их организации, в основном, справедлива (рисунок 4).  </w:t>
      </w:r>
    </w:p>
    <w:p w:rsidR="002C0F56" w:rsidRDefault="00E67C6E">
      <w:pPr>
        <w:spacing w:after="0" w:line="259" w:lineRule="auto"/>
        <w:ind w:left="0" w:right="1550" w:firstLine="0"/>
        <w:jc w:val="right"/>
      </w:pPr>
      <w:r>
        <w:rPr>
          <w:noProof/>
        </w:rPr>
        <w:drawing>
          <wp:inline distT="0" distB="0" distL="0" distR="0">
            <wp:extent cx="4094480" cy="2411096"/>
            <wp:effectExtent l="0" t="0" r="0" b="0"/>
            <wp:docPr id="48912" name="Picture 48912"/>
            <wp:cNvGraphicFramePr/>
            <a:graphic xmlns:a="http://schemas.openxmlformats.org/drawingml/2006/main">
              <a:graphicData uri="http://schemas.openxmlformats.org/drawingml/2006/picture">
                <pic:pic xmlns:pic="http://schemas.openxmlformats.org/drawingml/2006/picture">
                  <pic:nvPicPr>
                    <pic:cNvPr id="48912" name="Picture 48912"/>
                    <pic:cNvPicPr/>
                  </pic:nvPicPr>
                  <pic:blipFill>
                    <a:blip r:embed="rId1021"/>
                    <a:stretch>
                      <a:fillRect/>
                    </a:stretch>
                  </pic:blipFill>
                  <pic:spPr>
                    <a:xfrm>
                      <a:off x="0" y="0"/>
                      <a:ext cx="4094480" cy="2411096"/>
                    </a:xfrm>
                    <a:prstGeom prst="rect">
                      <a:avLst/>
                    </a:prstGeom>
                  </pic:spPr>
                </pic:pic>
              </a:graphicData>
            </a:graphic>
          </wp:inline>
        </w:drawing>
      </w:r>
      <w:r>
        <w:t xml:space="preserve"> </w:t>
      </w:r>
    </w:p>
    <w:p w:rsidR="002C0F56" w:rsidRDefault="00E67C6E">
      <w:pPr>
        <w:pStyle w:val="4"/>
        <w:ind w:left="1181" w:right="2"/>
      </w:pPr>
      <w:r>
        <w:t xml:space="preserve">Рис. 4. Внутрифирменная система продвижения </w:t>
      </w:r>
    </w:p>
    <w:p w:rsidR="002C0F56" w:rsidRDefault="00E67C6E">
      <w:pPr>
        <w:spacing w:after="0"/>
        <w:ind w:left="994" w:right="302"/>
      </w:pPr>
      <w:r>
        <w:t>Исходя из ответов респондентов, можно посчитать индекс удовлетворен</w:t>
      </w:r>
      <w:r>
        <w:t xml:space="preserve">ности их заработной платой. Индекс рассчитывается по формуле </w:t>
      </w:r>
    </w:p>
    <w:p w:rsidR="002C0F56" w:rsidRDefault="00E67C6E">
      <w:pPr>
        <w:spacing w:after="12"/>
        <w:ind w:left="994" w:right="2770" w:firstLine="0"/>
      </w:pPr>
      <w:r>
        <w:t xml:space="preserve">(1). </w:t>
      </w:r>
    </w:p>
    <w:p w:rsidR="002C0F56" w:rsidRDefault="00E67C6E">
      <w:pPr>
        <w:tabs>
          <w:tab w:val="center" w:pos="4999"/>
          <w:tab w:val="center" w:pos="8959"/>
        </w:tabs>
        <w:spacing w:after="12"/>
        <w:ind w:left="0" w:firstLine="0"/>
        <w:jc w:val="left"/>
      </w:pPr>
      <w:r>
        <w:rPr>
          <w:rFonts w:ascii="Calibri" w:eastAsia="Calibri" w:hAnsi="Calibri" w:cs="Calibri"/>
          <w:sz w:val="22"/>
        </w:rPr>
        <w:tab/>
      </w:r>
      <w:r>
        <w:rPr>
          <w:rFonts w:ascii="Calibri" w:eastAsia="Calibri" w:hAnsi="Calibri" w:cs="Calibri"/>
          <w:noProof/>
          <w:sz w:val="22"/>
        </w:rPr>
        <mc:AlternateContent>
          <mc:Choice Requires="wpg">
            <w:drawing>
              <wp:inline distT="0" distB="0" distL="0" distR="0">
                <wp:extent cx="4199890" cy="809625"/>
                <wp:effectExtent l="0" t="0" r="0" b="0"/>
                <wp:docPr id="622612" name="Group 622612"/>
                <wp:cNvGraphicFramePr/>
                <a:graphic xmlns:a="http://schemas.openxmlformats.org/drawingml/2006/main">
                  <a:graphicData uri="http://schemas.microsoft.com/office/word/2010/wordprocessingGroup">
                    <wpg:wgp>
                      <wpg:cNvGrpSpPr/>
                      <wpg:grpSpPr>
                        <a:xfrm>
                          <a:off x="0" y="0"/>
                          <a:ext cx="4199890" cy="809625"/>
                          <a:chOff x="0" y="0"/>
                          <a:chExt cx="4199890" cy="809625"/>
                        </a:xfrm>
                      </wpg:grpSpPr>
                      <pic:pic xmlns:pic="http://schemas.openxmlformats.org/drawingml/2006/picture">
                        <pic:nvPicPr>
                          <pic:cNvPr id="48941" name="Picture 48941"/>
                          <pic:cNvPicPr/>
                        </pic:nvPicPr>
                        <pic:blipFill>
                          <a:blip r:embed="rId1022"/>
                          <a:stretch>
                            <a:fillRect/>
                          </a:stretch>
                        </pic:blipFill>
                        <pic:spPr>
                          <a:xfrm>
                            <a:off x="0" y="0"/>
                            <a:ext cx="4199890" cy="466725"/>
                          </a:xfrm>
                          <a:prstGeom prst="rect">
                            <a:avLst/>
                          </a:prstGeom>
                        </pic:spPr>
                      </pic:pic>
                      <pic:pic xmlns:pic="http://schemas.openxmlformats.org/drawingml/2006/picture">
                        <pic:nvPicPr>
                          <pic:cNvPr id="48947" name="Picture 48947"/>
                          <pic:cNvPicPr/>
                        </pic:nvPicPr>
                        <pic:blipFill>
                          <a:blip r:embed="rId1023"/>
                          <a:stretch>
                            <a:fillRect/>
                          </a:stretch>
                        </pic:blipFill>
                        <pic:spPr>
                          <a:xfrm>
                            <a:off x="0" y="466725"/>
                            <a:ext cx="2066290" cy="342900"/>
                          </a:xfrm>
                          <a:prstGeom prst="rect">
                            <a:avLst/>
                          </a:prstGeom>
                        </pic:spPr>
                      </pic:pic>
                      <wps:wsp>
                        <wps:cNvPr id="622607" name="Rectangle 622607"/>
                        <wps:cNvSpPr/>
                        <wps:spPr>
                          <a:xfrm>
                            <a:off x="2067052" y="524261"/>
                            <a:ext cx="133744" cy="262525"/>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22609" name="Rectangle 622609"/>
                        <wps:cNvSpPr/>
                        <wps:spPr>
                          <a:xfrm>
                            <a:off x="2167618" y="524261"/>
                            <a:ext cx="965199" cy="262525"/>
                          </a:xfrm>
                          <a:prstGeom prst="rect">
                            <a:avLst/>
                          </a:prstGeom>
                          <a:ln>
                            <a:noFill/>
                          </a:ln>
                        </wps:spPr>
                        <wps:txbx>
                          <w:txbxContent>
                            <w:p w:rsidR="002C0F56" w:rsidRDefault="00E67C6E">
                              <w:pPr>
                                <w:spacing w:after="160" w:line="259" w:lineRule="auto"/>
                                <w:ind w:left="0" w:firstLine="0"/>
                                <w:jc w:val="left"/>
                              </w:pPr>
                              <w:r>
                                <w:t xml:space="preserve"> 0,4%       </w:t>
                              </w:r>
                            </w:p>
                          </w:txbxContent>
                        </wps:txbx>
                        <wps:bodyPr horzOverflow="overflow" vert="horz" lIns="0" tIns="0" rIns="0" bIns="0" rtlCol="0">
                          <a:noAutofit/>
                        </wps:bodyPr>
                      </wps:wsp>
                      <wps:wsp>
                        <wps:cNvPr id="622608" name="Rectangle 622608"/>
                        <wps:cNvSpPr/>
                        <wps:spPr>
                          <a:xfrm>
                            <a:off x="2893331" y="524261"/>
                            <a:ext cx="276519" cy="262525"/>
                          </a:xfrm>
                          <a:prstGeom prst="rect">
                            <a:avLst/>
                          </a:prstGeom>
                          <a:ln>
                            <a:noFill/>
                          </a:ln>
                        </wps:spPr>
                        <wps:txbx>
                          <w:txbxContent>
                            <w:p w:rsidR="002C0F56" w:rsidRDefault="00E67C6E">
                              <w:pPr>
                                <w:spacing w:after="160" w:line="259" w:lineRule="auto"/>
                                <w:ind w:left="0" w:firstLine="0"/>
                                <w:jc w:val="left"/>
                              </w:pPr>
                              <w:r>
                                <w:t>(2)</w:t>
                              </w:r>
                            </w:p>
                          </w:txbxContent>
                        </wps:txbx>
                        <wps:bodyPr horzOverflow="overflow" vert="horz" lIns="0" tIns="0" rIns="0" bIns="0" rtlCol="0">
                          <a:noAutofit/>
                        </wps:bodyPr>
                      </wps:wsp>
                      <wps:wsp>
                        <wps:cNvPr id="48949" name="Rectangle 48949"/>
                        <wps:cNvSpPr/>
                        <wps:spPr>
                          <a:xfrm>
                            <a:off x="3100324" y="524261"/>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22612" style="width:330.7pt;height:63.75pt;mso-position-horizontal-relative:char;mso-position-vertical-relative:line" coordsize="41998,8096">
                <v:shape id="Picture 48941" style="position:absolute;width:41998;height:4667;left:0;top:0;" filled="f">
                  <v:imagedata r:id="rId1024"/>
                </v:shape>
                <v:shape id="Picture 48947" style="position:absolute;width:20662;height:3429;left:0;top:4667;" filled="f">
                  <v:imagedata r:id="rId1025"/>
                </v:shape>
                <v:rect id="Rectangle 622607" style="position:absolute;width:1337;height:2625;left:20670;top:5242;" filled="f" stroked="f">
                  <v:textbox inset="0,0,0,0">
                    <w:txbxContent>
                      <w:p>
                        <w:pPr>
                          <w:spacing w:before="0" w:after="160" w:line="259" w:lineRule="auto"/>
                          <w:ind w:left="0" w:firstLine="0"/>
                          <w:jc w:val="left"/>
                        </w:pPr>
                        <w:r>
                          <w:rPr/>
                          <w:t xml:space="preserve">=</w:t>
                        </w:r>
                      </w:p>
                    </w:txbxContent>
                  </v:textbox>
                </v:rect>
                <v:rect id="Rectangle 622609" style="position:absolute;width:9651;height:2625;left:21676;top:5242;" filled="f" stroked="f">
                  <v:textbox inset="0,0,0,0">
                    <w:txbxContent>
                      <w:p>
                        <w:pPr>
                          <w:spacing w:before="0" w:after="160" w:line="259" w:lineRule="auto"/>
                          <w:ind w:left="0" w:firstLine="0"/>
                          <w:jc w:val="left"/>
                        </w:pPr>
                        <w:r>
                          <w:rPr/>
                          <w:t xml:space="preserve"> 0,4%       </w:t>
                        </w:r>
                      </w:p>
                    </w:txbxContent>
                  </v:textbox>
                </v:rect>
                <v:rect id="Rectangle 622608" style="position:absolute;width:2765;height:2625;left:28933;top:5242;" filled="f" stroked="f">
                  <v:textbox inset="0,0,0,0">
                    <w:txbxContent>
                      <w:p>
                        <w:pPr>
                          <w:spacing w:before="0" w:after="160" w:line="259" w:lineRule="auto"/>
                          <w:ind w:left="0" w:firstLine="0"/>
                          <w:jc w:val="left"/>
                        </w:pPr>
                        <w:r>
                          <w:rPr/>
                          <w:t xml:space="preserve">(2)</w:t>
                        </w:r>
                      </w:p>
                    </w:txbxContent>
                  </v:textbox>
                </v:rect>
                <v:rect id="Rectangle 48949" style="position:absolute;width:592;height:2625;left:31003;top:5242;" filled="f" stroked="f">
                  <v:textbox inset="0,0,0,0">
                    <w:txbxContent>
                      <w:p>
                        <w:pPr>
                          <w:spacing w:before="0" w:after="160" w:line="259" w:lineRule="auto"/>
                          <w:ind w:left="0" w:firstLine="0"/>
                          <w:jc w:val="left"/>
                        </w:pPr>
                        <w:r>
                          <w:rPr/>
                          <w:t xml:space="preserve"> </w:t>
                        </w:r>
                      </w:p>
                    </w:txbxContent>
                  </v:textbox>
                </v:rect>
              </v:group>
            </w:pict>
          </mc:Fallback>
        </mc:AlternateContent>
      </w:r>
      <w:r>
        <w:t xml:space="preserve">  </w:t>
      </w:r>
      <w:r>
        <w:tab/>
        <w:t xml:space="preserve">(1) </w:t>
      </w:r>
    </w:p>
    <w:p w:rsidR="002C0F56" w:rsidRDefault="00E67C6E">
      <w:pPr>
        <w:spacing w:after="3"/>
        <w:ind w:left="994" w:right="302"/>
      </w:pPr>
      <w:r>
        <w:t xml:space="preserve">В ходе изучения проблемы текучести кадров было выяснено, что работники (80% опрошенных) считают, что организация заинтересована в своих сотрудниках. Но не смотря на это, только 30% работников считают, что руководство вполне демократичное (рисунок 5). </w:t>
      </w:r>
    </w:p>
    <w:p w:rsidR="002C0F56" w:rsidRDefault="00E67C6E">
      <w:pPr>
        <w:spacing w:after="0" w:line="259" w:lineRule="auto"/>
        <w:ind w:left="1558" w:firstLine="0"/>
        <w:jc w:val="left"/>
      </w:pPr>
      <w:r>
        <w:t xml:space="preserve"> </w:t>
      </w:r>
    </w:p>
    <w:p w:rsidR="002C0F56" w:rsidRDefault="00E67C6E">
      <w:pPr>
        <w:spacing w:after="0" w:line="259" w:lineRule="auto"/>
        <w:ind w:left="0" w:right="1229" w:firstLine="0"/>
        <w:jc w:val="center"/>
      </w:pPr>
      <w:r>
        <w:rPr>
          <w:noProof/>
        </w:rPr>
        <w:drawing>
          <wp:inline distT="0" distB="0" distL="0" distR="0">
            <wp:extent cx="4143375" cy="2571115"/>
            <wp:effectExtent l="0" t="0" r="0" b="0"/>
            <wp:docPr id="48958" name="Picture 48958"/>
            <wp:cNvGraphicFramePr/>
            <a:graphic xmlns:a="http://schemas.openxmlformats.org/drawingml/2006/main">
              <a:graphicData uri="http://schemas.openxmlformats.org/drawingml/2006/picture">
                <pic:pic xmlns:pic="http://schemas.openxmlformats.org/drawingml/2006/picture">
                  <pic:nvPicPr>
                    <pic:cNvPr id="48958" name="Picture 48958"/>
                    <pic:cNvPicPr/>
                  </pic:nvPicPr>
                  <pic:blipFill>
                    <a:blip r:embed="rId1026"/>
                    <a:stretch>
                      <a:fillRect/>
                    </a:stretch>
                  </pic:blipFill>
                  <pic:spPr>
                    <a:xfrm>
                      <a:off x="0" y="0"/>
                      <a:ext cx="4143375" cy="2571115"/>
                    </a:xfrm>
                    <a:prstGeom prst="rect">
                      <a:avLst/>
                    </a:prstGeom>
                  </pic:spPr>
                </pic:pic>
              </a:graphicData>
            </a:graphic>
          </wp:inline>
        </w:drawing>
      </w:r>
      <w:r>
        <w:t xml:space="preserve"> </w:t>
      </w:r>
    </w:p>
    <w:p w:rsidR="002C0F56" w:rsidRDefault="00E67C6E">
      <w:pPr>
        <w:pStyle w:val="4"/>
        <w:ind w:left="1181" w:right="2"/>
      </w:pPr>
      <w:r>
        <w:lastRenderedPageBreak/>
        <w:t xml:space="preserve">Рис. 5. Отношение вышестоящего руководства </w:t>
      </w:r>
    </w:p>
    <w:p w:rsidR="002C0F56" w:rsidRDefault="00E67C6E">
      <w:pPr>
        <w:spacing w:after="0" w:line="259" w:lineRule="auto"/>
        <w:ind w:left="1558" w:firstLine="0"/>
        <w:jc w:val="left"/>
      </w:pPr>
      <w:r>
        <w:t xml:space="preserve"> </w:t>
      </w:r>
    </w:p>
    <w:p w:rsidR="002C0F56" w:rsidRDefault="00E67C6E">
      <w:pPr>
        <w:spacing w:after="9"/>
        <w:ind w:left="994" w:right="302"/>
      </w:pPr>
      <w:r>
        <w:t xml:space="preserve">Также проведенное исследование показало, что большинство сотрудников стремятся через год или два перейти на следующую должность в данной организации (рисунок 6). </w:t>
      </w:r>
    </w:p>
    <w:p w:rsidR="002C0F56" w:rsidRDefault="00E67C6E">
      <w:pPr>
        <w:spacing w:after="0" w:line="259" w:lineRule="auto"/>
        <w:ind w:left="0" w:right="1101" w:firstLine="0"/>
        <w:jc w:val="right"/>
      </w:pPr>
      <w:r>
        <w:rPr>
          <w:noProof/>
        </w:rPr>
        <w:drawing>
          <wp:inline distT="0" distB="0" distL="0" distR="0">
            <wp:extent cx="4666615" cy="2705100"/>
            <wp:effectExtent l="0" t="0" r="0" b="0"/>
            <wp:docPr id="48977" name="Picture 48977"/>
            <wp:cNvGraphicFramePr/>
            <a:graphic xmlns:a="http://schemas.openxmlformats.org/drawingml/2006/main">
              <a:graphicData uri="http://schemas.openxmlformats.org/drawingml/2006/picture">
                <pic:pic xmlns:pic="http://schemas.openxmlformats.org/drawingml/2006/picture">
                  <pic:nvPicPr>
                    <pic:cNvPr id="48977" name="Picture 48977"/>
                    <pic:cNvPicPr/>
                  </pic:nvPicPr>
                  <pic:blipFill>
                    <a:blip r:embed="rId1027"/>
                    <a:stretch>
                      <a:fillRect/>
                    </a:stretch>
                  </pic:blipFill>
                  <pic:spPr>
                    <a:xfrm>
                      <a:off x="0" y="0"/>
                      <a:ext cx="4666615" cy="2705100"/>
                    </a:xfrm>
                    <a:prstGeom prst="rect">
                      <a:avLst/>
                    </a:prstGeom>
                  </pic:spPr>
                </pic:pic>
              </a:graphicData>
            </a:graphic>
          </wp:inline>
        </w:drawing>
      </w:r>
      <w:r>
        <w:t xml:space="preserve"> </w:t>
      </w:r>
    </w:p>
    <w:p w:rsidR="002C0F56" w:rsidRDefault="00E67C6E">
      <w:pPr>
        <w:spacing w:after="5" w:line="271" w:lineRule="auto"/>
        <w:ind w:left="3356" w:right="396" w:hanging="10"/>
        <w:jc w:val="left"/>
      </w:pPr>
      <w:r>
        <w:rPr>
          <w:b/>
          <w:sz w:val="24"/>
        </w:rPr>
        <w:t>Рис. 6. Планы работников на ближайшие 1-</w:t>
      </w:r>
      <w:r>
        <w:rPr>
          <w:b/>
          <w:sz w:val="24"/>
        </w:rPr>
        <w:t xml:space="preserve">2 года </w:t>
      </w:r>
    </w:p>
    <w:p w:rsidR="002C0F56" w:rsidRDefault="00E67C6E">
      <w:pPr>
        <w:ind w:left="994" w:right="302"/>
      </w:pPr>
      <w:r>
        <w:t>По результатам проведенного исследования с использованием метода анкетирования можно сделать вывод, что многим из опрошенных не нравится отношение к ним руководства; несколько человек указывают на переутомляемость. Всё это связано с тем, что в учре</w:t>
      </w:r>
      <w:r>
        <w:t xml:space="preserve">ждении не хватает комнаты отдыха или организации небольших перерывов в работе. Согласно данным исследования сотрудники понимают свои должностные обязанности, следовательно, руководство вправе ожидать от них качественного выполнения работы. </w:t>
      </w:r>
    </w:p>
    <w:p w:rsidR="002C0F56" w:rsidRDefault="00E67C6E">
      <w:pPr>
        <w:ind w:left="1558" w:right="302" w:firstLine="0"/>
      </w:pPr>
      <w:r>
        <w:t>Также в ходе ис</w:t>
      </w:r>
      <w:r>
        <w:t xml:space="preserve">следования было выявлено несколько проблем: </w:t>
      </w:r>
    </w:p>
    <w:p w:rsidR="002C0F56" w:rsidRDefault="00E67C6E">
      <w:pPr>
        <w:numPr>
          <w:ilvl w:val="0"/>
          <w:numId w:val="150"/>
        </w:numPr>
        <w:ind w:right="302"/>
      </w:pPr>
      <w:r>
        <w:t xml:space="preserve">большинство сотрудников считает, что вышестоящее руководство относится слишком требовательно и отношение у руководства к работе принципиальное. Данное отношение может плохо сказываться на </w:t>
      </w:r>
    </w:p>
    <w:p w:rsidR="002C0F56" w:rsidRDefault="00E67C6E">
      <w:pPr>
        <w:spacing w:after="12"/>
        <w:ind w:left="994" w:right="302" w:firstLine="0"/>
      </w:pPr>
      <w:r>
        <w:t>интенсивность работы с</w:t>
      </w:r>
      <w:r>
        <w:t xml:space="preserve">отрудников; </w:t>
      </w:r>
    </w:p>
    <w:p w:rsidR="002C0F56" w:rsidRDefault="00E67C6E">
      <w:pPr>
        <w:numPr>
          <w:ilvl w:val="0"/>
          <w:numId w:val="150"/>
        </w:numPr>
        <w:ind w:right="302"/>
      </w:pPr>
      <w:r>
        <w:t>как выяснилось, сотрудники безразлично относятся к корпоративным праздникам, а так же несколько опрошенных отметили, что в коллективе безразличное друг к другу отношение, коллектив разбит на группы, что означает, что в коллективе отсутствует с</w:t>
      </w:r>
      <w:r>
        <w:t xml:space="preserve">плоченность; </w:t>
      </w:r>
    </w:p>
    <w:p w:rsidR="002C0F56" w:rsidRDefault="00E67C6E">
      <w:pPr>
        <w:numPr>
          <w:ilvl w:val="0"/>
          <w:numId w:val="150"/>
        </w:numPr>
        <w:spacing w:after="0"/>
        <w:ind w:right="302"/>
      </w:pPr>
      <w:r>
        <w:t>большинство работников отметило, что, по их мнению, внутрифирменная система продвижения, в основном, справедлива и их заработная плата скорее удовлетворяет, чем не удовлетворяет. Однако это тоже может стать одной из причин ухода сотрудников и</w:t>
      </w:r>
      <w:r>
        <w:t xml:space="preserve">з организации. Как правило, </w:t>
      </w:r>
      <w:r>
        <w:lastRenderedPageBreak/>
        <w:t xml:space="preserve">чтобы люди чувствовали себя более удовлетворенно от своей работы, им нужна хорошо выстроенная система мотивации. </w:t>
      </w:r>
    </w:p>
    <w:p w:rsidR="002C0F56" w:rsidRDefault="00E67C6E">
      <w:pPr>
        <w:ind w:left="994" w:right="302"/>
      </w:pPr>
      <w:r>
        <w:t>Для того чтобы, улучшить сложившуюся в ГУ МЧС по Тюменской области ситуацию, нами были предложены следующие рекоме</w:t>
      </w:r>
      <w:r>
        <w:t xml:space="preserve">ндации, основанные на вышеуказанных проблемах: </w:t>
      </w:r>
    </w:p>
    <w:p w:rsidR="002C0F56" w:rsidRDefault="00E67C6E">
      <w:pPr>
        <w:numPr>
          <w:ilvl w:val="0"/>
          <w:numId w:val="151"/>
        </w:numPr>
        <w:ind w:right="302"/>
      </w:pPr>
      <w:r>
        <w:t xml:space="preserve">общение руководителя с работниками. Чтобы называть свою работу «стабильной» и чувствовать себя твердо стоящим на ногах, каждый сотрудник должен знать, куда идет его компания, как она планирует развиваться, и </w:t>
      </w:r>
      <w:r>
        <w:t>не уволят ли его завтра.</w:t>
      </w:r>
      <w:r>
        <w:rPr>
          <w:b/>
        </w:rPr>
        <w:t xml:space="preserve"> </w:t>
      </w:r>
      <w:r>
        <w:t>Руководителю периодически необходимо чаще обращаться к работникам лично – это может повысить лояльность персонала. Выражения признательности, благодарности со стороны руководства позволяет повысить удовлетворенность персонала в обр</w:t>
      </w:r>
      <w:r>
        <w:t>атной связи. Корпоративный праздник позволит демонстрировать признание трудовых достижений работников, покажет персоналу, что их усилия на рабочем месте не просто оплачиваются, но и признаются успешными и достойными всяческих похвал;</w:t>
      </w:r>
      <w:r>
        <w:rPr>
          <w:b/>
        </w:rPr>
        <w:t xml:space="preserve"> </w:t>
      </w:r>
    </w:p>
    <w:p w:rsidR="002C0F56" w:rsidRDefault="00E67C6E">
      <w:pPr>
        <w:numPr>
          <w:ilvl w:val="0"/>
          <w:numId w:val="151"/>
        </w:numPr>
        <w:ind w:right="302"/>
      </w:pPr>
      <w:r>
        <w:t>каждый руководитель стремится сплотить коллектив, чтобы максимально повысить уровень комфорта сотрудников и их желание вместе двигаться к поставленной цели. Для того, чтобы сплотить коллектив необходимо организовывать тренинги на сплочение коллектива.</w:t>
      </w:r>
      <w:r>
        <w:rPr>
          <w:b/>
        </w:rPr>
        <w:t xml:space="preserve"> </w:t>
      </w:r>
      <w:r>
        <w:t>Кома</w:t>
      </w:r>
      <w:r>
        <w:t xml:space="preserve">ндообразующие тренинги давно стали частью корпоративов – ничто так не способствует сплочению людей, как совместный отдых, игра, испытания; </w:t>
      </w:r>
    </w:p>
    <w:p w:rsidR="002C0F56" w:rsidRDefault="00E67C6E">
      <w:pPr>
        <w:numPr>
          <w:ilvl w:val="0"/>
          <w:numId w:val="151"/>
        </w:numPr>
        <w:spacing w:after="0"/>
        <w:ind w:right="302"/>
      </w:pPr>
      <w:r>
        <w:t>разработать программы по профессиональному и карьерному развитию персонала. Обучающие программы имеют большое значен</w:t>
      </w:r>
      <w:r>
        <w:t xml:space="preserve">ие для обеспечения лояльности и удержания. Например, такие как, курсы по повышению квалификации, усовершенствование имеющихся навыков и получение новых знаний за счёт работодателя. </w:t>
      </w:r>
    </w:p>
    <w:p w:rsidR="002C0F56" w:rsidRDefault="00E67C6E">
      <w:pPr>
        <w:spacing w:after="0"/>
        <w:ind w:left="994" w:right="302"/>
      </w:pPr>
      <w:r>
        <w:t>Таким образом, из всего выше сказанного, можно сделать вывод, что для того</w:t>
      </w:r>
      <w:r>
        <w:t>, чтобы улучшить отношение сотрудников к работе, необходимо выделить специальное время для сотрудника, в которое руководитель мог бы вести обратную связь с сотрудниками, тем самым улучшив интенсивность работников. А так же нужно сплотить коллектив и мотиви</w:t>
      </w:r>
      <w:r>
        <w:t xml:space="preserve">ровать персонал к работе, чтобы повысить результативность труда. </w:t>
      </w:r>
    </w:p>
    <w:p w:rsidR="002C0F56" w:rsidRDefault="00E67C6E">
      <w:pPr>
        <w:spacing w:after="23" w:line="259" w:lineRule="auto"/>
        <w:ind w:left="1558" w:firstLine="0"/>
        <w:jc w:val="left"/>
      </w:pPr>
      <w:r>
        <w:t xml:space="preserve"> </w:t>
      </w:r>
    </w:p>
    <w:p w:rsidR="002C0F56" w:rsidRDefault="00E67C6E">
      <w:pPr>
        <w:spacing w:after="15" w:line="268" w:lineRule="auto"/>
        <w:ind w:left="1262" w:hanging="10"/>
        <w:jc w:val="center"/>
      </w:pPr>
      <w:r>
        <w:t xml:space="preserve">Список литературы: </w:t>
      </w:r>
    </w:p>
    <w:p w:rsidR="002C0F56" w:rsidRDefault="00E67C6E">
      <w:pPr>
        <w:spacing w:after="9"/>
        <w:ind w:left="994" w:right="302"/>
      </w:pPr>
      <w:r>
        <w:t>1.</w:t>
      </w:r>
      <w:r>
        <w:rPr>
          <w:rFonts w:ascii="Arial" w:eastAsia="Arial" w:hAnsi="Arial" w:cs="Arial"/>
        </w:rPr>
        <w:t xml:space="preserve"> </w:t>
      </w:r>
      <w:r>
        <w:t>Федеральный закон от 27.04.2004 № 79-ФЗ «О государственной гражданской службе Российской Федерации» [Электронный ресурс] URL: http://www.consultant.ru/document/cons_</w:t>
      </w:r>
      <w:r>
        <w:t xml:space="preserve">doc_LAW_48601/(дата обращения: </w:t>
      </w:r>
    </w:p>
    <w:p w:rsidR="002C0F56" w:rsidRDefault="00E67C6E">
      <w:pPr>
        <w:ind w:left="994" w:right="302" w:firstLine="0"/>
      </w:pPr>
      <w:r>
        <w:t>19.04.2017). 2.</w:t>
      </w:r>
      <w:r>
        <w:rPr>
          <w:rFonts w:ascii="Arial" w:eastAsia="Arial" w:hAnsi="Arial" w:cs="Arial"/>
        </w:rPr>
        <w:t xml:space="preserve"> </w:t>
      </w:r>
      <w:r>
        <w:t xml:space="preserve">Постановление Верховного Совета РФ от 23.12.1992 № 4202-1 «Положение о службе в органах внутренних дел Российской Федерации» </w:t>
      </w:r>
      <w:r>
        <w:lastRenderedPageBreak/>
        <w:t>[Электронный ресурс] URL:</w:t>
      </w:r>
      <w:hyperlink r:id="rId1028">
        <w:r>
          <w:t>http://b</w:t>
        </w:r>
        <w:r>
          <w:t>ase.garant.ru/1305454/</w:t>
        </w:r>
      </w:hyperlink>
      <w:hyperlink r:id="rId1029">
        <w:r>
          <w:t xml:space="preserve"> </w:t>
        </w:r>
      </w:hyperlink>
      <w:r>
        <w:rPr>
          <w:b/>
        </w:rPr>
        <w:t>(</w:t>
      </w:r>
      <w:r>
        <w:t xml:space="preserve">дата обращения: 19.04.2017). </w:t>
      </w:r>
    </w:p>
    <w:p w:rsidR="002C0F56" w:rsidRDefault="00E67C6E">
      <w:pPr>
        <w:numPr>
          <w:ilvl w:val="0"/>
          <w:numId w:val="152"/>
        </w:numPr>
        <w:ind w:right="302"/>
      </w:pPr>
      <w:r>
        <w:t xml:space="preserve">МЧС </w:t>
      </w:r>
      <w:r>
        <w:tab/>
        <w:t xml:space="preserve">России. </w:t>
      </w:r>
      <w:r>
        <w:tab/>
        <w:t xml:space="preserve">[Электронный </w:t>
      </w:r>
      <w:r>
        <w:tab/>
        <w:t>ресурс]</w:t>
      </w:r>
      <w:r>
        <w:rPr>
          <w:b/>
        </w:rPr>
        <w:t xml:space="preserve"> </w:t>
      </w:r>
      <w:r>
        <w:rPr>
          <w:b/>
        </w:rPr>
        <w:tab/>
      </w:r>
      <w:r>
        <w:t xml:space="preserve">URL: </w:t>
      </w:r>
      <w:r>
        <w:tab/>
        <w:t>https://ru.wikipedia.</w:t>
      </w:r>
      <w:r>
        <w:rPr>
          <w:b/>
        </w:rPr>
        <w:t xml:space="preserve"> </w:t>
      </w:r>
    </w:p>
    <w:p w:rsidR="002C0F56" w:rsidRDefault="00E67C6E">
      <w:pPr>
        <w:ind w:left="994" w:right="302" w:firstLine="0"/>
      </w:pPr>
      <w:r>
        <w:t>org/wiki/МЧС_России (дата обращения: 19.04.2017).</w:t>
      </w:r>
      <w:r>
        <w:rPr>
          <w:b/>
        </w:rPr>
        <w:t xml:space="preserve"> </w:t>
      </w:r>
    </w:p>
    <w:p w:rsidR="002C0F56" w:rsidRDefault="00E67C6E">
      <w:pPr>
        <w:numPr>
          <w:ilvl w:val="0"/>
          <w:numId w:val="152"/>
        </w:numPr>
        <w:ind w:right="302"/>
      </w:pPr>
      <w:r>
        <w:t>Официальный сайт ГУ МЧС по Тюменско</w:t>
      </w:r>
      <w:r>
        <w:t>й области.  [Электронный ресурс] URL:</w:t>
      </w:r>
      <w:hyperlink r:id="rId1030">
        <w:r>
          <w:rPr>
            <w:b/>
          </w:rPr>
          <w:t xml:space="preserve"> </w:t>
        </w:r>
      </w:hyperlink>
      <w:hyperlink r:id="rId1031">
        <w:r>
          <w:t>http://72.mchs.gov.ru/</w:t>
        </w:r>
      </w:hyperlink>
      <w:hyperlink r:id="rId1032">
        <w:r>
          <w:t xml:space="preserve"> </w:t>
        </w:r>
      </w:hyperlink>
      <w:r>
        <w:t xml:space="preserve">(дата обращения: 20.04.2017). </w:t>
      </w:r>
    </w:p>
    <w:p w:rsidR="002C0F56" w:rsidRDefault="00E67C6E">
      <w:pPr>
        <w:spacing w:after="0" w:line="259" w:lineRule="auto"/>
        <w:ind w:left="1558" w:firstLine="0"/>
        <w:jc w:val="left"/>
      </w:pPr>
      <w:r>
        <w:rPr>
          <w:b/>
          <w:i/>
        </w:rPr>
        <w:t xml:space="preserve"> </w:t>
      </w:r>
    </w:p>
    <w:p w:rsidR="002C0F56" w:rsidRDefault="00E67C6E">
      <w:pPr>
        <w:spacing w:after="31" w:line="259" w:lineRule="auto"/>
        <w:ind w:left="1558" w:firstLine="0"/>
        <w:jc w:val="left"/>
      </w:pPr>
      <w:r>
        <w:rPr>
          <w:b/>
          <w:i/>
        </w:rPr>
        <w:t xml:space="preserve"> </w:t>
      </w:r>
    </w:p>
    <w:p w:rsidR="002C0F56" w:rsidRDefault="00E67C6E">
      <w:pPr>
        <w:pStyle w:val="1"/>
        <w:spacing w:after="11"/>
        <w:ind w:left="4667" w:right="307"/>
        <w:jc w:val="right"/>
      </w:pPr>
      <w:r>
        <w:t xml:space="preserve">Макарова А.Д. </w:t>
      </w:r>
      <w:r>
        <w:rPr>
          <w:b w:val="0"/>
        </w:rPr>
        <w:t>Научный руководитель</w:t>
      </w:r>
      <w:r>
        <w:rPr>
          <w:b w:val="0"/>
        </w:rPr>
        <w:t xml:space="preserve">: Тиндова М.Г., к.э.н., доц. </w:t>
      </w:r>
    </w:p>
    <w:p w:rsidR="002C0F56" w:rsidRDefault="00E67C6E">
      <w:pPr>
        <w:spacing w:after="0" w:line="267" w:lineRule="auto"/>
        <w:ind w:left="905" w:right="311" w:hanging="10"/>
        <w:jc w:val="right"/>
      </w:pPr>
      <w:r>
        <w:rPr>
          <w:i/>
        </w:rPr>
        <w:t xml:space="preserve">Саратовский социально-экономический институт (филиал)  </w:t>
      </w:r>
    </w:p>
    <w:p w:rsidR="002C0F56" w:rsidRDefault="00E67C6E">
      <w:pPr>
        <w:spacing w:after="0" w:line="267" w:lineRule="auto"/>
        <w:ind w:left="905" w:right="308" w:hanging="10"/>
        <w:jc w:val="right"/>
      </w:pPr>
      <w:r>
        <w:rPr>
          <w:i/>
        </w:rPr>
        <w:t xml:space="preserve">РЭУ им. Г.В.Плеханова </w:t>
      </w:r>
    </w:p>
    <w:p w:rsidR="002C0F56" w:rsidRDefault="00E67C6E">
      <w:pPr>
        <w:spacing w:after="0" w:line="259" w:lineRule="auto"/>
        <w:ind w:left="1558" w:firstLine="0"/>
        <w:jc w:val="left"/>
      </w:pPr>
      <w:r>
        <w:t xml:space="preserve"> </w:t>
      </w:r>
    </w:p>
    <w:p w:rsidR="002C0F56" w:rsidRDefault="00E67C6E">
      <w:pPr>
        <w:pStyle w:val="1"/>
        <w:ind w:left="700" w:right="7"/>
      </w:pPr>
      <w:r>
        <w:t xml:space="preserve">КОИНТЕГРАЦИОННЫЙ АНАЛИЗ ЛЕСОВОССТАНОВИТЕЛЬНЫХ РАБОТ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Земли лесного фонда занимают около 65% от общего количества земель в РФ, что составляет 11</w:t>
      </w:r>
      <w:r>
        <w:t>05 млн.га. К ним относят лесные (т.е. земли, покрытые лесной растительностью и не покрытые ею, но предназначенные для ее восстановления) и предназначенные для ведения лесного хозяйства нелесные земли [1]. Происходящие последнее время изменения климата, раз</w:t>
      </w:r>
      <w:r>
        <w:t>личные геологические изменения приводят к увеличившемуся числу лесных пожаров (не только на территории России, но и по всему миру). В следствии этого возникает вопрос адекватности проводимых работ, направленных на восстановление лесных ресурсов. Поэтому це</w:t>
      </w:r>
      <w:r>
        <w:t>лью работы является выявление взаимосвязи между лесовосстановительными работами и пожарами, возникающими на территории лесных земель. Не ограничивая общности обозначим у</w:t>
      </w:r>
      <w:r>
        <w:rPr>
          <w:vertAlign w:val="subscript"/>
        </w:rPr>
        <w:t>1</w:t>
      </w:r>
      <w:r>
        <w:t xml:space="preserve"> – лесовосстановление (млн.га), у</w:t>
      </w:r>
      <w:r>
        <w:rPr>
          <w:vertAlign w:val="subscript"/>
        </w:rPr>
        <w:t>2</w:t>
      </w:r>
      <w:r>
        <w:t xml:space="preserve"> – лесные земли, пройденные пожарами (млн.га).  </w:t>
      </w:r>
    </w:p>
    <w:p w:rsidR="002C0F56" w:rsidRDefault="00E67C6E">
      <w:pPr>
        <w:ind w:left="994" w:right="302"/>
      </w:pPr>
      <w:r>
        <w:t>Про</w:t>
      </w:r>
      <w:r>
        <w:t>верим гипотезу о наличии коинтеграции между рядами на основе критерия Ингла-Грэнджера. Строим линейную регрессию влияния сгоревших лесов на размер лесовосстановительных работ: у</w:t>
      </w:r>
      <w:r>
        <w:rPr>
          <w:sz w:val="24"/>
        </w:rPr>
        <w:t xml:space="preserve">1t </w:t>
      </w:r>
      <w:r>
        <w:rPr>
          <w:rFonts w:ascii="Segoe UI Symbol" w:eastAsia="Segoe UI Symbol" w:hAnsi="Segoe UI Symbol" w:cs="Segoe UI Symbol"/>
        </w:rPr>
        <w:t></w:t>
      </w:r>
      <w:r>
        <w:t xml:space="preserve">1,05 </w:t>
      </w:r>
      <w:r>
        <w:rPr>
          <w:rFonts w:ascii="Segoe UI Symbol" w:eastAsia="Segoe UI Symbol" w:hAnsi="Segoe UI Symbol" w:cs="Segoe UI Symbol"/>
        </w:rPr>
        <w:t xml:space="preserve"> </w:t>
      </w:r>
      <w:r>
        <w:t>0,015у</w:t>
      </w:r>
      <w:r>
        <w:rPr>
          <w:sz w:val="24"/>
        </w:rPr>
        <w:t xml:space="preserve">2t </w:t>
      </w:r>
      <w:r>
        <w:rPr>
          <w:rFonts w:ascii="Segoe UI Symbol" w:eastAsia="Segoe UI Symbol" w:hAnsi="Segoe UI Symbol" w:cs="Segoe UI Symbol"/>
        </w:rPr>
        <w:t xml:space="preserve"> </w:t>
      </w:r>
      <w:r>
        <w:rPr>
          <w:rFonts w:ascii="Segoe UI Symbol" w:eastAsia="Segoe UI Symbol" w:hAnsi="Segoe UI Symbol" w:cs="Segoe UI Symbol"/>
        </w:rPr>
        <w:t></w:t>
      </w:r>
      <w:r>
        <w:rPr>
          <w:sz w:val="36"/>
          <w:vertAlign w:val="subscript"/>
        </w:rPr>
        <w:t xml:space="preserve">t </w:t>
      </w:r>
      <w:r>
        <w:t>, параметр b</w:t>
      </w:r>
      <w:r>
        <w:rPr>
          <w:vertAlign w:val="subscript"/>
        </w:rPr>
        <w:t>1</w:t>
      </w:r>
      <w:r>
        <w:t xml:space="preserve"> данного уравнения значим при α=5%, R</w:t>
      </w:r>
      <w:r>
        <w:rPr>
          <w:vertAlign w:val="superscript"/>
        </w:rPr>
        <w:t>2</w:t>
      </w:r>
      <w:r>
        <w:t>=0,</w:t>
      </w:r>
      <w:r>
        <w:t xml:space="preserve">719 и он значим по критерию Фишера. Определяя остатки по данной регрессии, строим зависимость вида: </w:t>
      </w:r>
      <w:r>
        <w:rPr>
          <w:rFonts w:ascii="Segoe UI Symbol" w:eastAsia="Segoe UI Symbol" w:hAnsi="Segoe UI Symbol" w:cs="Segoe UI Symbol"/>
        </w:rPr>
        <w:t></w:t>
      </w:r>
      <w:r>
        <w:rPr>
          <w:rFonts w:ascii="Segoe UI Symbol" w:eastAsia="Segoe UI Symbol" w:hAnsi="Segoe UI Symbol" w:cs="Segoe UI Symbol"/>
        </w:rPr>
        <w:t></w:t>
      </w:r>
      <w:r>
        <w:rPr>
          <w:sz w:val="24"/>
        </w:rPr>
        <w:t xml:space="preserve">t </w:t>
      </w:r>
      <w:r>
        <w:rPr>
          <w:rFonts w:ascii="Segoe UI Symbol" w:eastAsia="Segoe UI Symbol" w:hAnsi="Segoe UI Symbol" w:cs="Segoe UI Symbol"/>
        </w:rPr>
        <w:t xml:space="preserve"> </w:t>
      </w:r>
      <w:r>
        <w:t xml:space="preserve">a </w:t>
      </w:r>
      <w:r>
        <w:rPr>
          <w:rFonts w:ascii="Segoe UI Symbol" w:eastAsia="Segoe UI Symbol" w:hAnsi="Segoe UI Symbol" w:cs="Segoe UI Symbol"/>
        </w:rPr>
        <w:t xml:space="preserve"> </w:t>
      </w:r>
      <w:r>
        <w:t>b</w:t>
      </w:r>
      <w:r>
        <w:rPr>
          <w:rFonts w:ascii="Segoe UI Symbol" w:eastAsia="Segoe UI Symbol" w:hAnsi="Segoe UI Symbol" w:cs="Segoe UI Symbol"/>
        </w:rPr>
        <w:t></w:t>
      </w:r>
      <w:r>
        <w:rPr>
          <w:sz w:val="24"/>
        </w:rPr>
        <w:t>t</w:t>
      </w:r>
      <w:r>
        <w:rPr>
          <w:rFonts w:ascii="Segoe UI Symbol" w:eastAsia="Segoe UI Symbol" w:hAnsi="Segoe UI Symbol" w:cs="Segoe UI Symbol"/>
          <w:sz w:val="24"/>
        </w:rPr>
        <w:t></w:t>
      </w:r>
      <w:r>
        <w:rPr>
          <w:sz w:val="24"/>
        </w:rPr>
        <w:t xml:space="preserve">1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0,026 </w:t>
      </w:r>
      <w:r>
        <w:rPr>
          <w:rFonts w:ascii="Segoe UI Symbol" w:eastAsia="Segoe UI Symbol" w:hAnsi="Segoe UI Symbol" w:cs="Segoe UI Symbol"/>
        </w:rPr>
        <w:t xml:space="preserve"> </w:t>
      </w:r>
      <w:r>
        <w:t>0,08</w:t>
      </w:r>
      <w:r>
        <w:rPr>
          <w:rFonts w:ascii="Segoe UI Symbol" w:eastAsia="Segoe UI Symbol" w:hAnsi="Segoe UI Symbol" w:cs="Segoe UI Symbol"/>
        </w:rPr>
        <w:t></w:t>
      </w:r>
      <w:r>
        <w:rPr>
          <w:sz w:val="24"/>
        </w:rPr>
        <w:t>t</w:t>
      </w:r>
      <w:r>
        <w:rPr>
          <w:rFonts w:ascii="Segoe UI Symbol" w:eastAsia="Segoe UI Symbol" w:hAnsi="Segoe UI Symbol" w:cs="Segoe UI Symbol"/>
          <w:sz w:val="24"/>
        </w:rPr>
        <w:t></w:t>
      </w:r>
      <w:r>
        <w:rPr>
          <w:sz w:val="24"/>
        </w:rPr>
        <w:t>1</w:t>
      </w:r>
      <w:r>
        <w:t xml:space="preserve">. Расчетное значение tстатистики для параметра b равно 0,67; критическое значение критерия ИнглаГрэнджера при α=5% равно </w:t>
      </w:r>
      <w:r>
        <w:t xml:space="preserve">1,9439 [2]. Таким образом, гипотеза об отсутствии коинтеграции между рядами принимается, т.е. с вероятностью 95% можно говорить об отсутствие динамики изучаемых временных рядов. Другими словами, </w:t>
      </w:r>
      <w:r>
        <w:lastRenderedPageBreak/>
        <w:t>лесовосстановительные работы никак не связаны с размером лесн</w:t>
      </w:r>
      <w:r>
        <w:t xml:space="preserve">ых земель, пройденных пожарами. </w:t>
      </w:r>
    </w:p>
    <w:p w:rsidR="002C0F56" w:rsidRDefault="00E67C6E">
      <w:pPr>
        <w:spacing w:after="308" w:line="270" w:lineRule="auto"/>
        <w:ind w:left="10" w:right="307" w:hanging="10"/>
        <w:jc w:val="right"/>
      </w:pPr>
      <w:r>
        <w:t xml:space="preserve">Коэффициент корреляции между рядами составляет r=-0,28. Коэффициент </w:t>
      </w:r>
    </w:p>
    <w:p w:rsidR="002C0F56" w:rsidRDefault="00E67C6E">
      <w:pPr>
        <w:tabs>
          <w:tab w:val="center" w:pos="3775"/>
          <w:tab w:val="center" w:pos="7795"/>
          <w:tab w:val="center" w:pos="9908"/>
        </w:tabs>
        <w:spacing w:after="12"/>
        <w:ind w:left="0" w:firstLine="0"/>
        <w:jc w:val="left"/>
      </w:pPr>
      <w:r>
        <w:rPr>
          <w:rFonts w:ascii="Calibri" w:eastAsia="Calibri" w:hAnsi="Calibri" w:cs="Calibri"/>
          <w:sz w:val="22"/>
        </w:rPr>
        <w:tab/>
      </w:r>
      <w:r>
        <w:t xml:space="preserve">корреляции для рядов отклонений равен </w:t>
      </w:r>
      <w:r>
        <w:tab/>
      </w:r>
      <w:r>
        <w:rPr>
          <w:sz w:val="43"/>
          <w:vertAlign w:val="superscript"/>
        </w:rPr>
        <w:t>r</w:t>
      </w:r>
      <w:r>
        <w:rPr>
          <w:sz w:val="37"/>
          <w:vertAlign w:val="subscript"/>
        </w:rPr>
        <w:t xml:space="preserve">отк </w:t>
      </w:r>
      <w:r>
        <w:rPr>
          <w:rFonts w:ascii="Segoe UI Symbol" w:eastAsia="Segoe UI Symbol" w:hAnsi="Segoe UI Symbol" w:cs="Segoe UI Symbol"/>
        </w:rPr>
        <w:t xml:space="preserve"> </w:t>
      </w:r>
      <w:r>
        <w:rPr>
          <w:rFonts w:ascii="Segoe UI Symbol" w:eastAsia="Segoe UI Symbol" w:hAnsi="Segoe UI Symbol" w:cs="Segoe UI Symbol"/>
          <w:sz w:val="36"/>
        </w:rPr>
        <w:t></w:t>
      </w:r>
      <w:r>
        <w:rPr>
          <w:rFonts w:ascii="Segoe UI Symbol" w:eastAsia="Segoe UI Symbol" w:hAnsi="Segoe UI Symbol" w:cs="Segoe UI Symbol"/>
          <w:sz w:val="36"/>
          <w:vertAlign w:val="superscript"/>
        </w:rPr>
        <w:t></w:t>
      </w:r>
      <w:r>
        <w:rPr>
          <w:sz w:val="36"/>
          <w:vertAlign w:val="superscript"/>
        </w:rPr>
        <w:t>t</w:t>
      </w:r>
      <w:r>
        <w:rPr>
          <w:rFonts w:ascii="Segoe UI Symbol" w:eastAsia="Segoe UI Symbol" w:hAnsi="Segoe UI Symbol" w:cs="Segoe UI Symbol"/>
          <w:sz w:val="36"/>
          <w:vertAlign w:val="superscript"/>
        </w:rPr>
        <w:t></w:t>
      </w:r>
      <w:r>
        <w:rPr>
          <w:sz w:val="36"/>
          <w:vertAlign w:val="superscript"/>
        </w:rPr>
        <w:t>t</w:t>
      </w:r>
      <w:r>
        <w:rPr>
          <w:sz w:val="36"/>
          <w:vertAlign w:val="superscript"/>
        </w:rPr>
        <w:tab/>
      </w:r>
      <w:r>
        <w:rPr>
          <w:rFonts w:ascii="Segoe UI Symbol" w:eastAsia="Segoe UI Symbol" w:hAnsi="Segoe UI Symbol" w:cs="Segoe UI Symbol"/>
        </w:rPr>
        <w:t xml:space="preserve"> </w:t>
      </w:r>
      <w:r>
        <w:t>0,24</w:t>
      </w:r>
      <w:r>
        <w:t xml:space="preserve">, где </w:t>
      </w:r>
    </w:p>
    <w:p w:rsidR="002C0F56" w:rsidRDefault="00E67C6E">
      <w:pPr>
        <w:tabs>
          <w:tab w:val="center" w:pos="8329"/>
          <w:tab w:val="center" w:pos="8978"/>
        </w:tabs>
        <w:spacing w:after="5" w:line="271" w:lineRule="auto"/>
        <w:ind w:left="0" w:firstLine="0"/>
        <w:jc w:val="left"/>
      </w:pPr>
      <w:r>
        <w:rPr>
          <w:rFonts w:ascii="Calibri" w:eastAsia="Calibri" w:hAnsi="Calibri" w:cs="Calibri"/>
          <w:sz w:val="22"/>
        </w:rPr>
        <w:tab/>
      </w:r>
      <w:r>
        <w:rPr>
          <w:sz w:val="24"/>
        </w:rPr>
        <w:t>2</w:t>
      </w:r>
      <w:r>
        <w:rPr>
          <w:sz w:val="24"/>
        </w:rPr>
        <w:tab/>
        <w:t>2</w:t>
      </w:r>
    </w:p>
    <w:p w:rsidR="002C0F56" w:rsidRDefault="00E67C6E">
      <w:pPr>
        <w:spacing w:after="5" w:line="271" w:lineRule="auto"/>
        <w:ind w:left="7828" w:hanging="10"/>
        <w:jc w:val="left"/>
      </w:pPr>
      <w:r>
        <w:rPr>
          <w:rFonts w:ascii="Calibri" w:eastAsia="Calibri" w:hAnsi="Calibri" w:cs="Calibri"/>
          <w:noProof/>
          <w:sz w:val="22"/>
        </w:rPr>
        <mc:AlternateContent>
          <mc:Choice Requires="wpg">
            <w:drawing>
              <wp:anchor distT="0" distB="0" distL="114300" distR="114300" simplePos="0" relativeHeight="251668480" behindDoc="1" locked="0" layoutInCell="1" allowOverlap="1">
                <wp:simplePos x="0" y="0"/>
                <wp:positionH relativeFrom="column">
                  <wp:posOffset>4835385</wp:posOffset>
                </wp:positionH>
                <wp:positionV relativeFrom="paragraph">
                  <wp:posOffset>-137950</wp:posOffset>
                </wp:positionV>
                <wp:extent cx="946454" cy="317706"/>
                <wp:effectExtent l="0" t="0" r="0" b="0"/>
                <wp:wrapNone/>
                <wp:docPr id="623901" name="Group 623901"/>
                <wp:cNvGraphicFramePr/>
                <a:graphic xmlns:a="http://schemas.openxmlformats.org/drawingml/2006/main">
                  <a:graphicData uri="http://schemas.microsoft.com/office/word/2010/wordprocessingGroup">
                    <wpg:wgp>
                      <wpg:cNvGrpSpPr/>
                      <wpg:grpSpPr>
                        <a:xfrm>
                          <a:off x="0" y="0"/>
                          <a:ext cx="946454" cy="317706"/>
                          <a:chOff x="0" y="0"/>
                          <a:chExt cx="946454" cy="317706"/>
                        </a:xfrm>
                      </wpg:grpSpPr>
                      <wps:wsp>
                        <wps:cNvPr id="49373" name="Shape 49373"/>
                        <wps:cNvSpPr/>
                        <wps:spPr>
                          <a:xfrm>
                            <a:off x="15897" y="212099"/>
                            <a:ext cx="23542" cy="12941"/>
                          </a:xfrm>
                          <a:custGeom>
                            <a:avLst/>
                            <a:gdLst/>
                            <a:ahLst/>
                            <a:cxnLst/>
                            <a:rect l="0" t="0" r="0" b="0"/>
                            <a:pathLst>
                              <a:path w="23542" h="12941">
                                <a:moveTo>
                                  <a:pt x="0" y="12941"/>
                                </a:moveTo>
                                <a:lnTo>
                                  <a:pt x="23542" y="0"/>
                                </a:lnTo>
                              </a:path>
                            </a:pathLst>
                          </a:custGeom>
                          <a:ln w="6326" cap="flat">
                            <a:round/>
                          </a:ln>
                        </wps:spPr>
                        <wps:style>
                          <a:lnRef idx="1">
                            <a:srgbClr val="000000"/>
                          </a:lnRef>
                          <a:fillRef idx="0">
                            <a:srgbClr val="000000">
                              <a:alpha val="0"/>
                            </a:srgbClr>
                          </a:fillRef>
                          <a:effectRef idx="0">
                            <a:scrgbClr r="0" g="0" b="0"/>
                          </a:effectRef>
                          <a:fontRef idx="none"/>
                        </wps:style>
                        <wps:bodyPr/>
                      </wps:wsp>
                      <wps:wsp>
                        <wps:cNvPr id="49374" name="Shape 49374"/>
                        <wps:cNvSpPr/>
                        <wps:spPr>
                          <a:xfrm>
                            <a:off x="39438" y="215112"/>
                            <a:ext cx="33638" cy="102594"/>
                          </a:xfrm>
                          <a:custGeom>
                            <a:avLst/>
                            <a:gdLst/>
                            <a:ahLst/>
                            <a:cxnLst/>
                            <a:rect l="0" t="0" r="0" b="0"/>
                            <a:pathLst>
                              <a:path w="33638" h="102594">
                                <a:moveTo>
                                  <a:pt x="0" y="0"/>
                                </a:moveTo>
                                <a:lnTo>
                                  <a:pt x="33638" y="102594"/>
                                </a:lnTo>
                              </a:path>
                            </a:pathLst>
                          </a:custGeom>
                          <a:ln w="12652" cap="flat">
                            <a:round/>
                          </a:ln>
                        </wps:spPr>
                        <wps:style>
                          <a:lnRef idx="1">
                            <a:srgbClr val="000000"/>
                          </a:lnRef>
                          <a:fillRef idx="0">
                            <a:srgbClr val="000000">
                              <a:alpha val="0"/>
                            </a:srgbClr>
                          </a:fillRef>
                          <a:effectRef idx="0">
                            <a:scrgbClr r="0" g="0" b="0"/>
                          </a:effectRef>
                          <a:fontRef idx="none"/>
                        </wps:style>
                        <wps:bodyPr/>
                      </wps:wsp>
                      <wps:wsp>
                        <wps:cNvPr id="49375" name="Shape 49375"/>
                        <wps:cNvSpPr/>
                        <wps:spPr>
                          <a:xfrm>
                            <a:off x="76135" y="34891"/>
                            <a:ext cx="42812" cy="282815"/>
                          </a:xfrm>
                          <a:custGeom>
                            <a:avLst/>
                            <a:gdLst/>
                            <a:ahLst/>
                            <a:cxnLst/>
                            <a:rect l="0" t="0" r="0" b="0"/>
                            <a:pathLst>
                              <a:path w="42812" h="282815">
                                <a:moveTo>
                                  <a:pt x="0" y="282815"/>
                                </a:moveTo>
                                <a:lnTo>
                                  <a:pt x="42812" y="0"/>
                                </a:lnTo>
                              </a:path>
                            </a:pathLst>
                          </a:custGeom>
                          <a:ln w="6326" cap="flat">
                            <a:round/>
                          </a:ln>
                        </wps:spPr>
                        <wps:style>
                          <a:lnRef idx="1">
                            <a:srgbClr val="000000"/>
                          </a:lnRef>
                          <a:fillRef idx="0">
                            <a:srgbClr val="000000">
                              <a:alpha val="0"/>
                            </a:srgbClr>
                          </a:fillRef>
                          <a:effectRef idx="0">
                            <a:scrgbClr r="0" g="0" b="0"/>
                          </a:effectRef>
                          <a:fontRef idx="none"/>
                        </wps:style>
                        <wps:bodyPr/>
                      </wps:wsp>
                      <wps:wsp>
                        <wps:cNvPr id="49376" name="Shape 49376"/>
                        <wps:cNvSpPr/>
                        <wps:spPr>
                          <a:xfrm>
                            <a:off x="118947" y="34891"/>
                            <a:ext cx="814997" cy="0"/>
                          </a:xfrm>
                          <a:custGeom>
                            <a:avLst/>
                            <a:gdLst/>
                            <a:ahLst/>
                            <a:cxnLst/>
                            <a:rect l="0" t="0" r="0" b="0"/>
                            <a:pathLst>
                              <a:path w="814997">
                                <a:moveTo>
                                  <a:pt x="0" y="0"/>
                                </a:moveTo>
                                <a:lnTo>
                                  <a:pt x="814997" y="0"/>
                                </a:lnTo>
                              </a:path>
                            </a:pathLst>
                          </a:custGeom>
                          <a:ln w="6326" cap="flat">
                            <a:round/>
                          </a:ln>
                        </wps:spPr>
                        <wps:style>
                          <a:lnRef idx="1">
                            <a:srgbClr val="000000"/>
                          </a:lnRef>
                          <a:fillRef idx="0">
                            <a:srgbClr val="000000">
                              <a:alpha val="0"/>
                            </a:srgbClr>
                          </a:fillRef>
                          <a:effectRef idx="0">
                            <a:scrgbClr r="0" g="0" b="0"/>
                          </a:effectRef>
                          <a:fontRef idx="none"/>
                        </wps:style>
                        <wps:bodyPr/>
                      </wps:wsp>
                      <wps:wsp>
                        <wps:cNvPr id="49377" name="Shape 49377"/>
                        <wps:cNvSpPr/>
                        <wps:spPr>
                          <a:xfrm>
                            <a:off x="0" y="0"/>
                            <a:ext cx="946454" cy="0"/>
                          </a:xfrm>
                          <a:custGeom>
                            <a:avLst/>
                            <a:gdLst/>
                            <a:ahLst/>
                            <a:cxnLst/>
                            <a:rect l="0" t="0" r="0" b="0"/>
                            <a:pathLst>
                              <a:path w="946454">
                                <a:moveTo>
                                  <a:pt x="0" y="0"/>
                                </a:moveTo>
                                <a:lnTo>
                                  <a:pt x="946454" y="0"/>
                                </a:lnTo>
                              </a:path>
                            </a:pathLst>
                          </a:custGeom>
                          <a:ln w="6326"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23901" style="width:74.5239pt;height:25.0162pt;position:absolute;z-index:-2147483539;mso-position-horizontal-relative:text;mso-position-horizontal:absolute;margin-left:380.739pt;mso-position-vertical-relative:text;margin-top:-10.8623pt;" coordsize="9464,3177">
                <v:shape id="Shape 49373" style="position:absolute;width:235;height:129;left:158;top:2120;" coordsize="23542,12941" path="m0,12941l23542,0">
                  <v:stroke weight="0.498102pt" endcap="flat" joinstyle="round" on="true" color="#000000"/>
                  <v:fill on="false" color="#000000" opacity="0"/>
                </v:shape>
                <v:shape id="Shape 49374" style="position:absolute;width:336;height:1025;left:394;top:2151;" coordsize="33638,102594" path="m0,0l33638,102594">
                  <v:stroke weight="0.996224pt" endcap="flat" joinstyle="round" on="true" color="#000000"/>
                  <v:fill on="false" color="#000000" opacity="0"/>
                </v:shape>
                <v:shape id="Shape 49375" style="position:absolute;width:428;height:2828;left:761;top:348;" coordsize="42812,282815" path="m0,282815l42812,0">
                  <v:stroke weight="0.498102pt" endcap="flat" joinstyle="round" on="true" color="#000000"/>
                  <v:fill on="false" color="#000000" opacity="0"/>
                </v:shape>
                <v:shape id="Shape 49376" style="position:absolute;width:8149;height:0;left:1189;top:348;" coordsize="814997,0" path="m0,0l814997,0">
                  <v:stroke weight="0.498102pt" endcap="flat" joinstyle="round" on="true" color="#000000"/>
                  <v:fill on="false" color="#000000" opacity="0"/>
                </v:shape>
                <v:shape id="Shape 49377" style="position:absolute;width:9464;height:0;left:0;top:0;" coordsize="946454,0" path="m0,0l946454,0">
                  <v:stroke weight="0.498102pt" endcap="flat" joinstyle="round" on="true" color="#000000"/>
                  <v:fill on="false" color="#000000" opacity="0"/>
                </v:shape>
              </v:group>
            </w:pict>
          </mc:Fallback>
        </mc:AlternateContent>
      </w:r>
      <w:r>
        <w:rPr>
          <w:rFonts w:ascii="Segoe UI Symbol" w:eastAsia="Segoe UI Symbol" w:hAnsi="Segoe UI Symbol" w:cs="Segoe UI Symbol"/>
          <w:sz w:val="36"/>
        </w:rPr>
        <w:t></w:t>
      </w:r>
      <w:r>
        <w:rPr>
          <w:rFonts w:ascii="Segoe UI Symbol" w:eastAsia="Segoe UI Symbol" w:hAnsi="Segoe UI Symbol" w:cs="Segoe UI Symbol"/>
        </w:rPr>
        <w:t></w:t>
      </w:r>
      <w:r>
        <w:rPr>
          <w:sz w:val="24"/>
        </w:rPr>
        <w:t xml:space="preserve">t </w:t>
      </w:r>
      <w:r>
        <w:rPr>
          <w:rFonts w:ascii="Segoe UI Symbol" w:eastAsia="Segoe UI Symbol" w:hAnsi="Segoe UI Symbol" w:cs="Segoe UI Symbol"/>
          <w:sz w:val="36"/>
        </w:rPr>
        <w:t></w:t>
      </w:r>
      <w:r>
        <w:rPr>
          <w:rFonts w:ascii="Segoe UI Symbol" w:eastAsia="Segoe UI Symbol" w:hAnsi="Segoe UI Symbol" w:cs="Segoe UI Symbol"/>
        </w:rPr>
        <w:t></w:t>
      </w:r>
      <w:r>
        <w:rPr>
          <w:sz w:val="24"/>
        </w:rPr>
        <w:t>t</w:t>
      </w:r>
    </w:p>
    <w:p w:rsidR="002C0F56" w:rsidRDefault="00E67C6E">
      <w:pPr>
        <w:ind w:left="994" w:right="302" w:firstLine="33"/>
      </w:pPr>
      <w:r>
        <w:rPr>
          <w:rFonts w:ascii="Segoe UI Symbol" w:eastAsia="Segoe UI Symbol" w:hAnsi="Segoe UI Symbol" w:cs="Segoe UI Symbol"/>
        </w:rPr>
        <w:t></w:t>
      </w:r>
      <w:r>
        <w:rPr>
          <w:vertAlign w:val="subscript"/>
        </w:rPr>
        <w:t xml:space="preserve">t </w:t>
      </w:r>
      <w:r>
        <w:rPr>
          <w:rFonts w:ascii="Segoe UI Symbol" w:eastAsia="Segoe UI Symbol" w:hAnsi="Segoe UI Symbol" w:cs="Segoe UI Symbol"/>
        </w:rPr>
        <w:t xml:space="preserve"> </w:t>
      </w:r>
      <w:r>
        <w:t>y</w:t>
      </w:r>
      <w:r>
        <w:rPr>
          <w:vertAlign w:val="subscript"/>
        </w:rPr>
        <w:t xml:space="preserve">1t </w:t>
      </w:r>
      <w:r>
        <w:rPr>
          <w:rFonts w:ascii="Segoe UI Symbol" w:eastAsia="Segoe UI Symbol" w:hAnsi="Segoe UI Symbol" w:cs="Segoe UI Symbol"/>
        </w:rPr>
        <w:t xml:space="preserve"> </w:t>
      </w:r>
      <w:r>
        <w:t xml:space="preserve">yˆ </w:t>
      </w:r>
      <w:r>
        <w:rPr>
          <w:vertAlign w:val="subscript"/>
        </w:rPr>
        <w:t xml:space="preserve">1t </w:t>
      </w:r>
      <w:r>
        <w:t xml:space="preserve">, </w:t>
      </w:r>
      <w:r>
        <w:rPr>
          <w:rFonts w:ascii="Segoe UI Symbol" w:eastAsia="Segoe UI Symbol" w:hAnsi="Segoe UI Symbol" w:cs="Segoe UI Symbol"/>
        </w:rPr>
        <w:t></w:t>
      </w:r>
      <w:r>
        <w:rPr>
          <w:vertAlign w:val="subscript"/>
        </w:rPr>
        <w:t xml:space="preserve">t </w:t>
      </w:r>
      <w:r>
        <w:rPr>
          <w:rFonts w:ascii="Segoe UI Symbol" w:eastAsia="Segoe UI Symbol" w:hAnsi="Segoe UI Symbol" w:cs="Segoe UI Symbol"/>
        </w:rPr>
        <w:t xml:space="preserve"> </w:t>
      </w:r>
      <w:r>
        <w:t>y</w:t>
      </w:r>
      <w:r>
        <w:rPr>
          <w:vertAlign w:val="subscript"/>
        </w:rPr>
        <w:t xml:space="preserve">2t </w:t>
      </w:r>
      <w:r>
        <w:rPr>
          <w:rFonts w:ascii="Segoe UI Symbol" w:eastAsia="Segoe UI Symbol" w:hAnsi="Segoe UI Symbol" w:cs="Segoe UI Symbol"/>
        </w:rPr>
        <w:t xml:space="preserve"> </w:t>
      </w:r>
      <w:r>
        <w:t xml:space="preserve">yˆ </w:t>
      </w:r>
      <w:r>
        <w:rPr>
          <w:vertAlign w:val="subscript"/>
        </w:rPr>
        <w:t xml:space="preserve">2t </w:t>
      </w:r>
      <w:r>
        <w:t xml:space="preserve">. Данный показатель говорит об отсутствии ложной корреляции между рядами [3], т.е. действительно наблюдается слабая зависимость в размерах восстановленных и сгоревших лесов.  </w:t>
      </w:r>
    </w:p>
    <w:p w:rsidR="002C0F56" w:rsidRDefault="00E67C6E">
      <w:pPr>
        <w:spacing w:after="101"/>
        <w:ind w:left="994" w:right="302"/>
      </w:pPr>
      <w:r>
        <w:t>Для моделирования регрессионной зависимости между исследуемыми показателями восп</w:t>
      </w:r>
      <w:r>
        <w:t xml:space="preserve">ользуемся уравнением регрессии по отклонениям от трендов [4]: </w:t>
      </w:r>
      <w:r>
        <w:rPr>
          <w:rFonts w:ascii="Segoe UI Symbol" w:eastAsia="Segoe UI Symbol" w:hAnsi="Segoe UI Symbol" w:cs="Segoe UI Symbol"/>
        </w:rPr>
        <w:t></w:t>
      </w:r>
      <w:r>
        <w:rPr>
          <w:sz w:val="24"/>
        </w:rPr>
        <w:t xml:space="preserve">t </w:t>
      </w:r>
      <w:r>
        <w:rPr>
          <w:rFonts w:ascii="Segoe UI Symbol" w:eastAsia="Segoe UI Symbol" w:hAnsi="Segoe UI Symbol" w:cs="Segoe UI Symbol"/>
        </w:rPr>
        <w:t xml:space="preserve"> </w:t>
      </w:r>
      <w:r>
        <w:t xml:space="preserve">a </w:t>
      </w:r>
      <w:r>
        <w:rPr>
          <w:rFonts w:ascii="Segoe UI Symbol" w:eastAsia="Segoe UI Symbol" w:hAnsi="Segoe UI Symbol" w:cs="Segoe UI Symbol"/>
        </w:rPr>
        <w:t xml:space="preserve"> </w:t>
      </w:r>
      <w:r>
        <w:t>b</w:t>
      </w:r>
      <w:r>
        <w:rPr>
          <w:rFonts w:ascii="Segoe UI Symbol" w:eastAsia="Segoe UI Symbol" w:hAnsi="Segoe UI Symbol" w:cs="Segoe UI Symbol"/>
        </w:rPr>
        <w:t></w:t>
      </w:r>
      <w:r>
        <w:rPr>
          <w:sz w:val="24"/>
        </w:rPr>
        <w:t xml:space="preserve">t </w:t>
      </w:r>
      <w:r>
        <w:rPr>
          <w:rFonts w:ascii="Segoe UI Symbol" w:eastAsia="Segoe UI Symbol" w:hAnsi="Segoe UI Symbol" w:cs="Segoe UI Symbol"/>
        </w:rPr>
        <w:t xml:space="preserve"> </w:t>
      </w:r>
      <w:r>
        <w:t xml:space="preserve">0 </w:t>
      </w:r>
      <w:r>
        <w:rPr>
          <w:rFonts w:ascii="Segoe UI Symbol" w:eastAsia="Segoe UI Symbol" w:hAnsi="Segoe UI Symbol" w:cs="Segoe UI Symbol"/>
        </w:rPr>
        <w:t xml:space="preserve"> </w:t>
      </w:r>
      <w:r>
        <w:t xml:space="preserve">0,005 </w:t>
      </w:r>
      <w:r>
        <w:rPr>
          <w:rFonts w:ascii="Segoe UI Symbol" w:eastAsia="Segoe UI Symbol" w:hAnsi="Segoe UI Symbol" w:cs="Segoe UI Symbol"/>
        </w:rPr>
        <w:t></w:t>
      </w:r>
      <w:r>
        <w:rPr>
          <w:rFonts w:ascii="Segoe UI Symbol" w:eastAsia="Segoe UI Symbol" w:hAnsi="Segoe UI Symbol" w:cs="Segoe UI Symbol"/>
        </w:rPr>
        <w:t></w:t>
      </w:r>
      <w:r>
        <w:rPr>
          <w:sz w:val="24"/>
        </w:rPr>
        <w:t xml:space="preserve">t </w:t>
      </w:r>
      <w:r>
        <w:t xml:space="preserve">.  </w:t>
      </w:r>
    </w:p>
    <w:p w:rsidR="002C0F56" w:rsidRDefault="00E67C6E">
      <w:pPr>
        <w:ind w:left="994" w:right="302"/>
      </w:pPr>
      <w:r>
        <w:t>Коэффициент детерминации R</w:t>
      </w:r>
      <w:r>
        <w:rPr>
          <w:vertAlign w:val="superscript"/>
        </w:rPr>
        <w:t>2</w:t>
      </w:r>
      <w:r>
        <w:t>=0,19 и он значим по критерию Фишера. Коэффициент b значим и он говорит о том, что случайные отклонения по ряду у</w:t>
      </w:r>
      <w:r>
        <w:rPr>
          <w:vertAlign w:val="subscript"/>
        </w:rPr>
        <w:t>1</w:t>
      </w:r>
      <w:r>
        <w:t xml:space="preserve"> – </w:t>
      </w:r>
      <w:r>
        <w:t>ряду лесовосстановительных работ –  в 0,005 раз выше случайных колебаний в ряду у</w:t>
      </w:r>
      <w:r>
        <w:rPr>
          <w:vertAlign w:val="subscript"/>
        </w:rPr>
        <w:t>2</w:t>
      </w:r>
      <w:r>
        <w:t xml:space="preserve"> – ряду динамики сгоревших лесных земель.  </w:t>
      </w:r>
    </w:p>
    <w:p w:rsidR="002C0F56" w:rsidRDefault="00E67C6E">
      <w:pPr>
        <w:spacing w:after="100"/>
        <w:ind w:left="994" w:right="302"/>
      </w:pPr>
      <w:r>
        <w:t>Данное уравнение можно использовать для прогноза переменной у</w:t>
      </w:r>
      <w:r>
        <w:rPr>
          <w:vertAlign w:val="subscript"/>
        </w:rPr>
        <w:t>1</w:t>
      </w:r>
      <w:r>
        <w:t xml:space="preserve"> в зависимости от предполагаемого изменения переменной у</w:t>
      </w:r>
      <w:r>
        <w:rPr>
          <w:vertAlign w:val="subscript"/>
        </w:rPr>
        <w:t>2</w:t>
      </w:r>
      <w:r>
        <w:t>. Имеем y</w:t>
      </w:r>
      <w:r>
        <w:t>ˆ</w:t>
      </w:r>
      <w:r>
        <w:rPr>
          <w:sz w:val="24"/>
        </w:rPr>
        <w:t>1</w:t>
      </w:r>
      <w:r>
        <w:rPr>
          <w:sz w:val="37"/>
          <w:vertAlign w:val="subscript"/>
        </w:rPr>
        <w:t xml:space="preserve">t </w:t>
      </w:r>
      <w:r>
        <w:rPr>
          <w:rFonts w:ascii="Segoe UI Symbol" w:eastAsia="Segoe UI Symbol" w:hAnsi="Segoe UI Symbol" w:cs="Segoe UI Symbol"/>
        </w:rPr>
        <w:t></w:t>
      </w:r>
      <w:r>
        <w:t xml:space="preserve">1,39 </w:t>
      </w:r>
      <w:r>
        <w:rPr>
          <w:rFonts w:ascii="Segoe UI Symbol" w:eastAsia="Segoe UI Symbol" w:hAnsi="Segoe UI Symbol" w:cs="Segoe UI Symbol"/>
        </w:rPr>
        <w:t xml:space="preserve"> </w:t>
      </w:r>
      <w:r>
        <w:t xml:space="preserve">0,04 </w:t>
      </w:r>
      <w:r>
        <w:rPr>
          <w:rFonts w:ascii="Segoe UI Symbol" w:eastAsia="Segoe UI Symbol" w:hAnsi="Segoe UI Symbol" w:cs="Segoe UI Symbol"/>
        </w:rPr>
        <w:t xml:space="preserve"> </w:t>
      </w:r>
      <w:r>
        <w:t>t</w:t>
      </w:r>
      <w:r>
        <w:t xml:space="preserve">, </w:t>
      </w:r>
      <w:r>
        <w:t xml:space="preserve">yˆ </w:t>
      </w:r>
      <w:r>
        <w:rPr>
          <w:sz w:val="24"/>
        </w:rPr>
        <w:t>2</w:t>
      </w:r>
      <w:r>
        <w:rPr>
          <w:sz w:val="37"/>
          <w:vertAlign w:val="subscript"/>
        </w:rPr>
        <w:t xml:space="preserve">t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0,8 </w:t>
      </w:r>
      <w:r>
        <w:rPr>
          <w:rFonts w:ascii="Segoe UI Symbol" w:eastAsia="Segoe UI Symbol" w:hAnsi="Segoe UI Symbol" w:cs="Segoe UI Symbol"/>
        </w:rPr>
        <w:t xml:space="preserve"> </w:t>
      </w:r>
      <w:r>
        <w:t>0,28</w:t>
      </w:r>
      <w:r>
        <w:rPr>
          <w:rFonts w:ascii="Segoe UI Symbol" w:eastAsia="Segoe UI Symbol" w:hAnsi="Segoe UI Symbol" w:cs="Segoe UI Symbol"/>
        </w:rPr>
        <w:t xml:space="preserve"> </w:t>
      </w:r>
      <w:r>
        <w:t>t, тогда y</w:t>
      </w:r>
      <w:r>
        <w:rPr>
          <w:sz w:val="37"/>
          <w:vertAlign w:val="subscript"/>
        </w:rPr>
        <w:t xml:space="preserve">1t </w:t>
      </w:r>
      <w:r>
        <w:rPr>
          <w:rFonts w:ascii="Segoe UI Symbol" w:eastAsia="Segoe UI Symbol" w:hAnsi="Segoe UI Symbol" w:cs="Segoe UI Symbol"/>
        </w:rPr>
        <w:t xml:space="preserve"> </w:t>
      </w:r>
      <w:r>
        <w:t>yˆ</w:t>
      </w:r>
      <w:r>
        <w:rPr>
          <w:sz w:val="24"/>
        </w:rPr>
        <w:t>1</w:t>
      </w:r>
      <w:r>
        <w:rPr>
          <w:sz w:val="37"/>
          <w:vertAlign w:val="subscript"/>
        </w:rPr>
        <w:t xml:space="preserve">t </w:t>
      </w:r>
      <w:r>
        <w:rPr>
          <w:rFonts w:ascii="Segoe UI Symbol" w:eastAsia="Segoe UI Symbol" w:hAnsi="Segoe UI Symbol" w:cs="Segoe UI Symbol"/>
        </w:rPr>
        <w:t xml:space="preserve"> </w:t>
      </w:r>
      <w:r>
        <w:t xml:space="preserve">a </w:t>
      </w:r>
      <w:r>
        <w:rPr>
          <w:rFonts w:ascii="Segoe UI Symbol" w:eastAsia="Segoe UI Symbol" w:hAnsi="Segoe UI Symbol" w:cs="Segoe UI Symbol"/>
        </w:rPr>
        <w:t xml:space="preserve"> </w:t>
      </w:r>
      <w:r>
        <w:t>b(y</w:t>
      </w:r>
      <w:r>
        <w:rPr>
          <w:sz w:val="37"/>
          <w:vertAlign w:val="subscript"/>
        </w:rPr>
        <w:t xml:space="preserve">2t </w:t>
      </w:r>
      <w:r>
        <w:rPr>
          <w:rFonts w:ascii="Segoe UI Symbol" w:eastAsia="Segoe UI Symbol" w:hAnsi="Segoe UI Symbol" w:cs="Segoe UI Symbol"/>
        </w:rPr>
        <w:t xml:space="preserve"> </w:t>
      </w:r>
      <w:r>
        <w:t xml:space="preserve">yˆ </w:t>
      </w:r>
      <w:r>
        <w:rPr>
          <w:sz w:val="24"/>
        </w:rPr>
        <w:t>2</w:t>
      </w:r>
      <w:r>
        <w:rPr>
          <w:sz w:val="37"/>
          <w:vertAlign w:val="subscript"/>
        </w:rPr>
        <w:t xml:space="preserve">t </w:t>
      </w:r>
      <w:r>
        <w:t xml:space="preserve">) </w:t>
      </w:r>
      <w:r>
        <w:rPr>
          <w:rFonts w:ascii="Segoe UI Symbol" w:eastAsia="Segoe UI Symbol" w:hAnsi="Segoe UI Symbol" w:cs="Segoe UI Symbol"/>
        </w:rPr>
        <w:t></w:t>
      </w:r>
      <w:r>
        <w:t xml:space="preserve">1,394 </w:t>
      </w:r>
      <w:r>
        <w:rPr>
          <w:rFonts w:ascii="Segoe UI Symbol" w:eastAsia="Segoe UI Symbol" w:hAnsi="Segoe UI Symbol" w:cs="Segoe UI Symbol"/>
        </w:rPr>
        <w:t xml:space="preserve"> </w:t>
      </w:r>
      <w:r>
        <w:t xml:space="preserve">0,0414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t xml:space="preserve">0,005 </w:t>
      </w:r>
      <w:r>
        <w:rPr>
          <w:rFonts w:ascii="Segoe UI Symbol" w:eastAsia="Segoe UI Symbol" w:hAnsi="Segoe UI Symbol" w:cs="Segoe UI Symbol"/>
        </w:rPr>
        <w:t xml:space="preserve"> </w:t>
      </w:r>
      <w:r>
        <w:t>y</w:t>
      </w:r>
      <w:r>
        <w:rPr>
          <w:sz w:val="37"/>
          <w:vertAlign w:val="subscript"/>
        </w:rPr>
        <w:t>2t</w:t>
      </w:r>
      <w:r>
        <w:t xml:space="preserve">. </w:t>
      </w:r>
    </w:p>
    <w:p w:rsidR="002C0F56" w:rsidRDefault="00E67C6E">
      <w:pPr>
        <w:spacing w:after="2"/>
        <w:ind w:left="994" w:right="302"/>
      </w:pPr>
      <w:r>
        <w:t>Параметр b</w:t>
      </w:r>
      <w:r>
        <w:rPr>
          <w:vertAlign w:val="subscript"/>
        </w:rPr>
        <w:t>1</w:t>
      </w:r>
      <w:r>
        <w:t>=-0,0414 говорит о том, что воздействие всех факторов, кроме размера земель, пройденных пожарами, на размер лесовосстановитель</w:t>
      </w:r>
      <w:r>
        <w:t>ных работ приведёт к его среднегодовому абсолютному снижению на 41400 га. Параметр b</w:t>
      </w:r>
      <w:r>
        <w:rPr>
          <w:vertAlign w:val="subscript"/>
        </w:rPr>
        <w:t>2</w:t>
      </w:r>
      <w:r>
        <w:t xml:space="preserve">=0,005 показывает, что если размер сгоревших земель увеличится на 1 млн.га, размер лесовосстановительных работ увеличится лишь на 5000 га </w:t>
      </w:r>
    </w:p>
    <w:p w:rsidR="002C0F56" w:rsidRDefault="00E67C6E">
      <w:pPr>
        <w:ind w:left="994" w:right="302" w:firstLine="0"/>
      </w:pPr>
      <w:r>
        <w:t xml:space="preserve">[5]. </w:t>
      </w:r>
    </w:p>
    <w:p w:rsidR="002C0F56" w:rsidRDefault="00E67C6E">
      <w:pPr>
        <w:ind w:left="994" w:right="302"/>
      </w:pPr>
      <w:r>
        <w:t>Составим прогноз размера л</w:t>
      </w:r>
      <w:r>
        <w:t xml:space="preserve">есовосстановительных работ на основе построенной модели: </w:t>
      </w:r>
    </w:p>
    <w:p w:rsidR="002C0F56" w:rsidRDefault="00E67C6E">
      <w:pPr>
        <w:ind w:left="994" w:right="302"/>
      </w:pPr>
      <w:r>
        <w:t xml:space="preserve">для 2016 года: </w:t>
      </w:r>
      <w:r>
        <w:rPr>
          <w:sz w:val="43"/>
          <w:vertAlign w:val="superscript"/>
        </w:rPr>
        <w:t>y</w:t>
      </w:r>
      <w:r>
        <w:rPr>
          <w:sz w:val="24"/>
        </w:rPr>
        <w:t>2</w:t>
      </w:r>
      <w:r>
        <w:rPr>
          <w:sz w:val="37"/>
          <w:vertAlign w:val="subscript"/>
        </w:rPr>
        <w:t xml:space="preserve">t </w:t>
      </w:r>
      <w:r>
        <w:rPr>
          <w:rFonts w:ascii="Segoe UI Symbol" w:eastAsia="Segoe UI Symbol" w:hAnsi="Segoe UI Symbol" w:cs="Segoe UI Symbol"/>
        </w:rPr>
        <w:t xml:space="preserve"> </w:t>
      </w:r>
      <w:r>
        <w:t>6,34</w:t>
      </w:r>
      <w:r>
        <w:t xml:space="preserve">, а </w:t>
      </w:r>
      <w:r>
        <w:rPr>
          <w:sz w:val="44"/>
          <w:vertAlign w:val="superscript"/>
        </w:rPr>
        <w:t>y</w:t>
      </w:r>
      <w:r>
        <w:rPr>
          <w:sz w:val="24"/>
        </w:rPr>
        <w:t>1</w:t>
      </w:r>
      <w:r>
        <w:rPr>
          <w:sz w:val="37"/>
          <w:vertAlign w:val="subscript"/>
        </w:rPr>
        <w:t xml:space="preserve">t </w:t>
      </w:r>
      <w:r>
        <w:rPr>
          <w:rFonts w:ascii="Segoe UI Symbol" w:eastAsia="Segoe UI Symbol" w:hAnsi="Segoe UI Symbol" w:cs="Segoe UI Symbol"/>
        </w:rPr>
        <w:t xml:space="preserve"> </w:t>
      </w:r>
      <w:r>
        <w:t>0,51</w:t>
      </w:r>
      <w:r>
        <w:t xml:space="preserve">, т.е. если размер земель, пройденных пожарами составит 6,34 млн.га, то размер лесовосстановительных работ – 0,51 млн.га;  для 2017 года: </w:t>
      </w:r>
      <w:r>
        <w:rPr>
          <w:sz w:val="43"/>
          <w:vertAlign w:val="superscript"/>
        </w:rPr>
        <w:t>y</w:t>
      </w:r>
      <w:r>
        <w:rPr>
          <w:sz w:val="37"/>
          <w:vertAlign w:val="subscript"/>
        </w:rPr>
        <w:t xml:space="preserve">2t </w:t>
      </w:r>
      <w:r>
        <w:rPr>
          <w:rFonts w:ascii="Segoe UI Symbol" w:eastAsia="Segoe UI Symbol" w:hAnsi="Segoe UI Symbol" w:cs="Segoe UI Symbol"/>
        </w:rPr>
        <w:t xml:space="preserve"> </w:t>
      </w:r>
      <w:r>
        <w:t>6,62</w:t>
      </w:r>
      <w:r>
        <w:t xml:space="preserve">, а </w:t>
      </w:r>
      <w:r>
        <w:rPr>
          <w:sz w:val="43"/>
          <w:vertAlign w:val="superscript"/>
        </w:rPr>
        <w:t>y</w:t>
      </w:r>
      <w:r>
        <w:rPr>
          <w:sz w:val="24"/>
        </w:rPr>
        <w:t xml:space="preserve">1t </w:t>
      </w:r>
      <w:r>
        <w:rPr>
          <w:rFonts w:ascii="Segoe UI Symbol" w:eastAsia="Segoe UI Symbol" w:hAnsi="Segoe UI Symbol" w:cs="Segoe UI Symbol"/>
        </w:rPr>
        <w:t xml:space="preserve"> </w:t>
      </w:r>
      <w:r>
        <w:t>0,46</w:t>
      </w:r>
      <w:r>
        <w:t xml:space="preserve">; для 2018 года: </w:t>
      </w:r>
      <w:r>
        <w:rPr>
          <w:sz w:val="43"/>
          <w:vertAlign w:val="superscript"/>
        </w:rPr>
        <w:t>y</w:t>
      </w:r>
      <w:r>
        <w:rPr>
          <w:sz w:val="24"/>
        </w:rPr>
        <w:t>2</w:t>
      </w:r>
      <w:r>
        <w:rPr>
          <w:sz w:val="37"/>
          <w:vertAlign w:val="subscript"/>
        </w:rPr>
        <w:t xml:space="preserve">t </w:t>
      </w:r>
      <w:r>
        <w:rPr>
          <w:rFonts w:ascii="Segoe UI Symbol" w:eastAsia="Segoe UI Symbol" w:hAnsi="Segoe UI Symbol" w:cs="Segoe UI Symbol"/>
        </w:rPr>
        <w:t xml:space="preserve"> </w:t>
      </w:r>
      <w:r>
        <w:t>6,91</w:t>
      </w:r>
      <w:r>
        <w:t xml:space="preserve">, а  </w:t>
      </w:r>
      <w:r>
        <w:rPr>
          <w:sz w:val="44"/>
          <w:vertAlign w:val="superscript"/>
        </w:rPr>
        <w:t>y</w:t>
      </w:r>
      <w:r>
        <w:rPr>
          <w:sz w:val="24"/>
        </w:rPr>
        <w:t>1</w:t>
      </w:r>
      <w:r>
        <w:rPr>
          <w:sz w:val="37"/>
          <w:vertAlign w:val="subscript"/>
        </w:rPr>
        <w:t xml:space="preserve">t </w:t>
      </w:r>
      <w:r>
        <w:rPr>
          <w:rFonts w:ascii="Segoe UI Symbol" w:eastAsia="Segoe UI Symbol" w:hAnsi="Segoe UI Symbol" w:cs="Segoe UI Symbol"/>
        </w:rPr>
        <w:t xml:space="preserve"> </w:t>
      </w:r>
      <w:r>
        <w:t>0,43.</w:t>
      </w:r>
      <w:r>
        <w:t xml:space="preserve"> </w:t>
      </w:r>
    </w:p>
    <w:p w:rsidR="002C0F56" w:rsidRDefault="00E67C6E">
      <w:pPr>
        <w:spacing w:after="0"/>
        <w:ind w:left="994" w:right="302"/>
      </w:pPr>
      <w:r>
        <w:t xml:space="preserve">Таким образом, можно увидеть, что согласно полученной модели размер лесных пожаров будет только увеличиваться, а лесовосстановительные работы только сокращаться. Также исследование показало, что проводимые </w:t>
      </w:r>
      <w:r>
        <w:lastRenderedPageBreak/>
        <w:t>л</w:t>
      </w:r>
      <w:r>
        <w:t xml:space="preserve">есовосстановительные работы не зависят от размера земель, пройденных пожарами, что не согласуется с Лесным кодексом.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ind w:left="1558" w:right="469" w:firstLine="0"/>
      </w:pPr>
      <w:r>
        <w:t>1.</w:t>
      </w:r>
      <w:r>
        <w:rPr>
          <w:rFonts w:ascii="Arial" w:eastAsia="Arial" w:hAnsi="Arial" w:cs="Arial"/>
        </w:rPr>
        <w:t xml:space="preserve"> </w:t>
      </w:r>
      <w:r>
        <w:t xml:space="preserve">Лесной кодекс РФ (режим доступа: </w:t>
      </w:r>
      <w:hyperlink r:id="rId1033">
        <w:r>
          <w:t>http://rulaws.ru/Lesnoy</w:t>
        </w:r>
      </w:hyperlink>
      <w:hyperlink r:id="rId1034">
        <w:r>
          <w:t>-</w:t>
        </w:r>
      </w:hyperlink>
      <w:hyperlink r:id="rId1035">
        <w:r>
          <w:t>kodeks/</w:t>
        </w:r>
      </w:hyperlink>
      <w:hyperlink r:id="rId1036">
        <w:r>
          <w:t xml:space="preserve"> </w:t>
        </w:r>
      </w:hyperlink>
      <w:r>
        <w:t>) 2.</w:t>
      </w:r>
      <w:r>
        <w:rPr>
          <w:rFonts w:ascii="Arial" w:eastAsia="Arial" w:hAnsi="Arial" w:cs="Arial"/>
        </w:rPr>
        <w:t xml:space="preserve"> </w:t>
      </w:r>
      <w:r>
        <w:t xml:space="preserve">Gujarati D.N. Basic Econometrics. Third Ed. – Mc. Graw – Hill, Inc., 1995. </w:t>
      </w:r>
    </w:p>
    <w:p w:rsidR="002C0F56" w:rsidRDefault="00E67C6E">
      <w:pPr>
        <w:numPr>
          <w:ilvl w:val="0"/>
          <w:numId w:val="153"/>
        </w:numPr>
        <w:ind w:right="302"/>
      </w:pPr>
      <w:r>
        <w:t xml:space="preserve">Тиндова </w:t>
      </w:r>
      <w:r>
        <w:tab/>
        <w:t xml:space="preserve">М.Г. </w:t>
      </w:r>
      <w:r>
        <w:tab/>
      </w:r>
      <w:r>
        <w:t xml:space="preserve">Многомерный </w:t>
      </w:r>
      <w:r>
        <w:tab/>
        <w:t xml:space="preserve">статистический </w:t>
      </w:r>
      <w:r>
        <w:tab/>
        <w:t xml:space="preserve">анализ </w:t>
      </w:r>
      <w:r>
        <w:tab/>
        <w:t xml:space="preserve">рынка </w:t>
      </w:r>
    </w:p>
    <w:p w:rsidR="002C0F56" w:rsidRDefault="00E67C6E">
      <w:pPr>
        <w:ind w:left="994" w:right="302" w:firstLine="0"/>
      </w:pPr>
      <w:r>
        <w:t xml:space="preserve">недвижимости Германии // Вестник Саратовского государственного социальноэкономического университета. 2008. № 3. С. 118-120. </w:t>
      </w:r>
    </w:p>
    <w:p w:rsidR="002C0F56" w:rsidRDefault="00E67C6E">
      <w:pPr>
        <w:numPr>
          <w:ilvl w:val="0"/>
          <w:numId w:val="153"/>
        </w:numPr>
        <w:ind w:right="302"/>
      </w:pPr>
      <w:r>
        <w:t>Тиндова М.Г. Журавская К.Г. Нечёткое моделирование экономической оценки лесных участков</w:t>
      </w:r>
      <w:r>
        <w:t xml:space="preserve"> // Модели, системы, сети в экономике, технике, природе и обществе. 2012. №2 (3). С. 195-200. </w:t>
      </w:r>
    </w:p>
    <w:p w:rsidR="002C0F56" w:rsidRDefault="00E67C6E">
      <w:pPr>
        <w:numPr>
          <w:ilvl w:val="0"/>
          <w:numId w:val="153"/>
        </w:numPr>
        <w:ind w:right="302"/>
      </w:pPr>
      <w:r>
        <w:t xml:space="preserve">Тиндова М.Г. Нечёткая модель экономической оценки экологического ущерба // Экономика: вчера, сегодня, завтра. 2012. №3-4. С. 129-139.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25" w:line="259" w:lineRule="auto"/>
        <w:ind w:left="10" w:right="305" w:hanging="10"/>
        <w:jc w:val="right"/>
      </w:pPr>
      <w:r>
        <w:rPr>
          <w:b/>
        </w:rPr>
        <w:t xml:space="preserve">Махтей К.В. </w:t>
      </w:r>
    </w:p>
    <w:p w:rsidR="002C0F56" w:rsidRDefault="00E67C6E">
      <w:pPr>
        <w:spacing w:after="11" w:line="270" w:lineRule="auto"/>
        <w:ind w:left="10" w:right="308" w:hanging="10"/>
        <w:jc w:val="right"/>
      </w:pPr>
      <w:r>
        <w:t>Научный р</w:t>
      </w:r>
      <w:r>
        <w:t xml:space="preserve">уководитель: Ванкович Г.Р. </w:t>
      </w:r>
    </w:p>
    <w:p w:rsidR="002C0F56" w:rsidRDefault="00E67C6E">
      <w:pPr>
        <w:spacing w:after="0" w:line="267" w:lineRule="auto"/>
        <w:ind w:left="905" w:right="310" w:hanging="10"/>
        <w:jc w:val="right"/>
      </w:pPr>
      <w:r>
        <w:rPr>
          <w:i/>
        </w:rPr>
        <w:t xml:space="preserve">Белорусский государственный экономический университет </w:t>
      </w:r>
    </w:p>
    <w:p w:rsidR="002C0F56" w:rsidRDefault="00E67C6E">
      <w:pPr>
        <w:spacing w:after="0" w:line="259" w:lineRule="auto"/>
        <w:ind w:left="1558" w:firstLine="0"/>
        <w:jc w:val="left"/>
      </w:pPr>
      <w:r>
        <w:rPr>
          <w:i/>
        </w:rPr>
        <w:t xml:space="preserve"> </w:t>
      </w:r>
    </w:p>
    <w:p w:rsidR="002C0F56" w:rsidRDefault="00E67C6E">
      <w:pPr>
        <w:pStyle w:val="1"/>
        <w:ind w:left="700" w:right="34"/>
      </w:pPr>
      <w:r>
        <w:t xml:space="preserve">ИНФОРМАЦИОННАЯ БЕЗОПАСНОСТЬ ОРГАНИЗАЦИИ И </w:t>
      </w:r>
    </w:p>
    <w:p w:rsidR="002C0F56" w:rsidRDefault="00E67C6E">
      <w:pPr>
        <w:pStyle w:val="1"/>
        <w:ind w:left="700" w:right="34"/>
      </w:pPr>
      <w:r>
        <w:t xml:space="preserve">ПРЕДПРИЯТИЯ: ПОНЯТИЕ, УГРОЗЫ, МЕТОДЫ ОБЕСПЕЧЕНИЯ </w:t>
      </w:r>
    </w:p>
    <w:p w:rsidR="002C0F56" w:rsidRDefault="00E67C6E">
      <w:pPr>
        <w:spacing w:after="25" w:line="259" w:lineRule="auto"/>
        <w:ind w:left="1558" w:firstLine="0"/>
        <w:jc w:val="left"/>
      </w:pPr>
      <w:r>
        <w:rPr>
          <w:b/>
        </w:rPr>
        <w:t xml:space="preserve"> </w:t>
      </w:r>
    </w:p>
    <w:p w:rsidR="002C0F56" w:rsidRDefault="00E67C6E">
      <w:pPr>
        <w:ind w:left="994" w:right="302"/>
      </w:pPr>
      <w:r>
        <w:t xml:space="preserve">В современном мире обладать информацией – </w:t>
      </w:r>
      <w:r>
        <w:t>значит обладать возможностью контролировать решение проблем мирового сообщества. Она стала фактором, способным привести к крупномасштабным авариям, военным конфликтам и поражению в них, дезорганизовать государственное управление, финансовую систему, работу</w:t>
      </w:r>
      <w:r>
        <w:t xml:space="preserve"> научных центров. Однако эффективное использование информации способствует развитию всех сфер деятельности государства в целом и отдельно взятого предприятия в частности и в конечном счете приводит к значительным успехам в экономике, бизнесе, финансах. </w:t>
      </w:r>
    </w:p>
    <w:p w:rsidR="002C0F56" w:rsidRDefault="00E67C6E">
      <w:pPr>
        <w:spacing w:after="0"/>
        <w:ind w:left="994" w:right="302"/>
      </w:pPr>
      <w:r>
        <w:t>Ст</w:t>
      </w:r>
      <w:r>
        <w:t>ановление информационного общества одновременно с предоставлением возможности человечеству пользоваться благами современной цивилизации порождает потенциальные опасности использования информационных технологий в целях, связанных с антигуманностью и антиобщ</w:t>
      </w:r>
      <w:r>
        <w:t xml:space="preserve">ественностью. С другой стороны, ни одна сфера жизни цивилизованного государства не может эффективно функционировать без развитой информационной инфраструктуры. Таким образом, деятельность в сфере обеспечения информационной </w:t>
      </w:r>
      <w:r>
        <w:lastRenderedPageBreak/>
        <w:t>безопасности требует принятия эфф</w:t>
      </w:r>
      <w:r>
        <w:t>ективных и своевременных мер, так как в период всё ожесточающейся информационной войны, в которой с течением времени будет применяться всё более совершенное информационное оружие, существенным элементом является защита от него, и, как следствие, обеспечени</w:t>
      </w:r>
      <w:r>
        <w:t xml:space="preserve">е безопасности общества, государства и самого человека. </w:t>
      </w:r>
    </w:p>
    <w:p w:rsidR="002C0F56" w:rsidRDefault="00E67C6E">
      <w:pPr>
        <w:ind w:left="994" w:right="302"/>
      </w:pPr>
      <w:r>
        <w:t>Под информационной безопасностью понимают защищённость информации и поддерживающей инфраструктуры от случайных или преднамеренных воздействий естественного или искусственного характера, которые могут</w:t>
      </w:r>
      <w:r>
        <w:t xml:space="preserve"> нанести ущерб субъектам информационных отношений, в том числе владельцам и пользователям информации и поддерживающей инфраструктуре.[3] Другими словами информационная безопасность – это состояние сохранности информационных ресурсов и защищенности законных</w:t>
      </w:r>
      <w:r>
        <w:t xml:space="preserve"> прав личности и общества в информационной сфере.[1] Безопасность информации определяется отсутствием недопустимого риска, связанного с утечкой информации по техническим каналам, несанкционированными и непреднамеренными воздействиями на данные и (или) на д</w:t>
      </w:r>
      <w:r>
        <w:t xml:space="preserve">ругие ресурсы автоматизированной информационной системы, используемые в автоматизированной системе.  </w:t>
      </w:r>
    </w:p>
    <w:p w:rsidR="002C0F56" w:rsidRDefault="00E67C6E">
      <w:pPr>
        <w:spacing w:after="0"/>
        <w:ind w:left="994" w:right="302"/>
      </w:pPr>
      <w:r>
        <w:t xml:space="preserve">Необходимо отметить, что в современных условиях – условиях ужесточения конкуренции - </w:t>
      </w:r>
      <w:r>
        <w:t>перед организациями и предприятиями остро встаёт задача сохранения не только материальных ценностей, но и информации, в том числе сведений, составляющих коммерческую или государственную тайну. Поэтому успех предпринимательской деятельности, гарантия получе</w:t>
      </w:r>
      <w:r>
        <w:t xml:space="preserve">ния прибыли все в большей мере зависят от сохранения в тайне секретов производства, опирающихся на определенный интеллектуальный потенциал и конкретную технологию. </w:t>
      </w:r>
    </w:p>
    <w:p w:rsidR="002C0F56" w:rsidRDefault="00E67C6E">
      <w:pPr>
        <w:spacing w:after="64"/>
        <w:ind w:left="994" w:right="302"/>
      </w:pPr>
      <w:r>
        <w:t>На данный момент выделяют два типа угроз информационной безопасности предприятия: внутренни</w:t>
      </w:r>
      <w:r>
        <w:t xml:space="preserve">е и внешние. К внешним угрозам относят преднамеренные действия, направленные на пассивные носители информации и выражающиеся, например, в следующем:  </w:t>
      </w:r>
    </w:p>
    <w:p w:rsidR="002C0F56" w:rsidRDefault="00E67C6E">
      <w:pPr>
        <w:numPr>
          <w:ilvl w:val="0"/>
          <w:numId w:val="154"/>
        </w:numPr>
        <w:spacing w:after="58"/>
        <w:ind w:right="302"/>
      </w:pPr>
      <w:r>
        <w:t>попытки похищения документов или снятия копий с документов, съемных носителей (флеш-карты), снятие информ</w:t>
      </w:r>
      <w:r>
        <w:t xml:space="preserve">ации, возникающей в тракте передачи в процессе коммуникаций;  </w:t>
      </w:r>
    </w:p>
    <w:p w:rsidR="002C0F56" w:rsidRDefault="00E67C6E">
      <w:pPr>
        <w:numPr>
          <w:ilvl w:val="0"/>
          <w:numId w:val="154"/>
        </w:numPr>
        <w:ind w:right="302"/>
      </w:pPr>
      <w:r>
        <w:t xml:space="preserve">уничтожение информации или повреждение ее носителей;  </w:t>
      </w:r>
    </w:p>
    <w:p w:rsidR="002C0F56" w:rsidRDefault="00E67C6E">
      <w:pPr>
        <w:numPr>
          <w:ilvl w:val="0"/>
          <w:numId w:val="154"/>
        </w:numPr>
        <w:ind w:right="302"/>
      </w:pPr>
      <w:r>
        <w:t xml:space="preserve">случайное или преднамеренное доведение до сведения конкурентов документов или материалов, содержащих коммерческую тайну. [2] </w:t>
      </w:r>
    </w:p>
    <w:p w:rsidR="002C0F56" w:rsidRDefault="00E67C6E">
      <w:pPr>
        <w:spacing w:after="0"/>
        <w:ind w:left="994" w:right="302"/>
      </w:pPr>
      <w:r>
        <w:t>Внешняя угро</w:t>
      </w:r>
      <w:r>
        <w:t xml:space="preserve">за может быть также направлена на такую важную составляющую любой организации или предприятия, как персонал, и выражаться в форме подкупа, угроз, шантажа, выведывания информации, </w:t>
      </w:r>
      <w:r>
        <w:lastRenderedPageBreak/>
        <w:t>составляющей коммерческую тайну, или предполагать переманивание ведущих специ</w:t>
      </w:r>
      <w:r>
        <w:t xml:space="preserve">алистов на конкурирующую фирму. </w:t>
      </w:r>
    </w:p>
    <w:p w:rsidR="002C0F56" w:rsidRDefault="00E67C6E">
      <w:pPr>
        <w:spacing w:after="0"/>
        <w:ind w:left="994" w:right="302"/>
      </w:pPr>
      <w:r>
        <w:t>Внутренние же угрозы информационной безопасности представляют наибольшую угрозу для организаций, коллектив которых не успел состояться как таковой. Не исключена вероятность того, что отдельные сотрудники с высоким уровнем с</w:t>
      </w:r>
      <w:r>
        <w:t>амооценки из-за неудовлетворенности своих амбиций (недовольство уровнем заработной платы, отношениями с руководством, коллегами и пр.) могут предпринимать меры по инициативной выдаче коммерческой информации конкурентам, а также попытаться уничтожить важную</w:t>
      </w:r>
      <w:r>
        <w:t xml:space="preserve"> информацию или пассивные носители (например, внести компьютерный вирус). Весьма принципиальным представляется также отражение вопросов защиты коммерческой тайны в контракте, заключаемом с руководителем предприятия при его назначении на должность. [2] </w:t>
      </w:r>
    </w:p>
    <w:p w:rsidR="002C0F56" w:rsidRDefault="00E67C6E">
      <w:pPr>
        <w:spacing w:after="0"/>
        <w:ind w:left="994" w:right="302"/>
      </w:pPr>
      <w:r>
        <w:t>Однако нельзя упускать из виду такой факт, что неблагоприятная для предприятия экономическая политика государства способна стать причиной возникновения многих противоречий на предприятиях в сфере производства, финансов и коммерции. Серьезную угрозу для обе</w:t>
      </w:r>
      <w:r>
        <w:t>спечения безопасности информации предприятия несут политические действия, направленные на ограничение или прекращение экономических связей. Санкции в экономике вызывают у обеих сторон недоверие к дальнейшей деятельности и подрывают коммерческие взаимоотнош</w:t>
      </w:r>
      <w:r>
        <w:t xml:space="preserve">ения. Все это ведет к дестабилизации экономических отношений, и не только на уровне государства. [2] </w:t>
      </w:r>
    </w:p>
    <w:p w:rsidR="002C0F56" w:rsidRDefault="00E67C6E">
      <w:pPr>
        <w:ind w:left="994" w:right="302"/>
      </w:pPr>
      <w:r>
        <w:t>Кризисные явления в мировой экономике, перетекающие по каналам внешних экономических связей из одной страны в другую, также оказывают угрозу обеспечения б</w:t>
      </w:r>
      <w:r>
        <w:t xml:space="preserve">езопасности информации. [2]   </w:t>
      </w:r>
    </w:p>
    <w:p w:rsidR="002C0F56" w:rsidRDefault="00E67C6E">
      <w:pPr>
        <w:ind w:left="994" w:right="302"/>
      </w:pPr>
      <w:r>
        <w:t xml:space="preserve"> На предприятии или организации система безопасности информации обеспечивается следующими подразделениями: </w:t>
      </w:r>
    </w:p>
    <w:p w:rsidR="002C0F56" w:rsidRDefault="00E67C6E">
      <w:pPr>
        <w:numPr>
          <w:ilvl w:val="0"/>
          <w:numId w:val="155"/>
        </w:numPr>
        <w:spacing w:after="61"/>
        <w:ind w:right="302"/>
      </w:pPr>
      <w:r>
        <w:t>компьютерная безопасность. Работа этого подразделения основана на принятии комплекса технологических и административн</w:t>
      </w:r>
      <w:r>
        <w:t xml:space="preserve">ых мер, обеспечивающих качественную работу всех аппаратных компьютерных систем, что позволяет создать единый, целостный, доступный и конфиденциальный ресурс. </w:t>
      </w:r>
    </w:p>
    <w:p w:rsidR="002C0F56" w:rsidRDefault="00E67C6E">
      <w:pPr>
        <w:numPr>
          <w:ilvl w:val="0"/>
          <w:numId w:val="155"/>
        </w:numPr>
        <w:spacing w:after="59"/>
        <w:ind w:right="302"/>
      </w:pPr>
      <w:r>
        <w:t>безопасность данных</w:t>
      </w:r>
      <w:r>
        <w:rPr>
          <w:b/>
        </w:rPr>
        <w:t xml:space="preserve"> </w:t>
      </w:r>
      <w:r>
        <w:t>- это защита информации от халатных, случайных, неавторизированных или умышле</w:t>
      </w:r>
      <w:r>
        <w:t xml:space="preserve">нных разглашений данных или взлома системы. </w:t>
      </w:r>
    </w:p>
    <w:p w:rsidR="002C0F56" w:rsidRDefault="00E67C6E">
      <w:pPr>
        <w:numPr>
          <w:ilvl w:val="0"/>
          <w:numId w:val="155"/>
        </w:numPr>
        <w:ind w:right="302"/>
      </w:pPr>
      <w:r>
        <w:t>безопасное программное обеспечение</w:t>
      </w:r>
      <w:r>
        <w:rPr>
          <w:b/>
        </w:rPr>
        <w:t xml:space="preserve"> </w:t>
      </w:r>
      <w:r>
        <w:t xml:space="preserve">- это целый комплекс прикладных и общецелевых программных средств, направленных на обеспечение безопасной работы всех систем и безопасную обработку данных. </w:t>
      </w:r>
    </w:p>
    <w:p w:rsidR="002C0F56" w:rsidRDefault="00E67C6E">
      <w:pPr>
        <w:numPr>
          <w:ilvl w:val="0"/>
          <w:numId w:val="155"/>
        </w:numPr>
        <w:spacing w:after="10"/>
        <w:ind w:right="302"/>
      </w:pPr>
      <w:r>
        <w:lastRenderedPageBreak/>
        <w:t>безопасность коммун</w:t>
      </w:r>
      <w:r>
        <w:t>икаций, которая</w:t>
      </w:r>
      <w:r>
        <w:rPr>
          <w:b/>
        </w:rPr>
        <w:t xml:space="preserve"> </w:t>
      </w:r>
      <w:r>
        <w:t xml:space="preserve">обеспечивается за счет аутентификации систем телекоммуникаций, предотвращающих доступ к информации неавторизованным лицам. [4] </w:t>
      </w:r>
    </w:p>
    <w:p w:rsidR="002C0F56" w:rsidRDefault="00E67C6E">
      <w:pPr>
        <w:spacing w:after="65"/>
        <w:ind w:left="994" w:right="302"/>
      </w:pPr>
      <w:r>
        <w:t>Система обеспечения информационной безопасности организации рассматривается как совокупность принятых управленче</w:t>
      </w:r>
      <w:r>
        <w:t xml:space="preserve">ских решений, направленных на выявление и предотвращение внешних и внутренних угроз. Обеспечение информационной безопасности предприятия основывается на принятии следующих мер: </w:t>
      </w:r>
    </w:p>
    <w:p w:rsidR="002C0F56" w:rsidRDefault="00E67C6E">
      <w:pPr>
        <w:numPr>
          <w:ilvl w:val="0"/>
          <w:numId w:val="155"/>
        </w:numPr>
        <w:ind w:right="302"/>
      </w:pPr>
      <w:r>
        <w:t>Анализ потенциальных и реальных ситуаций, представляющих угрозу безопасности и</w:t>
      </w:r>
      <w:r>
        <w:t xml:space="preserve">нформации предприятия; </w:t>
      </w:r>
    </w:p>
    <w:p w:rsidR="002C0F56" w:rsidRDefault="00E67C6E">
      <w:pPr>
        <w:numPr>
          <w:ilvl w:val="0"/>
          <w:numId w:val="155"/>
        </w:numPr>
        <w:spacing w:after="12"/>
        <w:ind w:right="302"/>
      </w:pPr>
      <w:r>
        <w:t xml:space="preserve">Оценка характера угроз безопасности информации; </w:t>
      </w:r>
    </w:p>
    <w:p w:rsidR="002C0F56" w:rsidRDefault="00E67C6E">
      <w:pPr>
        <w:numPr>
          <w:ilvl w:val="0"/>
          <w:numId w:val="155"/>
        </w:numPr>
        <w:spacing w:after="11" w:line="270" w:lineRule="auto"/>
        <w:ind w:right="302"/>
      </w:pPr>
      <w:r>
        <w:t xml:space="preserve">Принятие </w:t>
      </w:r>
      <w:r>
        <w:tab/>
        <w:t xml:space="preserve">и </w:t>
      </w:r>
      <w:r>
        <w:tab/>
        <w:t xml:space="preserve">комплексно-рациональное </w:t>
      </w:r>
      <w:r>
        <w:tab/>
        <w:t xml:space="preserve">распределение </w:t>
      </w:r>
      <w:r>
        <w:tab/>
        <w:t xml:space="preserve">мер </w:t>
      </w:r>
      <w:r>
        <w:tab/>
        <w:t xml:space="preserve">для </w:t>
      </w:r>
    </w:p>
    <w:p w:rsidR="002C0F56" w:rsidRDefault="00E67C6E">
      <w:pPr>
        <w:spacing w:after="56"/>
        <w:ind w:left="994" w:right="302" w:firstLine="0"/>
      </w:pPr>
      <w:r>
        <w:t xml:space="preserve">определения угрозы; </w:t>
      </w:r>
    </w:p>
    <w:p w:rsidR="002C0F56" w:rsidRDefault="00E67C6E">
      <w:pPr>
        <w:numPr>
          <w:ilvl w:val="0"/>
          <w:numId w:val="155"/>
        </w:numPr>
        <w:spacing w:after="12"/>
        <w:ind w:right="302"/>
      </w:pPr>
      <w:r>
        <w:t xml:space="preserve">Реализация принятых мер по предотвращению угрозы. [4] </w:t>
      </w:r>
    </w:p>
    <w:p w:rsidR="002C0F56" w:rsidRDefault="00E67C6E">
      <w:pPr>
        <w:ind w:left="1558" w:right="302" w:firstLine="0"/>
      </w:pPr>
      <w:r>
        <w:t>Для обеспечения защиты информации используют</w:t>
      </w:r>
      <w:r>
        <w:t xml:space="preserve">ся следующие методы:  </w:t>
      </w:r>
    </w:p>
    <w:p w:rsidR="002C0F56" w:rsidRDefault="00E67C6E">
      <w:pPr>
        <w:numPr>
          <w:ilvl w:val="0"/>
          <w:numId w:val="156"/>
        </w:numPr>
        <w:ind w:right="302"/>
      </w:pPr>
      <w:r>
        <w:t xml:space="preserve">препятствие. Метод представляет собой непосредственно использование физической силы с целью защиты информации от преступных действий злоумышленников с помощью запрета на доступ к информационным носителям и аппаратуре. </w:t>
      </w:r>
    </w:p>
    <w:p w:rsidR="002C0F56" w:rsidRDefault="00E67C6E">
      <w:pPr>
        <w:numPr>
          <w:ilvl w:val="0"/>
          <w:numId w:val="156"/>
        </w:numPr>
        <w:ind w:right="302"/>
      </w:pPr>
      <w:r>
        <w:t>управление доступом – метод, основанный на использовании регулирующих ресурсов автоматизированной системы, предотвращающих доступ к информационным носителям, основанный на таких функциях, как идентификация и аутентификация личности, проверка соответствия п</w:t>
      </w:r>
      <w:r>
        <w:t xml:space="preserve">олномочий и др. </w:t>
      </w:r>
    </w:p>
    <w:p w:rsidR="002C0F56" w:rsidRDefault="00E67C6E">
      <w:pPr>
        <w:numPr>
          <w:ilvl w:val="0"/>
          <w:numId w:val="156"/>
        </w:numPr>
        <w:ind w:right="302"/>
      </w:pPr>
      <w:r>
        <w:t>маскировка</w:t>
      </w:r>
      <w:r>
        <w:rPr>
          <w:b/>
        </w:rPr>
        <w:t xml:space="preserve"> </w:t>
      </w:r>
      <w:r>
        <w:t xml:space="preserve">– метод криптографического закрытия, осуществляющий защиту доступа к информации в автоматизированной системе. </w:t>
      </w:r>
    </w:p>
    <w:p w:rsidR="002C0F56" w:rsidRDefault="00E67C6E">
      <w:pPr>
        <w:numPr>
          <w:ilvl w:val="0"/>
          <w:numId w:val="156"/>
        </w:numPr>
        <w:ind w:right="302"/>
      </w:pPr>
      <w:r>
        <w:t>регламентация – метод информационной защиты, при котором устанавливается минимальный уровень доступа к хранению и пер</w:t>
      </w:r>
      <w:r>
        <w:t xml:space="preserve">едаче данных при несанкционированном запросе. </w:t>
      </w:r>
    </w:p>
    <w:p w:rsidR="002C0F56" w:rsidRDefault="00E67C6E">
      <w:pPr>
        <w:numPr>
          <w:ilvl w:val="0"/>
          <w:numId w:val="156"/>
        </w:numPr>
        <w:ind w:right="302"/>
      </w:pPr>
      <w:r>
        <w:t>принуждение – это метод, который вынуждает пользователей при доступе к закрытой информации соблюдать определенные правила. Нарушение установленного протокола приводит к штрафным санкциям, административной и уг</w:t>
      </w:r>
      <w:r>
        <w:t xml:space="preserve">оловной ответственности. </w:t>
      </w:r>
    </w:p>
    <w:p w:rsidR="002C0F56" w:rsidRDefault="00E67C6E">
      <w:pPr>
        <w:numPr>
          <w:ilvl w:val="0"/>
          <w:numId w:val="156"/>
        </w:numPr>
        <w:spacing w:after="9"/>
        <w:ind w:right="302"/>
      </w:pPr>
      <w:r>
        <w:t>побуждение</w:t>
      </w:r>
      <w:r>
        <w:rPr>
          <w:b/>
        </w:rPr>
        <w:t xml:space="preserve"> </w:t>
      </w:r>
      <w:r>
        <w:t xml:space="preserve">– метод, основанный на этических и моральных нормах, накладывающих запрет на использование запрещенной информации, и побуждающий соблюдать установленные правила. [4] </w:t>
      </w:r>
    </w:p>
    <w:p w:rsidR="002C0F56" w:rsidRDefault="00E67C6E">
      <w:pPr>
        <w:ind w:left="994" w:right="302"/>
      </w:pPr>
      <w:r>
        <w:t>Таким образом, можно сделать вывод об исключительной</w:t>
      </w:r>
      <w:r>
        <w:t xml:space="preserve"> роли информационной безопасности предприятия как фактора успеха не только на </w:t>
      </w:r>
      <w:r>
        <w:lastRenderedPageBreak/>
        <w:t>внутреннем, но и на внешнем рынках. Обеспечение информационной безопасности предприятия возможно только при системном и комплексном подходе к защите. В свою очередь реализация по</w:t>
      </w:r>
      <w:r>
        <w:t xml:space="preserve">литики безопасности заключается в реализации технических средств и средств непосредственного контроля, а так же в подборе штата безопасности.  </w:t>
      </w:r>
    </w:p>
    <w:p w:rsidR="002C0F56" w:rsidRDefault="00E67C6E">
      <w:pPr>
        <w:spacing w:after="15" w:line="268" w:lineRule="auto"/>
        <w:ind w:left="1262" w:hanging="10"/>
        <w:jc w:val="center"/>
      </w:pPr>
      <w:r>
        <w:t xml:space="preserve">Список литературы: </w:t>
      </w:r>
    </w:p>
    <w:p w:rsidR="002C0F56" w:rsidRDefault="00E67C6E">
      <w:pPr>
        <w:ind w:left="994" w:right="302"/>
      </w:pPr>
      <w:r>
        <w:t>1.</w:t>
      </w:r>
      <w:r>
        <w:rPr>
          <w:rFonts w:ascii="Arial" w:eastAsia="Arial" w:hAnsi="Arial" w:cs="Arial"/>
        </w:rPr>
        <w:t xml:space="preserve"> </w:t>
      </w:r>
      <w:r>
        <w:t>Информационная безопасность. [Электронный ресурс]. Режим доступа: http://www.securitylab.</w:t>
      </w:r>
      <w:r>
        <w:t>ru/news/tags 2.</w:t>
      </w:r>
      <w:r>
        <w:rPr>
          <w:rFonts w:ascii="Arial" w:eastAsia="Arial" w:hAnsi="Arial" w:cs="Arial"/>
        </w:rPr>
        <w:t xml:space="preserve"> </w:t>
      </w:r>
      <w:r>
        <w:t xml:space="preserve">Информационная безопасность предприятия. [Электронный ресурс]. </w:t>
      </w:r>
    </w:p>
    <w:p w:rsidR="002C0F56" w:rsidRDefault="00E67C6E">
      <w:pPr>
        <w:tabs>
          <w:tab w:val="center" w:pos="1396"/>
          <w:tab w:val="center" w:pos="10123"/>
        </w:tabs>
        <w:spacing w:after="12"/>
        <w:ind w:left="0" w:firstLine="0"/>
        <w:jc w:val="left"/>
      </w:pPr>
      <w:r>
        <w:rPr>
          <w:rFonts w:ascii="Calibri" w:eastAsia="Calibri" w:hAnsi="Calibri" w:cs="Calibri"/>
          <w:sz w:val="22"/>
        </w:rPr>
        <w:tab/>
      </w:r>
      <w:r>
        <w:t xml:space="preserve">Режим </w:t>
      </w:r>
      <w:r>
        <w:tab/>
        <w:t xml:space="preserve">доступа: </w:t>
      </w:r>
    </w:p>
    <w:p w:rsidR="002C0F56" w:rsidRDefault="00E67C6E">
      <w:pPr>
        <w:ind w:left="994" w:right="302" w:firstLine="0"/>
      </w:pPr>
      <w:r>
        <w:t>http://studme.org/1120061121678/ekonomika/informatsionnaya_bezopasnost_predpri yatiya 3.</w:t>
      </w:r>
      <w:r>
        <w:rPr>
          <w:rFonts w:ascii="Arial" w:eastAsia="Arial" w:hAnsi="Arial" w:cs="Arial"/>
        </w:rPr>
        <w:t xml:space="preserve"> </w:t>
      </w:r>
      <w:r>
        <w:t>Корпоративные информационные системы./ Под ред. Л.К. Голенда, Н.Н. Го</w:t>
      </w:r>
      <w:r>
        <w:t xml:space="preserve">вядиновой. – Минск, БГЭУ, 2011. – 292 с. </w:t>
      </w:r>
    </w:p>
    <w:p w:rsidR="002C0F56" w:rsidRDefault="00E67C6E">
      <w:pPr>
        <w:tabs>
          <w:tab w:val="center" w:pos="2506"/>
          <w:tab w:val="center" w:pos="5134"/>
          <w:tab w:val="center" w:pos="7618"/>
          <w:tab w:val="center" w:pos="9843"/>
        </w:tabs>
        <w:ind w:left="0" w:firstLine="0"/>
        <w:jc w:val="left"/>
      </w:pPr>
      <w:r>
        <w:rPr>
          <w:rFonts w:ascii="Calibri" w:eastAsia="Calibri" w:hAnsi="Calibri" w:cs="Calibri"/>
          <w:sz w:val="22"/>
        </w:rPr>
        <w:tab/>
      </w:r>
      <w:r>
        <w:t>4.</w:t>
      </w:r>
      <w:r>
        <w:rPr>
          <w:rFonts w:ascii="Arial" w:eastAsia="Arial" w:hAnsi="Arial" w:cs="Arial"/>
        </w:rPr>
        <w:t xml:space="preserve"> </w:t>
      </w:r>
      <w:r>
        <w:t xml:space="preserve">Обеспечение </w:t>
      </w:r>
      <w:r>
        <w:tab/>
        <w:t xml:space="preserve">информационной </w:t>
      </w:r>
      <w:r>
        <w:tab/>
        <w:t xml:space="preserve">безопасности </w:t>
      </w:r>
      <w:r>
        <w:tab/>
        <w:t xml:space="preserve">организации. </w:t>
      </w:r>
    </w:p>
    <w:p w:rsidR="002C0F56" w:rsidRDefault="00E67C6E">
      <w:pPr>
        <w:tabs>
          <w:tab w:val="center" w:pos="1853"/>
          <w:tab w:val="center" w:pos="4902"/>
          <w:tab w:val="center" w:pos="7496"/>
          <w:tab w:val="center" w:pos="10122"/>
        </w:tabs>
        <w:spacing w:after="12"/>
        <w:ind w:left="0" w:firstLine="0"/>
        <w:jc w:val="left"/>
      </w:pPr>
      <w:r>
        <w:rPr>
          <w:rFonts w:ascii="Calibri" w:eastAsia="Calibri" w:hAnsi="Calibri" w:cs="Calibri"/>
          <w:sz w:val="22"/>
        </w:rPr>
        <w:tab/>
      </w:r>
      <w:r>
        <w:t xml:space="preserve">[Электронный </w:t>
      </w:r>
      <w:r>
        <w:tab/>
        <w:t xml:space="preserve">ресурс]. </w:t>
      </w:r>
      <w:r>
        <w:tab/>
        <w:t xml:space="preserve">Режим </w:t>
      </w:r>
      <w:r>
        <w:tab/>
        <w:t xml:space="preserve">доступа: </w:t>
      </w:r>
    </w:p>
    <w:p w:rsidR="002C0F56" w:rsidRDefault="00E67C6E">
      <w:pPr>
        <w:spacing w:after="12"/>
        <w:ind w:left="994" w:right="302" w:firstLine="0"/>
      </w:pPr>
      <w:r>
        <w:t xml:space="preserve">http://www.iccwbo.ru/blog/2016/obespechenie-informatsionnoy-bezopasnosti/ </w:t>
      </w:r>
    </w:p>
    <w:p w:rsidR="002C0F56" w:rsidRDefault="00E67C6E">
      <w:pPr>
        <w:spacing w:after="0" w:line="259" w:lineRule="auto"/>
        <w:ind w:left="1558" w:firstLine="0"/>
        <w:jc w:val="left"/>
      </w:pPr>
      <w:r>
        <w:t xml:space="preserve"> </w:t>
      </w:r>
    </w:p>
    <w:p w:rsidR="002C0F56" w:rsidRDefault="00E67C6E">
      <w:pPr>
        <w:spacing w:after="31" w:line="259" w:lineRule="auto"/>
        <w:ind w:left="1558" w:firstLine="0"/>
        <w:jc w:val="left"/>
      </w:pPr>
      <w:r>
        <w:t xml:space="preserve"> </w:t>
      </w:r>
    </w:p>
    <w:p w:rsidR="002C0F56" w:rsidRDefault="00E67C6E">
      <w:pPr>
        <w:spacing w:after="25" w:line="259" w:lineRule="auto"/>
        <w:ind w:left="10" w:right="308" w:hanging="10"/>
        <w:jc w:val="right"/>
      </w:pPr>
      <w:r>
        <w:rPr>
          <w:b/>
        </w:rPr>
        <w:t xml:space="preserve">Мезенцева В.Г. </w:t>
      </w:r>
    </w:p>
    <w:p w:rsidR="002C0F56" w:rsidRDefault="00E67C6E">
      <w:pPr>
        <w:spacing w:after="11" w:line="270" w:lineRule="auto"/>
        <w:ind w:left="10" w:right="308" w:hanging="10"/>
        <w:jc w:val="right"/>
      </w:pPr>
      <w:r>
        <w:t xml:space="preserve">Научный руководитель: Меньшикова М.А, д.э.н., проф.  </w:t>
      </w:r>
    </w:p>
    <w:p w:rsidR="002C0F56" w:rsidRDefault="00E67C6E">
      <w:pPr>
        <w:spacing w:after="0" w:line="267" w:lineRule="auto"/>
        <w:ind w:left="905" w:right="310" w:hanging="10"/>
        <w:jc w:val="right"/>
      </w:pPr>
      <w:r>
        <w:rPr>
          <w:i/>
        </w:rPr>
        <w:t xml:space="preserve">Курский государственный университет  </w:t>
      </w:r>
    </w:p>
    <w:p w:rsidR="002C0F56" w:rsidRDefault="00E67C6E">
      <w:pPr>
        <w:spacing w:after="0" w:line="259" w:lineRule="auto"/>
        <w:ind w:left="1558" w:firstLine="0"/>
        <w:jc w:val="left"/>
      </w:pPr>
      <w:r>
        <w:rPr>
          <w:i/>
        </w:rPr>
        <w:t xml:space="preserve"> </w:t>
      </w:r>
    </w:p>
    <w:p w:rsidR="002C0F56" w:rsidRDefault="00E67C6E">
      <w:pPr>
        <w:pStyle w:val="1"/>
        <w:spacing w:after="15" w:line="271" w:lineRule="auto"/>
        <w:ind w:left="1131" w:right="0"/>
        <w:jc w:val="left"/>
      </w:pPr>
      <w:r>
        <w:t xml:space="preserve">КОМПЛЕКС МАРКЕТИНГА И  МАРКЕТИНГОВАЯ СТРАТЕГИЯ ПАО </w:t>
      </w:r>
    </w:p>
    <w:p w:rsidR="002C0F56" w:rsidRDefault="00E67C6E">
      <w:pPr>
        <w:pStyle w:val="1"/>
        <w:ind w:left="700" w:right="6"/>
      </w:pPr>
      <w:r>
        <w:t xml:space="preserve">«СБЕРБАНК РОССИИ» </w:t>
      </w:r>
    </w:p>
    <w:p w:rsidR="002C0F56" w:rsidRDefault="00E67C6E">
      <w:pPr>
        <w:spacing w:after="0" w:line="259" w:lineRule="auto"/>
        <w:ind w:left="1558" w:firstLine="0"/>
        <w:jc w:val="left"/>
      </w:pPr>
      <w:r>
        <w:t xml:space="preserve"> </w:t>
      </w:r>
    </w:p>
    <w:p w:rsidR="002C0F56" w:rsidRDefault="00E67C6E">
      <w:pPr>
        <w:spacing w:after="0"/>
        <w:ind w:left="994" w:right="302"/>
      </w:pPr>
      <w:r>
        <w:t>На этапе реализации банковская стратегия маркетинга принимает форму конкретных мероприяти</w:t>
      </w:r>
      <w:r>
        <w:t>й, выраженных в комплексе маркетинга банка (рис.1). Товарная политика представляет собой процесс определения ассортимента банковских продуктов и услуг (размер кредита, срок кредитования, условия выдачи и погашения); ценовая политика коммерческого банка выр</w:t>
      </w:r>
      <w:r>
        <w:t>ажена в установлении цен на продукты и услуги в соответствии с рыночной конъюнктурой (процентные ставки, комиссионные вознаграждения). Сбытовая политика – методы доведения продуктов и услуг банка до клиентов (собственная филиальная сеть или банки-партнеры)</w:t>
      </w:r>
      <w:r>
        <w:t>; коммуникационная политика – совокупность инструментов взаимодействия банка с клиентами, направленная на побуждение последних приобретать банковские продукты и услуги.  Сегодня Сбербанк оказывает полный спектр услуг для физических и юридических лиц. Клиен</w:t>
      </w:r>
      <w:r>
        <w:t xml:space="preserve">тами банка является и могут стать как граждане России, так и иностранные подданные. Основные услуги Сбербанка России представлены в таблице 1. В </w:t>
      </w:r>
      <w:r>
        <w:lastRenderedPageBreak/>
        <w:t>процессе ценообразования  Сбербанк оценивает спрос и его платежеспособность, изучает цены конкурентов. Наиболее</w:t>
      </w:r>
      <w:r>
        <w:t xml:space="preserve"> распространенными методами установления цен являются: установление цены путем суммирования затрат на оказание услуги и прибыль, путем расчета цены на основе определения безубыточности и обеспечения прибыли, путем оценки потребительских качеств банковских </w:t>
      </w:r>
      <w:r>
        <w:t>услуг и продуктов. Сбербанк реализует следующую ценовую политику: установление цены на банковские продукты и услуги и своевременная корректировка в соответствии с изменением экономической обстановки. Ценовая политика Сбербанка направлена на процентные став</w:t>
      </w:r>
      <w:r>
        <w:t xml:space="preserve">ки, тарифы, комиссионные, скидки и прочее. </w:t>
      </w:r>
    </w:p>
    <w:p w:rsidR="002C0F56" w:rsidRDefault="00E67C6E">
      <w:pPr>
        <w:tabs>
          <w:tab w:val="center" w:pos="5944"/>
          <w:tab w:val="center" w:pos="10197"/>
        </w:tabs>
        <w:spacing w:after="0" w:line="259" w:lineRule="auto"/>
        <w:ind w:left="0" w:firstLine="0"/>
        <w:jc w:val="left"/>
      </w:pPr>
      <w:r>
        <w:rPr>
          <w:rFonts w:ascii="Calibri" w:eastAsia="Calibri" w:hAnsi="Calibri" w:cs="Calibri"/>
          <w:sz w:val="22"/>
        </w:rPr>
        <w:tab/>
      </w:r>
      <w:r>
        <w:rPr>
          <w:noProof/>
        </w:rPr>
        <w:drawing>
          <wp:inline distT="0" distB="0" distL="0" distR="0">
            <wp:extent cx="4661789" cy="3218180"/>
            <wp:effectExtent l="0" t="0" r="0" b="0"/>
            <wp:docPr id="50220" name="Picture 50220"/>
            <wp:cNvGraphicFramePr/>
            <a:graphic xmlns:a="http://schemas.openxmlformats.org/drawingml/2006/main">
              <a:graphicData uri="http://schemas.openxmlformats.org/drawingml/2006/picture">
                <pic:pic xmlns:pic="http://schemas.openxmlformats.org/drawingml/2006/picture">
                  <pic:nvPicPr>
                    <pic:cNvPr id="50220" name="Picture 50220"/>
                    <pic:cNvPicPr/>
                  </pic:nvPicPr>
                  <pic:blipFill>
                    <a:blip r:embed="rId1037"/>
                    <a:stretch>
                      <a:fillRect/>
                    </a:stretch>
                  </pic:blipFill>
                  <pic:spPr>
                    <a:xfrm>
                      <a:off x="0" y="0"/>
                      <a:ext cx="4661789" cy="3218180"/>
                    </a:xfrm>
                    <a:prstGeom prst="rect">
                      <a:avLst/>
                    </a:prstGeom>
                  </pic:spPr>
                </pic:pic>
              </a:graphicData>
            </a:graphic>
          </wp:inline>
        </w:drawing>
      </w:r>
      <w:r>
        <w:tab/>
        <w:t xml:space="preserve"> </w:t>
      </w:r>
    </w:p>
    <w:p w:rsidR="002C0F56" w:rsidRDefault="00E67C6E">
      <w:pPr>
        <w:spacing w:after="5" w:line="271" w:lineRule="auto"/>
        <w:ind w:left="3118" w:right="396" w:hanging="10"/>
        <w:jc w:val="left"/>
      </w:pPr>
      <w:r>
        <w:rPr>
          <w:b/>
          <w:sz w:val="24"/>
        </w:rPr>
        <w:t xml:space="preserve">Рис.1. Комплекс маркетинга ПАО «Сбербанк России» </w:t>
      </w:r>
    </w:p>
    <w:p w:rsidR="002C0F56" w:rsidRDefault="00E67C6E">
      <w:pPr>
        <w:spacing w:after="25" w:line="259" w:lineRule="auto"/>
        <w:ind w:left="1226" w:firstLine="0"/>
        <w:jc w:val="center"/>
      </w:pPr>
      <w:r>
        <w:rPr>
          <w:i/>
          <w:sz w:val="24"/>
        </w:rPr>
        <w:t xml:space="preserve"> </w:t>
      </w:r>
    </w:p>
    <w:p w:rsidR="002C0F56" w:rsidRDefault="00E67C6E">
      <w:pPr>
        <w:spacing w:after="5" w:line="271" w:lineRule="auto"/>
        <w:ind w:left="2439" w:right="396" w:hanging="10"/>
        <w:jc w:val="left"/>
      </w:pPr>
      <w:r>
        <w:rPr>
          <w:i/>
          <w:sz w:val="24"/>
        </w:rPr>
        <w:t>Таблица 1</w:t>
      </w:r>
      <w:r>
        <w:rPr>
          <w:sz w:val="24"/>
        </w:rPr>
        <w:t xml:space="preserve"> – </w:t>
      </w:r>
      <w:r>
        <w:rPr>
          <w:b/>
          <w:sz w:val="24"/>
        </w:rPr>
        <w:t xml:space="preserve">Основные банковские услуги ПАО «Сбербанк России» </w:t>
      </w:r>
    </w:p>
    <w:tbl>
      <w:tblPr>
        <w:tblStyle w:val="TableGrid"/>
        <w:tblW w:w="9856" w:type="dxa"/>
        <w:tblInd w:w="886" w:type="dxa"/>
        <w:tblCellMar>
          <w:top w:w="58" w:type="dxa"/>
          <w:left w:w="108" w:type="dxa"/>
          <w:bottom w:w="0" w:type="dxa"/>
          <w:right w:w="49" w:type="dxa"/>
        </w:tblCellMar>
        <w:tblLook w:val="04A0" w:firstRow="1" w:lastRow="0" w:firstColumn="1" w:lastColumn="0" w:noHBand="0" w:noVBand="1"/>
      </w:tblPr>
      <w:tblGrid>
        <w:gridCol w:w="2919"/>
        <w:gridCol w:w="6937"/>
      </w:tblGrid>
      <w:tr w:rsidR="002C0F56">
        <w:trPr>
          <w:trHeight w:val="286"/>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Услуга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9" w:firstLine="0"/>
              <w:jc w:val="center"/>
            </w:pPr>
            <w:r>
              <w:rPr>
                <w:sz w:val="24"/>
              </w:rPr>
              <w:t xml:space="preserve">Характеристика </w:t>
            </w:r>
          </w:p>
        </w:tc>
      </w:tr>
      <w:tr w:rsidR="002C0F56">
        <w:trPr>
          <w:trHeight w:val="838"/>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Кредиты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right="64" w:firstLine="0"/>
            </w:pPr>
            <w:r>
              <w:rPr>
                <w:sz w:val="24"/>
              </w:rPr>
              <w:t xml:space="preserve">Выдача денежных средств физическим лицам для различных целей (приобретения недвижимого и движимого имущества, оплата обучения, решение прочих вопросов) </w:t>
            </w:r>
          </w:p>
        </w:tc>
      </w:tr>
      <w:tr w:rsidR="002C0F56">
        <w:trPr>
          <w:trHeight w:val="562"/>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Вклады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pPr>
            <w:r>
              <w:rPr>
                <w:sz w:val="24"/>
              </w:rPr>
              <w:t xml:space="preserve">Хранение денежных средств физических лиц на счета Сбербанка для обеспечения их сохранности и приумножения  </w:t>
            </w:r>
          </w:p>
        </w:tc>
      </w:tr>
      <w:tr w:rsidR="002C0F56">
        <w:trPr>
          <w:trHeight w:val="838"/>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Платежи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right="65" w:firstLine="0"/>
            </w:pPr>
            <w:r>
              <w:rPr>
                <w:sz w:val="24"/>
              </w:rPr>
              <w:t xml:space="preserve">Осуществление операций по переводу денежных средств физических лиц в счет оплаты различных услуг, товаров, налогов, штрафов </w:t>
            </w:r>
          </w:p>
        </w:tc>
      </w:tr>
      <w:tr w:rsidR="002C0F56">
        <w:trPr>
          <w:trHeight w:val="838"/>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Переводы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79" w:lineRule="auto"/>
              <w:ind w:left="1" w:firstLine="0"/>
            </w:pPr>
            <w:r>
              <w:rPr>
                <w:sz w:val="24"/>
              </w:rPr>
              <w:t xml:space="preserve">Проведение банковских переводов денежных средств физических лиц как по территории РФ, так и в другие </w:t>
            </w:r>
          </w:p>
          <w:p w:rsidR="002C0F56" w:rsidRDefault="00E67C6E">
            <w:pPr>
              <w:spacing w:after="0" w:line="259" w:lineRule="auto"/>
              <w:ind w:left="1" w:firstLine="0"/>
              <w:jc w:val="left"/>
            </w:pPr>
            <w:r>
              <w:rPr>
                <w:sz w:val="24"/>
              </w:rPr>
              <w:t xml:space="preserve">государства  </w:t>
            </w:r>
          </w:p>
        </w:tc>
      </w:tr>
      <w:tr w:rsidR="002C0F56">
        <w:trPr>
          <w:trHeight w:val="564"/>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 xml:space="preserve">Банковские карты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firstLine="0"/>
            </w:pPr>
            <w:r>
              <w:rPr>
                <w:sz w:val="24"/>
              </w:rPr>
              <w:t xml:space="preserve">Выпуск и обслуживание пластиковых карт, обеспечивающих доступ к лицевому счету в целях безналичных платежей </w:t>
            </w:r>
          </w:p>
        </w:tc>
      </w:tr>
      <w:tr w:rsidR="002C0F56">
        <w:trPr>
          <w:trHeight w:val="838"/>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Обмен валют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79" w:lineRule="auto"/>
              <w:ind w:left="1" w:firstLine="0"/>
            </w:pPr>
            <w:r>
              <w:rPr>
                <w:sz w:val="24"/>
              </w:rPr>
              <w:t xml:space="preserve">Процедуры покупки и продажи физическим лицам иностранных денежных средств в соответствии с установленным курсом ЦБ </w:t>
            </w:r>
          </w:p>
          <w:p w:rsidR="002C0F56" w:rsidRDefault="00E67C6E">
            <w:pPr>
              <w:spacing w:after="0" w:line="259" w:lineRule="auto"/>
              <w:ind w:left="1" w:firstLine="0"/>
              <w:jc w:val="left"/>
            </w:pPr>
            <w:r>
              <w:rPr>
                <w:sz w:val="24"/>
              </w:rPr>
              <w:t xml:space="preserve">РФ    </w:t>
            </w:r>
          </w:p>
        </w:tc>
      </w:tr>
      <w:tr w:rsidR="002C0F56">
        <w:trPr>
          <w:trHeight w:val="1114"/>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Кредиты для бизнеса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right="61" w:firstLine="0"/>
            </w:pPr>
            <w:r>
              <w:rPr>
                <w:sz w:val="24"/>
              </w:rPr>
              <w:t xml:space="preserve">Выдача денежных средств юридическим лицам для различных целей бизнеса (на завершение строительства, закупку оборудования, кредит для индивидуального предпринимателя, на развитие малого бизнеса и и решения прочих вопросов) </w:t>
            </w:r>
          </w:p>
        </w:tc>
      </w:tr>
      <w:tr w:rsidR="002C0F56">
        <w:trPr>
          <w:trHeight w:val="1390"/>
        </w:trPr>
        <w:tc>
          <w:tcPr>
            <w:tcW w:w="2919"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0" w:firstLine="0"/>
            </w:pPr>
            <w:r>
              <w:rPr>
                <w:sz w:val="24"/>
              </w:rPr>
              <w:t xml:space="preserve">Банковское обслуживание малого бизнеса и </w:t>
            </w:r>
          </w:p>
          <w:p w:rsidR="002C0F56" w:rsidRDefault="00E67C6E">
            <w:pPr>
              <w:spacing w:after="0" w:line="259" w:lineRule="auto"/>
              <w:ind w:left="0" w:firstLine="0"/>
            </w:pPr>
            <w:r>
              <w:rPr>
                <w:sz w:val="24"/>
              </w:rPr>
              <w:t xml:space="preserve">корпоративных клиентов  </w:t>
            </w:r>
          </w:p>
        </w:tc>
        <w:tc>
          <w:tcPr>
            <w:tcW w:w="6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 w:right="63" w:firstLine="0"/>
            </w:pPr>
            <w:r>
              <w:rPr>
                <w:sz w:val="24"/>
              </w:rPr>
              <w:t>Расчетно-кассовое обслуживание, самоинкассация (внесение денежных средств на расчетные счета через банкоматы), интернет-банкинг (дистанционное обслуживание), управление финансовыми потоками</w:t>
            </w:r>
            <w:r>
              <w:rPr>
                <w:sz w:val="24"/>
              </w:rPr>
              <w:t xml:space="preserve">, инкассация, документарные операции и другие  </w:t>
            </w:r>
          </w:p>
        </w:tc>
      </w:tr>
    </w:tbl>
    <w:p w:rsidR="002C0F56" w:rsidRDefault="00E67C6E">
      <w:pPr>
        <w:spacing w:after="0" w:line="259" w:lineRule="auto"/>
        <w:ind w:left="1558" w:firstLine="0"/>
        <w:jc w:val="left"/>
      </w:pPr>
      <w:r>
        <w:t xml:space="preserve"> </w:t>
      </w:r>
      <w:r>
        <w:tab/>
        <w:t xml:space="preserve"> </w:t>
      </w:r>
    </w:p>
    <w:p w:rsidR="002C0F56" w:rsidRDefault="00E67C6E">
      <w:pPr>
        <w:ind w:left="994" w:right="302"/>
      </w:pPr>
      <w:r>
        <w:t>Сбытовая политика Сбербанка предполагает наличие двух типов каналов сбыта банковских продуктов и услуг: с непосредственным участием персонала, без участия персонала, т.е. дистанционно [2]. Непосредственн</w:t>
      </w:r>
      <w:r>
        <w:t>ое участие персонала предусматривает сбыт продуктов и услуг через посредников (почта, брокеры, агенты, персонал торговых сетей) и финансовые организации (собственные отделения банка, собственный персонал финансовой организации). Дистанционными каналами сбы</w:t>
      </w:r>
      <w:r>
        <w:t>та банковской продукции являются интернет-банкинг, мобильный банкинг, электронные терминалы. Таким образом, Сбербанк использует как одноуровневые, так и двухуровневые каналы сбыта, что предоставляет ряд преимуществ – расширение возможностей и географии про</w:t>
      </w:r>
      <w:r>
        <w:t>даж, зоны обслуживания, доли рынка. Система мер воздействия на клиентов или коммуникационная политика Сбербанка представлена в различных формах. По данным аналитического портала рынка веб-разработок Банк возглавляет топ – 10 в сегменте медийной рекламы, яв</w:t>
      </w:r>
      <w:r>
        <w:t xml:space="preserve">ляется лидером по количеству затрат в контексте [1]. Сбербанк также лидирует по популярности в социальных масс медиа.  </w:t>
      </w:r>
    </w:p>
    <w:p w:rsidR="002C0F56" w:rsidRDefault="00E67C6E">
      <w:pPr>
        <w:spacing w:after="0"/>
        <w:ind w:left="994" w:right="302"/>
      </w:pPr>
      <w:r>
        <w:t xml:space="preserve">Маркетинговая стратегия развития Сбербанка на период 2014-2018 гг. основана на пяти направлениях: «с клиентом на всю жизнь», «команда и </w:t>
      </w:r>
      <w:r>
        <w:t>культура», «технологический прорыв», «финансовая результативность», «зрелая организация». В рамках первого направления Банк стремится построить прочные и доверительные отношения с клиентами посредством осуществления их ожиданий. Развитие направления «коман</w:t>
      </w:r>
      <w:r>
        <w:t>да и культура» направлено на усиление конкурентного преимущества с помощью собственных высококвалифицированных сотрудников и собственной корпоративной культуры. В рамках следующего направления Сбербанк завершит технологическую модернизацию Банка, что поспо</w:t>
      </w:r>
      <w:r>
        <w:t xml:space="preserve">собствует появлению </w:t>
      </w:r>
      <w:r>
        <w:lastRenderedPageBreak/>
        <w:t>современных технологий и инноваций в этой сфере. Направление «финансовая результативность» позволит увеличить прибыль за счет более эффективного управления расходами соотношения риска и доходности. В рамках последнего направления маркет</w:t>
      </w:r>
      <w:r>
        <w:t xml:space="preserve">инговой стратегии развития Сбербанк сформирует процессы, соответствующие его масштабам и возможностям.  </w:t>
      </w:r>
    </w:p>
    <w:p w:rsidR="002C0F56" w:rsidRDefault="00E67C6E">
      <w:pPr>
        <w:spacing w:after="2"/>
        <w:ind w:left="994" w:right="302"/>
      </w:pPr>
      <w:r>
        <w:t xml:space="preserve">Таким образом, маркетинговая стратегия и весь комплекс маркетинга Банка направлены на достижение наилучших показателей деятельности, на расширение филиальной сети и доли рынка, на повышение лояльности существующих и потенциальных клиентов.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Список литер</w:t>
      </w:r>
      <w:r>
        <w:t xml:space="preserve">атуры: </w:t>
      </w:r>
    </w:p>
    <w:p w:rsidR="002C0F56" w:rsidRDefault="00E67C6E">
      <w:pPr>
        <w:numPr>
          <w:ilvl w:val="0"/>
          <w:numId w:val="157"/>
        </w:numPr>
        <w:ind w:right="302"/>
      </w:pPr>
      <w:r>
        <w:t>Отчет по коммуникационной политике банков в Интернете (Россия) Электронный ресурс]. – URL:</w:t>
      </w:r>
      <w:hyperlink r:id="rId1038">
        <w:r>
          <w:t>http://research.cmsmagazine.ru/report</w:t>
        </w:r>
      </w:hyperlink>
      <w:hyperlink r:id="rId1039">
        <w:r>
          <w:t>-</w:t>
        </w:r>
      </w:hyperlink>
      <w:hyperlink r:id="rId1040">
        <w:r>
          <w:t>on</w:t>
        </w:r>
      </w:hyperlink>
      <w:hyperlink r:id="rId1041"/>
      <w:hyperlink r:id="rId1042">
        <w:r>
          <w:t>communication</w:t>
        </w:r>
      </w:hyperlink>
      <w:hyperlink r:id="rId1043">
        <w:r>
          <w:t>-</w:t>
        </w:r>
      </w:hyperlink>
      <w:hyperlink r:id="rId1044">
        <w:r>
          <w:t>policy</w:t>
        </w:r>
      </w:hyperlink>
      <w:hyperlink r:id="rId1045">
        <w:r>
          <w:t>-</w:t>
        </w:r>
      </w:hyperlink>
      <w:hyperlink r:id="rId1046">
        <w:r>
          <w:t>of</w:t>
        </w:r>
      </w:hyperlink>
      <w:hyperlink r:id="rId1047">
        <w:r>
          <w:t>-</w:t>
        </w:r>
      </w:hyperlink>
      <w:hyperlink r:id="rId1048">
        <w:r>
          <w:t>banks</w:t>
        </w:r>
      </w:hyperlink>
      <w:hyperlink r:id="rId1049">
        <w:r>
          <w:t>-</w:t>
        </w:r>
      </w:hyperlink>
      <w:hyperlink r:id="rId1050">
        <w:r>
          <w:t>on</w:t>
        </w:r>
      </w:hyperlink>
      <w:hyperlink r:id="rId1051">
        <w:r>
          <w:t>-</w:t>
        </w:r>
      </w:hyperlink>
      <w:hyperlink r:id="rId1052">
        <w:r>
          <w:t>internet</w:t>
        </w:r>
      </w:hyperlink>
      <w:hyperlink r:id="rId1053">
        <w:r>
          <w:t>-</w:t>
        </w:r>
      </w:hyperlink>
      <w:hyperlink r:id="rId1054">
        <w:r>
          <w:t>russia/</w:t>
        </w:r>
      </w:hyperlink>
      <w:hyperlink r:id="rId1055">
        <w:r>
          <w:t xml:space="preserve"> </w:t>
        </w:r>
      </w:hyperlink>
      <w:r>
        <w:t xml:space="preserve">(дата обращения 20.03.2017). </w:t>
      </w:r>
    </w:p>
    <w:p w:rsidR="002C0F56" w:rsidRDefault="00E67C6E">
      <w:pPr>
        <w:numPr>
          <w:ilvl w:val="0"/>
          <w:numId w:val="157"/>
        </w:numPr>
        <w:ind w:right="302"/>
      </w:pPr>
      <w:r>
        <w:t xml:space="preserve">Официальный сайт ПАО «Сбербанк России» [Электронный ресурс]. – URL: </w:t>
      </w:r>
      <w:hyperlink r:id="rId1056">
        <w:r>
          <w:t>http://www.sberbank.ru/ru/person,</w:t>
        </w:r>
      </w:hyperlink>
      <w:r>
        <w:t xml:space="preserve"> (дата обращения 20.03.2017). </w:t>
      </w:r>
    </w:p>
    <w:p w:rsidR="002C0F56" w:rsidRDefault="00E67C6E">
      <w:pPr>
        <w:spacing w:after="0" w:line="259" w:lineRule="auto"/>
        <w:ind w:left="10" w:right="309" w:hanging="10"/>
        <w:jc w:val="right"/>
      </w:pPr>
      <w:r>
        <w:rPr>
          <w:b/>
        </w:rPr>
        <w:t xml:space="preserve">Мелещенко Д.Д., Шильникова Е.Д., Погорелая Т. А. </w:t>
      </w:r>
    </w:p>
    <w:p w:rsidR="002C0F56" w:rsidRDefault="00E67C6E">
      <w:pPr>
        <w:spacing w:after="0" w:line="267" w:lineRule="auto"/>
        <w:ind w:left="905" w:right="593" w:hanging="10"/>
        <w:jc w:val="right"/>
      </w:pPr>
      <w:r>
        <w:rPr>
          <w:i/>
        </w:rPr>
        <w:t xml:space="preserve">Кузбасский государственный технический университет имени </w:t>
      </w:r>
    </w:p>
    <w:p w:rsidR="002C0F56" w:rsidRDefault="00E67C6E">
      <w:pPr>
        <w:spacing w:after="0" w:line="267" w:lineRule="auto"/>
        <w:ind w:left="905" w:right="591" w:hanging="10"/>
        <w:jc w:val="right"/>
      </w:pPr>
      <w:r>
        <w:rPr>
          <w:i/>
        </w:rPr>
        <w:t>Т.Ф. Горбачева</w:t>
      </w:r>
      <w:r>
        <w:rPr>
          <w:b/>
        </w:rPr>
        <w:t xml:space="preserve"> </w:t>
      </w:r>
    </w:p>
    <w:p w:rsidR="002C0F56" w:rsidRDefault="00E67C6E">
      <w:pPr>
        <w:spacing w:after="0" w:line="259" w:lineRule="auto"/>
        <w:ind w:left="1558" w:firstLine="0"/>
        <w:jc w:val="left"/>
      </w:pPr>
      <w:r>
        <w:rPr>
          <w:i/>
        </w:rPr>
        <w:t xml:space="preserve"> </w:t>
      </w:r>
    </w:p>
    <w:p w:rsidR="002C0F56" w:rsidRDefault="00E67C6E">
      <w:pPr>
        <w:pStyle w:val="1"/>
        <w:ind w:left="1008" w:right="242"/>
      </w:pPr>
      <w:r>
        <w:t xml:space="preserve">ФАКТОРЫ ПРЕОДОЛЕНИЯ НЕПРИВЛЕКАТЕЛЬНОСТИ </w:t>
      </w:r>
    </w:p>
    <w:p w:rsidR="002C0F56" w:rsidRDefault="00E67C6E">
      <w:pPr>
        <w:pStyle w:val="1"/>
        <w:ind w:left="1008" w:right="242"/>
      </w:pPr>
      <w:r>
        <w:t xml:space="preserve">ЭКОНОМИКИ КУЗБАССА ДЛЯ ИНОСТРАННЫХ ИНВЕСТОРОВ  </w:t>
      </w:r>
    </w:p>
    <w:p w:rsidR="002C0F56" w:rsidRDefault="00E67C6E">
      <w:pPr>
        <w:spacing w:after="0" w:line="259" w:lineRule="auto"/>
        <w:ind w:left="1558" w:firstLine="0"/>
        <w:jc w:val="left"/>
      </w:pPr>
      <w:r>
        <w:rPr>
          <w:b/>
        </w:rPr>
        <w:t xml:space="preserve"> </w:t>
      </w:r>
    </w:p>
    <w:p w:rsidR="002C0F56" w:rsidRDefault="00E67C6E">
      <w:pPr>
        <w:spacing w:after="0"/>
        <w:ind w:left="994" w:right="593"/>
      </w:pPr>
      <w:r>
        <w:t>Интенсивность и направленность потока инвестиций определяют эффективность процесса совершенствования структуры региональной экономики. В свою очередь, перераспределение ресурсов только тогда способствует устойчивому развитию экономики, когда его целью выст</w:t>
      </w:r>
      <w:r>
        <w:t>упает не усиление экспортной ориентации любой ценой, но усиление позиций в системе международного разделения труда и на мировом рынке товаров и услуг. Безоглядная поддержка добывающего сектора может, как в случае Кузбасса, может стать причиной резкого спад</w:t>
      </w:r>
      <w:r>
        <w:t>а во всех остальных отраслях области и усилением зависимости от «импорта всего». С 2007 г. наш регион превратился «ресурсодобывающий», с высокой степенью зависимости от конъюнктуры мирового рынка сырья. В условиях продолжительного экономического кризиса ос</w:t>
      </w:r>
      <w:r>
        <w:t xml:space="preserve">трая нехватка финансовых средств для модернизации промышленного производства потребовала повышения степени его привлекательности для инвесторов, с учетом негативного опыта создания на территории Кемеровской области СЭЗ. </w:t>
      </w:r>
    </w:p>
    <w:p w:rsidR="002C0F56" w:rsidRDefault="00E67C6E">
      <w:pPr>
        <w:spacing w:after="3"/>
        <w:ind w:left="994" w:right="588"/>
      </w:pPr>
      <w:r>
        <w:t>В мировой практике есть примеры соз</w:t>
      </w:r>
      <w:r>
        <w:t xml:space="preserve">дания необходимых условий устойчивого развития промышленных регионов угольно-металлургического </w:t>
      </w:r>
      <w:r>
        <w:lastRenderedPageBreak/>
        <w:t>профиля с проблемной экологией (США, КНР и др.): во-первых, возможности формировать собственные инвестиционные ресурсы (экспортная ориентация базовой отрасли); в</w:t>
      </w:r>
      <w:r>
        <w:t>о-вторых, широкое использование национальных и иностранных научно-инвестиционных ресурсов. Ожидалось, что эти условия будут созданы в процессе формирования СЭЗ «Кузбасс». Однако, неясность представлений о роли СЭЗ в период становления рыночной экономики, н</w:t>
      </w:r>
      <w:r>
        <w:t>е проработанность законодательства, отсутствие опыта сотрудничества с иностранными инвесторами, сделало их создание на территории России и, в частности, в Кузбассе,  бесперспективным на долгое время. Не были реализованы цели привлечения иностранного капита</w:t>
      </w:r>
      <w:r>
        <w:t>ла, сохранения крупного топливноэнергетического и металлургического центра, усилении его рыночных и социальных позиций. При этом, на территории области уже тогда для иностранных инвесторов была создана реальная возможность осуществлять инвестиции на террит</w:t>
      </w:r>
      <w:r>
        <w:t>ории посредством: долевого участия в функционирующих или создаваемых предприятиях; создания собственных предприятий; приобретения имущества, акций, других ценных бумаг; приобретения прав пользования землей (законодательно закреплена невозможность без решен</w:t>
      </w:r>
      <w:r>
        <w:t xml:space="preserve">ия суда принудительного изъятия иностранных инвестиций) [1]. В 2005 г. СЭЗ прекратила существование, хотя тогда не начал действовать механизм антироссийских экономических санкций.  </w:t>
      </w:r>
    </w:p>
    <w:p w:rsidR="002C0F56" w:rsidRDefault="00E67C6E">
      <w:pPr>
        <w:spacing w:after="0"/>
        <w:ind w:left="994" w:right="592"/>
      </w:pPr>
      <w:r>
        <w:t xml:space="preserve">В качестве основных непривлекательных моментов для иностранного инвестора </w:t>
      </w:r>
      <w:r>
        <w:t>выступили: удаленность от основных торговых площадок и высокие транспортные расходы, высокая степень (до 45% в ведущих экспортноориентированных отраслях) изношенности основных производственных, изношенность инфраструктурных фондов, хронические социальные п</w:t>
      </w:r>
      <w:r>
        <w:t>роблемы. К действию указанных факторов с 2008 г. добавились проблемы общемирового уровня, ухудшение конъюнктуры на рынке угля, реализация положений Киотского протокола в странах ЕС и резкое падение спроса на рынке угля, а также введение с 2014 г. санкционн</w:t>
      </w:r>
      <w:r>
        <w:t>ых мер. Это отрицательно повлияло на инвестиционную деятельность и в кузбасском регионе. Проблема общей нехватки инвестиций в экономику области дополняется проблемой и пока подъем региональной экономики практически сведен к восстановлению горнодобывающей п</w:t>
      </w:r>
      <w:r>
        <w:t>ромышленности, все это сводится к непривлекательности Кузбасса для прямых иностранных инвестиций (таблица 1). И, как следствие, в г. Кемерово за 2015 г. 33,1 млрд. руб. инвестиций было направлено в основной капитал (20,5 % к объему инвестиций по Кемеровско</w:t>
      </w:r>
      <w:r>
        <w:t xml:space="preserve">й области), т.е. снижение на 35,9 % к уровню 2014 г. Объем инвестиций в основной капитал по крупным и средним предприятиям уменьшился на 30,5 % по сравнению с 2014 г., до 19,1 млрд. руб. [2].  </w:t>
      </w:r>
    </w:p>
    <w:p w:rsidR="002C0F56" w:rsidRDefault="00E67C6E">
      <w:pPr>
        <w:spacing w:after="0"/>
        <w:ind w:left="994" w:right="590"/>
      </w:pPr>
      <w:r>
        <w:t>Инвестиционная привлекательность Кемеровской области определяе</w:t>
      </w:r>
      <w:r>
        <w:t xml:space="preserve">тся в рейтинге НРА как совокупность факторов, которые выступают активным </w:t>
      </w:r>
      <w:r>
        <w:lastRenderedPageBreak/>
        <w:t xml:space="preserve">фоном для всех инвестиционных проектов, которые реализуются на территории Кемеровской области, а также влияют на риск и доходность этих проектов [3]. </w:t>
      </w:r>
    </w:p>
    <w:p w:rsidR="002C0F56" w:rsidRDefault="00E67C6E">
      <w:pPr>
        <w:spacing w:after="0" w:line="259" w:lineRule="auto"/>
        <w:ind w:left="1558" w:firstLine="0"/>
        <w:jc w:val="left"/>
      </w:pPr>
      <w:r>
        <w:rPr>
          <w:b/>
        </w:rPr>
        <w:t xml:space="preserve"> </w:t>
      </w:r>
    </w:p>
    <w:p w:rsidR="002C0F56" w:rsidRDefault="00E67C6E">
      <w:pPr>
        <w:spacing w:after="5" w:line="271" w:lineRule="auto"/>
        <w:ind w:left="1621" w:right="396" w:hanging="10"/>
        <w:jc w:val="left"/>
      </w:pPr>
      <w:r>
        <w:rPr>
          <w:i/>
          <w:sz w:val="24"/>
        </w:rPr>
        <w:t>Таблица 1</w:t>
      </w:r>
      <w:r>
        <w:rPr>
          <w:b/>
          <w:sz w:val="24"/>
        </w:rPr>
        <w:t xml:space="preserve"> - Рейтинг инвестицио</w:t>
      </w:r>
      <w:r>
        <w:rPr>
          <w:b/>
          <w:sz w:val="24"/>
        </w:rPr>
        <w:t xml:space="preserve">нной привлекательности Кемеровской области </w:t>
      </w:r>
    </w:p>
    <w:p w:rsidR="002C0F56" w:rsidRDefault="00E67C6E">
      <w:pPr>
        <w:spacing w:after="0" w:line="259" w:lineRule="auto"/>
        <w:ind w:left="1558" w:firstLine="0"/>
        <w:jc w:val="left"/>
      </w:pPr>
      <w:r>
        <w:rPr>
          <w:i/>
        </w:rPr>
        <w:t xml:space="preserve"> </w:t>
      </w:r>
    </w:p>
    <w:tbl>
      <w:tblPr>
        <w:tblStyle w:val="TableGrid"/>
        <w:tblW w:w="9110" w:type="dxa"/>
        <w:tblInd w:w="1258" w:type="dxa"/>
        <w:tblCellMar>
          <w:top w:w="14" w:type="dxa"/>
          <w:left w:w="108" w:type="dxa"/>
          <w:bottom w:w="0" w:type="dxa"/>
          <w:right w:w="115" w:type="dxa"/>
        </w:tblCellMar>
        <w:tblLook w:val="04A0" w:firstRow="1" w:lastRow="0" w:firstColumn="1" w:lastColumn="0" w:noHBand="0" w:noVBand="1"/>
      </w:tblPr>
      <w:tblGrid>
        <w:gridCol w:w="2126"/>
        <w:gridCol w:w="5462"/>
        <w:gridCol w:w="1522"/>
      </w:tblGrid>
      <w:tr w:rsidR="002C0F56">
        <w:trPr>
          <w:trHeight w:val="562"/>
        </w:trPr>
        <w:tc>
          <w:tcPr>
            <w:tcW w:w="2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485"/>
              <w:jc w:val="left"/>
            </w:pPr>
            <w:r>
              <w:rPr>
                <w:b/>
                <w:sz w:val="24"/>
              </w:rPr>
              <w:t xml:space="preserve">Дата актуализации </w:t>
            </w:r>
          </w:p>
        </w:tc>
        <w:tc>
          <w:tcPr>
            <w:tcW w:w="54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08" w:firstLine="0"/>
              <w:jc w:val="center"/>
            </w:pPr>
            <w:r>
              <w:rPr>
                <w:b/>
                <w:sz w:val="24"/>
              </w:rPr>
              <w:t xml:space="preserve">Уровень рейтинга </w:t>
            </w:r>
          </w:p>
        </w:tc>
        <w:tc>
          <w:tcPr>
            <w:tcW w:w="1522" w:type="dxa"/>
            <w:tcBorders>
              <w:top w:val="single" w:sz="4" w:space="0" w:color="000000"/>
              <w:left w:val="single" w:sz="4" w:space="0" w:color="000000"/>
              <w:bottom w:val="single" w:sz="4" w:space="0" w:color="000000"/>
              <w:right w:val="single" w:sz="4" w:space="0" w:color="000000"/>
            </w:tcBorders>
          </w:tcPr>
          <w:p w:rsidR="002C0F56" w:rsidRDefault="00E67C6E">
            <w:pPr>
              <w:spacing w:after="16" w:line="259" w:lineRule="auto"/>
              <w:ind w:left="209" w:firstLine="0"/>
              <w:jc w:val="center"/>
            </w:pPr>
            <w:r>
              <w:rPr>
                <w:b/>
                <w:sz w:val="24"/>
              </w:rPr>
              <w:t>Стат</w:t>
            </w:r>
          </w:p>
          <w:p w:rsidR="002C0F56" w:rsidRDefault="00E67C6E">
            <w:pPr>
              <w:spacing w:after="0" w:line="259" w:lineRule="auto"/>
              <w:ind w:left="399" w:firstLine="0"/>
              <w:jc w:val="left"/>
            </w:pPr>
            <w:r>
              <w:rPr>
                <w:b/>
                <w:sz w:val="24"/>
              </w:rPr>
              <w:t xml:space="preserve">ус </w:t>
            </w:r>
          </w:p>
        </w:tc>
      </w:tr>
      <w:tr w:rsidR="002C0F56">
        <w:trPr>
          <w:trHeight w:val="562"/>
        </w:trPr>
        <w:tc>
          <w:tcPr>
            <w:tcW w:w="2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2" w:firstLine="0"/>
              <w:jc w:val="center"/>
            </w:pPr>
            <w:r>
              <w:rPr>
                <w:sz w:val="24"/>
              </w:rPr>
              <w:t xml:space="preserve">01.02.2017 </w:t>
            </w:r>
          </w:p>
        </w:tc>
        <w:tc>
          <w:tcPr>
            <w:tcW w:w="5461"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662"/>
                <w:tab w:val="center" w:pos="2068"/>
                <w:tab w:val="center" w:pos="4128"/>
              </w:tabs>
              <w:spacing w:after="28" w:line="259" w:lineRule="auto"/>
              <w:ind w:left="0" w:firstLine="0"/>
              <w:jc w:val="left"/>
            </w:pPr>
            <w:r>
              <w:rPr>
                <w:rFonts w:ascii="Calibri" w:eastAsia="Calibri" w:hAnsi="Calibri" w:cs="Calibri"/>
                <w:sz w:val="22"/>
              </w:rPr>
              <w:tab/>
            </w:r>
            <w:r>
              <w:rPr>
                <w:sz w:val="24"/>
              </w:rPr>
              <w:t xml:space="preserve">IC8 </w:t>
            </w:r>
            <w:r>
              <w:rPr>
                <w:sz w:val="24"/>
              </w:rPr>
              <w:tab/>
              <w:t xml:space="preserve">(умеренная </w:t>
            </w:r>
            <w:r>
              <w:rPr>
                <w:sz w:val="24"/>
              </w:rPr>
              <w:tab/>
              <w:t xml:space="preserve">инвестиционная </w:t>
            </w:r>
          </w:p>
          <w:p w:rsidR="002C0F56" w:rsidRDefault="00E67C6E">
            <w:pPr>
              <w:spacing w:after="0" w:line="259" w:lineRule="auto"/>
              <w:ind w:left="0" w:firstLine="0"/>
              <w:jc w:val="left"/>
            </w:pPr>
            <w:r>
              <w:rPr>
                <w:sz w:val="24"/>
              </w:rPr>
              <w:t xml:space="preserve">привлекательность –второй уровень) </w:t>
            </w:r>
          </w:p>
        </w:tc>
        <w:tc>
          <w:tcPr>
            <w:tcW w:w="15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483"/>
              <w:jc w:val="left"/>
            </w:pPr>
            <w:r>
              <w:rPr>
                <w:sz w:val="24"/>
              </w:rPr>
              <w:t xml:space="preserve">Пон ижен </w:t>
            </w:r>
          </w:p>
        </w:tc>
      </w:tr>
      <w:tr w:rsidR="002C0F56">
        <w:trPr>
          <w:trHeight w:val="562"/>
        </w:trPr>
        <w:tc>
          <w:tcPr>
            <w:tcW w:w="2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2" w:firstLine="0"/>
              <w:jc w:val="center"/>
            </w:pPr>
            <w:r>
              <w:rPr>
                <w:sz w:val="24"/>
              </w:rPr>
              <w:t xml:space="preserve">28.12.2015 </w:t>
            </w:r>
          </w:p>
        </w:tc>
        <w:tc>
          <w:tcPr>
            <w:tcW w:w="5461"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662"/>
                <w:tab w:val="center" w:pos="2068"/>
                <w:tab w:val="center" w:pos="4129"/>
              </w:tabs>
              <w:spacing w:after="27" w:line="259" w:lineRule="auto"/>
              <w:ind w:left="0" w:firstLine="0"/>
              <w:jc w:val="left"/>
            </w:pPr>
            <w:r>
              <w:rPr>
                <w:rFonts w:ascii="Calibri" w:eastAsia="Calibri" w:hAnsi="Calibri" w:cs="Calibri"/>
                <w:sz w:val="22"/>
              </w:rPr>
              <w:tab/>
            </w:r>
            <w:r>
              <w:rPr>
                <w:sz w:val="24"/>
              </w:rPr>
              <w:t xml:space="preserve">IC7 </w:t>
            </w:r>
            <w:r>
              <w:rPr>
                <w:sz w:val="24"/>
              </w:rPr>
              <w:tab/>
              <w:t xml:space="preserve">(умеренная </w:t>
            </w:r>
            <w:r>
              <w:rPr>
                <w:sz w:val="24"/>
              </w:rPr>
              <w:tab/>
              <w:t xml:space="preserve">инвестиционная </w:t>
            </w:r>
          </w:p>
          <w:p w:rsidR="002C0F56" w:rsidRDefault="00E67C6E">
            <w:pPr>
              <w:spacing w:after="0" w:line="259" w:lineRule="auto"/>
              <w:ind w:left="0" w:firstLine="0"/>
              <w:jc w:val="left"/>
            </w:pPr>
            <w:r>
              <w:rPr>
                <w:sz w:val="24"/>
              </w:rPr>
              <w:t xml:space="preserve">привлекательность – </w:t>
            </w:r>
            <w:r>
              <w:rPr>
                <w:sz w:val="24"/>
              </w:rPr>
              <w:t xml:space="preserve">первый уровень) </w:t>
            </w:r>
          </w:p>
        </w:tc>
        <w:tc>
          <w:tcPr>
            <w:tcW w:w="15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483"/>
              <w:jc w:val="left"/>
            </w:pPr>
            <w:r>
              <w:rPr>
                <w:sz w:val="24"/>
              </w:rPr>
              <w:t xml:space="preserve">Пон ижен </w:t>
            </w:r>
          </w:p>
        </w:tc>
      </w:tr>
      <w:tr w:rsidR="002C0F56">
        <w:trPr>
          <w:trHeight w:val="565"/>
        </w:trPr>
        <w:tc>
          <w:tcPr>
            <w:tcW w:w="212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42" w:firstLine="0"/>
              <w:jc w:val="center"/>
            </w:pPr>
            <w:r>
              <w:rPr>
                <w:sz w:val="24"/>
              </w:rPr>
              <w:t xml:space="preserve">10.12.2014 </w:t>
            </w:r>
          </w:p>
        </w:tc>
        <w:tc>
          <w:tcPr>
            <w:tcW w:w="5461"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662"/>
                <w:tab w:val="center" w:pos="2068"/>
                <w:tab w:val="center" w:pos="4128"/>
              </w:tabs>
              <w:spacing w:after="28" w:line="259" w:lineRule="auto"/>
              <w:ind w:left="0" w:firstLine="0"/>
              <w:jc w:val="left"/>
            </w:pPr>
            <w:r>
              <w:rPr>
                <w:rFonts w:ascii="Calibri" w:eastAsia="Calibri" w:hAnsi="Calibri" w:cs="Calibri"/>
                <w:sz w:val="22"/>
              </w:rPr>
              <w:tab/>
            </w:r>
            <w:r>
              <w:rPr>
                <w:sz w:val="24"/>
              </w:rPr>
              <w:t xml:space="preserve">IC6 </w:t>
            </w:r>
            <w:r>
              <w:rPr>
                <w:sz w:val="24"/>
              </w:rPr>
              <w:tab/>
              <w:t xml:space="preserve">(средняя </w:t>
            </w:r>
            <w:r>
              <w:rPr>
                <w:sz w:val="24"/>
              </w:rPr>
              <w:tab/>
              <w:t xml:space="preserve">инвестиционная </w:t>
            </w:r>
          </w:p>
          <w:p w:rsidR="002C0F56" w:rsidRDefault="00E67C6E">
            <w:pPr>
              <w:spacing w:after="0" w:line="259" w:lineRule="auto"/>
              <w:ind w:left="0" w:firstLine="0"/>
              <w:jc w:val="left"/>
            </w:pPr>
            <w:r>
              <w:rPr>
                <w:sz w:val="24"/>
              </w:rPr>
              <w:t xml:space="preserve">привлекательность - третий уровень) </w:t>
            </w:r>
          </w:p>
        </w:tc>
        <w:tc>
          <w:tcPr>
            <w:tcW w:w="152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483"/>
              <w:jc w:val="left"/>
            </w:pPr>
            <w:r>
              <w:rPr>
                <w:sz w:val="24"/>
              </w:rPr>
              <w:t xml:space="preserve">Пон ижен </w:t>
            </w:r>
          </w:p>
        </w:tc>
      </w:tr>
    </w:tbl>
    <w:p w:rsidR="002C0F56" w:rsidRDefault="00E67C6E">
      <w:pPr>
        <w:spacing w:after="25" w:line="259" w:lineRule="auto"/>
        <w:ind w:left="1558" w:firstLine="0"/>
        <w:jc w:val="left"/>
      </w:pPr>
      <w:r>
        <w:t xml:space="preserve"> </w:t>
      </w:r>
    </w:p>
    <w:p w:rsidR="002C0F56" w:rsidRDefault="00E67C6E">
      <w:pPr>
        <w:ind w:left="994" w:right="589"/>
      </w:pPr>
      <w:r>
        <w:t xml:space="preserve">При этом наметилась важная тенденция – в добычу полезных ископаемых направлено было всего 0,7%, а 19,9 % (3,8 млрд. </w:t>
      </w:r>
      <w:r>
        <w:t xml:space="preserve">руб.) приходилось на предприятия обрабатывающей промышленности, в т.ч. 12,6 % (2,4 млрд. руб.) – химическое производство; 15,8 % (3,0 млрд.  руб.) – связь; 13,9 % (2,7 млрд. руб.) операции с недвижимым имуществом. </w:t>
      </w:r>
    </w:p>
    <w:p w:rsidR="002C0F56" w:rsidRDefault="00E67C6E">
      <w:pPr>
        <w:ind w:left="994" w:right="591" w:firstLine="0"/>
      </w:pPr>
      <w:r>
        <w:t>Менялась и структура вложений: наибольший</w:t>
      </w:r>
      <w:r>
        <w:t xml:space="preserve"> объем инвестиций в основной капитал направлен на приобретение машин, оборудования, транспортных средств, производственный и хозяйственный инвентарь – 9 309,1 млн. рублей (48,6 %), на строительство зданий (кроме жилых) и сооружений – 7 248,5 млн. рублей (3</w:t>
      </w:r>
      <w:r>
        <w:t xml:space="preserve">7,9%), на жилищное строительство – 2 380,2 млн. руб. (12,4%). В общем объеме инвестиций доля собственных средств составила 54,3%, а доля привлеченных средств достигла 45,7 % [2]. </w:t>
      </w:r>
    </w:p>
    <w:p w:rsidR="002C0F56" w:rsidRDefault="00E67C6E">
      <w:pPr>
        <w:spacing w:after="0"/>
        <w:ind w:left="994" w:right="589"/>
      </w:pPr>
      <w:r>
        <w:t>Учитывая, что открытость экономики должна создавать возможности использовани</w:t>
      </w:r>
      <w:r>
        <w:t>я преимуществ международного рынка и международных ресурсов для развития, руководство Кузбасса рассматривает приток иностранных инвестиций как не единственный, но важный фактор перехода к интенсивному типу развития экономики. Переориентация экономики регио</w:t>
      </w:r>
      <w:r>
        <w:t>на на инновационную модель развития требует серьезной корректировки региональной инвестиционной политики, как важного элемента стратегии развития региона. В новых условиях хозяйствования преимуществом должны обладать субъекты, темпы включения которых в инт</w:t>
      </w:r>
      <w:r>
        <w:t xml:space="preserve">егративные процессы будут высокими.  </w:t>
      </w:r>
    </w:p>
    <w:p w:rsidR="002C0F56" w:rsidRDefault="00E67C6E">
      <w:pPr>
        <w:spacing w:after="0"/>
        <w:ind w:left="994" w:right="589"/>
      </w:pPr>
      <w:r>
        <w:t>В связи с этим, регулирование инвестиционного процесса (структуры, размеров, источников, эффективности инвестиций) должно быть направлено на привлечение прямых инвестиций в реализацию конкретных проектов, действительно</w:t>
      </w:r>
      <w:r>
        <w:t xml:space="preserve"> способствующих росту научного и производственного </w:t>
      </w:r>
      <w:r>
        <w:lastRenderedPageBreak/>
        <w:t>потенциала региона. Однако, объемы и темпы роста именно прямых иностранных инвестиций не соответствуют задачам ускоренного перехода к инновационному типу развития региональной экономики. Для того, чтобы пр</w:t>
      </w:r>
      <w:r>
        <w:t>ямые иностранные инвестиции выступали в качестве действенного фактора этого перехода их объем должен существенно вырасти. В инвестиционной политике региона должна четко прослеживаться линия на выявление факторов повышения привлекательности региональной эко</w:t>
      </w:r>
      <w:r>
        <w:t>номики, в первую очередь, для прямых иностранных инвестиций и создание условий для их реализации. Именно эта задача является одной из самых трудноразрешимых, т.к. экономический рост зависит от увеличения экспорта добывающего сектора, который опирается на и</w:t>
      </w:r>
      <w:r>
        <w:t xml:space="preserve">нтенсивное использование не столько дешевой рабочей силы, сколько природных ресурсов. Таким образом, в условиях, когда необходимых средств для быстрой массовой модернизации всех сегментов региональной экономики недостаточно ни у предприятий, ни у региона, </w:t>
      </w:r>
      <w:r>
        <w:t xml:space="preserve">ни у государства, активность прямого инвестора может усилить и зависимость от мировой экономической конъюнктуры, и темпы истощения земельных, энергетических, водных, растительных ресурсов, и темпы усиления экологических проблем [4]. </w:t>
      </w:r>
    </w:p>
    <w:p w:rsidR="002C0F56" w:rsidRDefault="00E67C6E">
      <w:pPr>
        <w:spacing w:after="4"/>
        <w:ind w:left="994" w:right="594"/>
      </w:pPr>
      <w:r>
        <w:t>Очевидно, что на совре</w:t>
      </w:r>
      <w:r>
        <w:t>менном этапе регулирование деятельности «внешних» субъектов хозяйствования должно стать мощным фактором роста и одновременно фактором преодоления закрепления сложившейся сырьевой специализации и неравномерности отраслевого развития. Поэтому главной целью с</w:t>
      </w:r>
      <w:r>
        <w:t>оздания благоприятных условий для инвестиций в экономику региона со стороны руководства Кемеровской области должно стать достижение оптимума в сочетании мероприятий, во-первых, по усилению открытости, во-вторых, по ослаблению зависимости от импорта (прежде</w:t>
      </w:r>
      <w:r>
        <w:t xml:space="preserve"> всего технологий), в-третьих, по расширению направлений концентрации научно-производственной деятельности [5]. Важно, что в настоящее время в инвесторам предоставляется возможность развивать свой бизнес на земельных участках, обеспеченных инженерный инфра</w:t>
      </w:r>
      <w:r>
        <w:t xml:space="preserve">структурой.  </w:t>
      </w:r>
    </w:p>
    <w:p w:rsidR="002C0F56" w:rsidRDefault="00E67C6E">
      <w:pPr>
        <w:spacing w:after="0"/>
        <w:ind w:left="994" w:right="593"/>
      </w:pPr>
      <w:r>
        <w:t>Развитие благоприятной бизнес-</w:t>
      </w:r>
      <w:r>
        <w:t xml:space="preserve">среды, стимулирование инвестиционной активности, направленной на создание или модернизацию основных средств производственного и непроизводственного характера, происходит на основе максимального снижения административных и затратных барьеров при вступлении </w:t>
      </w:r>
      <w:r>
        <w:t>в бизнес и при его функционировании, содействие развитию конкуренции. На сегодня отношения между инвесторами и государством регулируются 14 законами Кемеровской области, среди которых основные «Об инновационной политике Кемеровской области», «О государстве</w:t>
      </w:r>
      <w:r>
        <w:t xml:space="preserve">нной поддержке инвестиционной, инновационной и производственной деятельности в Кемеровской области», «Об Инвестиционном фонде Кемеровской области» [6]. </w:t>
      </w:r>
    </w:p>
    <w:p w:rsidR="002C0F56" w:rsidRDefault="00E67C6E">
      <w:pPr>
        <w:spacing w:after="10"/>
        <w:ind w:left="994" w:right="586"/>
      </w:pPr>
      <w:r>
        <w:lastRenderedPageBreak/>
        <w:t>Региональные законы способствуют повышению инвестиционной привлекательности области, гарантируя инвесто</w:t>
      </w:r>
      <w:r>
        <w:t xml:space="preserve">рам снижение налога на прибыль с 18% до 13,5%; освобождение от налога на имущество организаций, а также снижение до 5% ставки налога при применении упрощенной системы налогообложения [7]. Действующим законодательством Кемеровской области предусматривается </w:t>
      </w:r>
      <w:r>
        <w:t xml:space="preserve">создание в регионе зон экономического благоприятствования типов: промышленнопроизводственного, агропромышленного, технико-внедренческого и туристско-рекреационного.  </w:t>
      </w:r>
    </w:p>
    <w:p w:rsidR="002C0F56" w:rsidRDefault="00E67C6E">
      <w:pPr>
        <w:spacing w:after="5"/>
        <w:ind w:left="994" w:right="588"/>
      </w:pPr>
      <w:r>
        <w:t>Таким образом, несмотря на существование объективных сложностей в развитии инвестиционно-</w:t>
      </w:r>
      <w:r>
        <w:t>инновационной деятельности в экономике Кемеровской области, привлечение иностранных инвестиций по-прежнему рассматривается как важный фактор формирования экономики знаний в ресурсодобывающем регионе. Поэтому в настоящее время на законодательном уровне прин</w:t>
      </w:r>
      <w:r>
        <w:t>имается достаточное количество постановлений и программ, способствующих развитию инвестиций в регионе, подтверждением чего будет являться развитие в регионе крупных инвестиционных проектов. В качестве успешного примера могут выступать такие крупные реализу</w:t>
      </w:r>
      <w:r>
        <w:t>ющиеся на территории области проекты крупных известных мировых компаний: «построены центры технической поддержки Komatsu (Япония, представитель – ООО «Комацу СНГ»), БелАЗ (Белоруссия, представитель – ООО «КузбассБелАвто»), продолжается создание сервисных ц</w:t>
      </w:r>
      <w:r>
        <w:t xml:space="preserve">ентров компаний Joy (США, представитель – ООО «Джой Глобал»), </w:t>
      </w:r>
    </w:p>
    <w:p w:rsidR="002C0F56" w:rsidRDefault="00E67C6E">
      <w:pPr>
        <w:ind w:left="994" w:right="302" w:firstLine="0"/>
      </w:pPr>
      <w:r>
        <w:t xml:space="preserve">Liebherr (Германия), предприятие по производству широкоформатной фанеры мощностью 60 тыс. куб. метров (ЗАО «АФК», совместно с Польшей)» [6].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84" w:hanging="10"/>
        <w:jc w:val="center"/>
      </w:pPr>
      <w:r>
        <w:t xml:space="preserve">Список литературы: </w:t>
      </w:r>
    </w:p>
    <w:p w:rsidR="002C0F56" w:rsidRDefault="00E67C6E">
      <w:pPr>
        <w:numPr>
          <w:ilvl w:val="0"/>
          <w:numId w:val="158"/>
        </w:numPr>
        <w:ind w:right="302"/>
      </w:pPr>
      <w:r>
        <w:t>«Положение о свободной эконом</w:t>
      </w:r>
      <w:r>
        <w:t xml:space="preserve">ической зоне в Кемеровской области (СЭЗ «Кузбасс»)» / Законодательная база Российской Федерации [Электронный ресурс]. – Режим доступа:  </w:t>
      </w:r>
      <w:hyperlink r:id="rId1057">
        <w:r>
          <w:t>http://zakonbase.ru/content/base/</w:t>
        </w:r>
      </w:hyperlink>
      <w:hyperlink r:id="rId1058">
        <w:r>
          <w:t>241/</w:t>
        </w:r>
      </w:hyperlink>
      <w:hyperlink r:id="rId1059">
        <w:r>
          <w:t xml:space="preserve"> </w:t>
        </w:r>
      </w:hyperlink>
    </w:p>
    <w:p w:rsidR="002C0F56" w:rsidRDefault="00E67C6E">
      <w:pPr>
        <w:numPr>
          <w:ilvl w:val="0"/>
          <w:numId w:val="158"/>
        </w:numPr>
        <w:ind w:right="302"/>
      </w:pPr>
      <w:r>
        <w:t xml:space="preserve">Итоги социально-экономического развития городского округа Кемерово за 2015 год [Электронный ресурс] – Режим доступа: </w:t>
      </w:r>
    </w:p>
    <w:p w:rsidR="002C0F56" w:rsidRDefault="00E67C6E">
      <w:pPr>
        <w:ind w:left="994" w:right="302" w:firstLine="0"/>
      </w:pPr>
      <w:hyperlink r:id="rId1060">
        <w:r>
          <w:t>http://www.kemerovo.ru/archive/file/2282/2015_.docx</w:t>
        </w:r>
      </w:hyperlink>
      <w:hyperlink r:id="rId1061">
        <w:r>
          <w:t xml:space="preserve"> </w:t>
        </w:r>
      </w:hyperlink>
    </w:p>
    <w:p w:rsidR="002C0F56" w:rsidRDefault="00E67C6E">
      <w:pPr>
        <w:numPr>
          <w:ilvl w:val="0"/>
          <w:numId w:val="158"/>
        </w:numPr>
        <w:ind w:right="302"/>
      </w:pPr>
      <w:r>
        <w:t>Национальное рейтинговое агентство [Электронный ресурс] – Режим доступа: http://www.ra-national.ru/ru/node/54</w:t>
      </w:r>
      <w:r>
        <w:t xml:space="preserve">733 </w:t>
      </w:r>
    </w:p>
    <w:p w:rsidR="002C0F56" w:rsidRDefault="00E67C6E">
      <w:pPr>
        <w:numPr>
          <w:ilvl w:val="0"/>
          <w:numId w:val="158"/>
        </w:numPr>
        <w:spacing w:after="5" w:line="268" w:lineRule="auto"/>
        <w:ind w:right="302"/>
      </w:pPr>
      <w:r>
        <w:t xml:space="preserve">Роль </w:t>
      </w:r>
      <w:r>
        <w:tab/>
        <w:t xml:space="preserve">иностранных </w:t>
      </w:r>
      <w:r>
        <w:tab/>
        <w:t xml:space="preserve">инвестиций </w:t>
      </w:r>
      <w:r>
        <w:tab/>
        <w:t xml:space="preserve">в </w:t>
      </w:r>
      <w:r>
        <w:tab/>
        <w:t xml:space="preserve">экономическом </w:t>
      </w:r>
      <w:r>
        <w:tab/>
        <w:t xml:space="preserve">развитии Кемеровской </w:t>
      </w:r>
      <w:r>
        <w:tab/>
        <w:t xml:space="preserve">Области </w:t>
      </w:r>
      <w:r>
        <w:tab/>
        <w:t xml:space="preserve">[Электронный </w:t>
      </w:r>
      <w:r>
        <w:tab/>
        <w:t xml:space="preserve">ресурс] </w:t>
      </w:r>
      <w:r>
        <w:tab/>
        <w:t xml:space="preserve">– </w:t>
      </w:r>
      <w:r>
        <w:tab/>
        <w:t xml:space="preserve">Режим </w:t>
      </w:r>
      <w:r>
        <w:tab/>
        <w:t xml:space="preserve">доступа: </w:t>
      </w:r>
      <w:hyperlink r:id="rId1062">
        <w:r>
          <w:t>http://science.</w:t>
        </w:r>
        <w:r>
          <w:t>kuzstu.ru/wp</w:t>
        </w:r>
      </w:hyperlink>
      <w:hyperlink r:id="rId1063">
        <w:r>
          <w:t>-</w:t>
        </w:r>
      </w:hyperlink>
    </w:p>
    <w:p w:rsidR="002C0F56" w:rsidRDefault="00E67C6E">
      <w:pPr>
        <w:ind w:left="994" w:right="302" w:firstLine="0"/>
      </w:pPr>
      <w:hyperlink r:id="rId1064">
        <w:r>
          <w:t>content/Events</w:t>
        </w:r>
        <w:r>
          <w:t>/Conference/RM/2015/RM15/pages/Articles/IEU/2/70.pdf</w:t>
        </w:r>
      </w:hyperlink>
      <w:hyperlink r:id="rId1065">
        <w:r>
          <w:t xml:space="preserve"> </w:t>
        </w:r>
      </w:hyperlink>
    </w:p>
    <w:p w:rsidR="002C0F56" w:rsidRDefault="00E67C6E">
      <w:pPr>
        <w:numPr>
          <w:ilvl w:val="0"/>
          <w:numId w:val="158"/>
        </w:numPr>
        <w:spacing w:after="15"/>
        <w:ind w:right="302"/>
      </w:pPr>
      <w:r>
        <w:t xml:space="preserve">Инвестиционный паспорт г.Кемерово - [электронный ресурс] – Режим доступа – URL: </w:t>
      </w:r>
    </w:p>
    <w:p w:rsidR="002C0F56" w:rsidRDefault="00E67C6E">
      <w:pPr>
        <w:ind w:left="994" w:right="302" w:firstLine="0"/>
      </w:pPr>
      <w:hyperlink r:id="rId1066">
        <w:r>
          <w:t>http://www.kemerovo.ru/archive/file/2027/invest_pasport_kemerovo.pdf</w:t>
        </w:r>
      </w:hyperlink>
      <w:hyperlink r:id="rId1067">
        <w:r>
          <w:t xml:space="preserve"> </w:t>
        </w:r>
      </w:hyperlink>
      <w:r>
        <w:t xml:space="preserve"> </w:t>
      </w:r>
    </w:p>
    <w:p w:rsidR="002C0F56" w:rsidRDefault="00E67C6E">
      <w:pPr>
        <w:numPr>
          <w:ilvl w:val="0"/>
          <w:numId w:val="158"/>
        </w:numPr>
        <w:ind w:right="302"/>
      </w:pPr>
      <w:r>
        <w:t>Об утверждении г</w:t>
      </w:r>
      <w:r>
        <w:t xml:space="preserve">осударственной программы Кемеровской области </w:t>
      </w:r>
    </w:p>
    <w:p w:rsidR="002C0F56" w:rsidRDefault="00E67C6E">
      <w:pPr>
        <w:ind w:left="994" w:right="302" w:firstLine="0"/>
      </w:pPr>
      <w:r>
        <w:t>«Экономическое развитие и инновационная экономика Кузбасса» на 2014-</w:t>
      </w:r>
    </w:p>
    <w:p w:rsidR="002C0F56" w:rsidRDefault="00E67C6E">
      <w:pPr>
        <w:tabs>
          <w:tab w:val="center" w:pos="1274"/>
          <w:tab w:val="center" w:pos="2443"/>
          <w:tab w:val="center" w:pos="4191"/>
          <w:tab w:val="center" w:pos="6121"/>
          <w:tab w:val="center" w:pos="7267"/>
          <w:tab w:val="center" w:pos="8336"/>
          <w:tab w:val="center" w:pos="9842"/>
        </w:tabs>
        <w:spacing w:after="12"/>
        <w:ind w:left="0" w:firstLine="0"/>
        <w:jc w:val="left"/>
      </w:pPr>
      <w:r>
        <w:rPr>
          <w:rFonts w:ascii="Calibri" w:eastAsia="Calibri" w:hAnsi="Calibri" w:cs="Calibri"/>
          <w:sz w:val="22"/>
        </w:rPr>
        <w:tab/>
      </w:r>
      <w:r>
        <w:t xml:space="preserve">2016 </w:t>
      </w:r>
      <w:r>
        <w:tab/>
        <w:t xml:space="preserve">годы </w:t>
      </w:r>
      <w:r>
        <w:tab/>
        <w:t xml:space="preserve">[Электронный </w:t>
      </w:r>
      <w:r>
        <w:tab/>
        <w:t xml:space="preserve">ресурс]. </w:t>
      </w:r>
      <w:r>
        <w:tab/>
        <w:t xml:space="preserve">– </w:t>
      </w:r>
      <w:r>
        <w:tab/>
        <w:t xml:space="preserve">Режим </w:t>
      </w:r>
      <w:r>
        <w:tab/>
        <w:t xml:space="preserve">доступа: </w:t>
      </w:r>
    </w:p>
    <w:p w:rsidR="002C0F56" w:rsidRDefault="00E67C6E">
      <w:pPr>
        <w:ind w:left="994" w:right="302" w:firstLine="0"/>
      </w:pPr>
      <w:r>
        <w:t xml:space="preserve">http://www.ofukem.ru/download/ako/PostN376ot130913.pdf </w:t>
      </w:r>
    </w:p>
    <w:p w:rsidR="002C0F56" w:rsidRDefault="00E67C6E">
      <w:pPr>
        <w:ind w:left="994" w:right="302"/>
      </w:pPr>
      <w:r>
        <w:t>7.</w:t>
      </w:r>
      <w:r>
        <w:rPr>
          <w:rFonts w:ascii="Arial" w:eastAsia="Arial" w:hAnsi="Arial" w:cs="Arial"/>
        </w:rPr>
        <w:t xml:space="preserve"> </w:t>
      </w:r>
      <w:r>
        <w:t xml:space="preserve">Электронный фонд. Экономическое развитие и инновационная экономика Кузбасса на 2014 - 2019 годы (с изменениями на: 13.02.2017) </w:t>
      </w:r>
    </w:p>
    <w:p w:rsidR="002C0F56" w:rsidRDefault="00E67C6E">
      <w:pPr>
        <w:spacing w:after="0"/>
        <w:ind w:left="994" w:right="302" w:firstLine="0"/>
      </w:pPr>
      <w:r>
        <w:t xml:space="preserve">[Электронный </w:t>
      </w:r>
      <w:r>
        <w:tab/>
        <w:t xml:space="preserve">ресурс] </w:t>
      </w:r>
      <w:r>
        <w:tab/>
        <w:t xml:space="preserve">– </w:t>
      </w:r>
      <w:r>
        <w:tab/>
        <w:t xml:space="preserve">Режим </w:t>
      </w:r>
      <w:r>
        <w:tab/>
        <w:t xml:space="preserve">доступа: http://docs.cntd.ru/document/412805057 </w:t>
      </w:r>
    </w:p>
    <w:p w:rsidR="002C0F56" w:rsidRDefault="00E67C6E">
      <w:pPr>
        <w:spacing w:after="0" w:line="259" w:lineRule="auto"/>
        <w:ind w:left="1558" w:firstLine="0"/>
        <w:jc w:val="left"/>
      </w:pPr>
      <w:r>
        <w:t xml:space="preserve"> </w:t>
      </w:r>
    </w:p>
    <w:p w:rsidR="002C0F56" w:rsidRDefault="00E67C6E">
      <w:pPr>
        <w:spacing w:after="29" w:line="259" w:lineRule="auto"/>
        <w:ind w:left="1558" w:firstLine="0"/>
        <w:jc w:val="left"/>
      </w:pPr>
      <w:r>
        <w:t xml:space="preserve"> </w:t>
      </w:r>
    </w:p>
    <w:p w:rsidR="002C0F56" w:rsidRDefault="00E67C6E">
      <w:pPr>
        <w:spacing w:after="25" w:line="259" w:lineRule="auto"/>
        <w:ind w:left="10" w:right="308" w:hanging="10"/>
        <w:jc w:val="right"/>
      </w:pPr>
      <w:r>
        <w:rPr>
          <w:b/>
        </w:rPr>
        <w:t xml:space="preserve">Минина А. И., Пинчук Т. А. </w:t>
      </w:r>
    </w:p>
    <w:p w:rsidR="002C0F56" w:rsidRDefault="00E67C6E">
      <w:pPr>
        <w:spacing w:after="11" w:line="270" w:lineRule="auto"/>
        <w:ind w:left="10" w:right="312" w:hanging="10"/>
        <w:jc w:val="right"/>
      </w:pPr>
      <w:r>
        <w:t xml:space="preserve">Научный руководитель: Кулакова Н. Л. </w:t>
      </w:r>
    </w:p>
    <w:p w:rsidR="002C0F56" w:rsidRDefault="00E67C6E">
      <w:pPr>
        <w:spacing w:after="0" w:line="267" w:lineRule="auto"/>
        <w:ind w:left="905" w:right="310" w:hanging="10"/>
        <w:jc w:val="right"/>
      </w:pPr>
      <w:r>
        <w:rPr>
          <w:i/>
        </w:rPr>
        <w:t xml:space="preserve">Полесский государственный университет </w:t>
      </w:r>
    </w:p>
    <w:p w:rsidR="002C0F56" w:rsidRDefault="00E67C6E">
      <w:pPr>
        <w:spacing w:after="0" w:line="259" w:lineRule="auto"/>
        <w:ind w:left="1558" w:firstLine="0"/>
        <w:jc w:val="left"/>
      </w:pPr>
      <w:r>
        <w:t xml:space="preserve"> </w:t>
      </w:r>
    </w:p>
    <w:p w:rsidR="002C0F56" w:rsidRDefault="00E67C6E">
      <w:pPr>
        <w:pStyle w:val="1"/>
        <w:spacing w:after="15" w:line="271" w:lineRule="auto"/>
        <w:ind w:left="1184" w:right="0"/>
        <w:jc w:val="left"/>
      </w:pPr>
      <w:r>
        <w:t xml:space="preserve">ОСОБО ОХРАНЯЕМЫЕ ПРИРОДНЫЕ ТЕРРИТОРИИ РЕСПУБЛИКИ </w:t>
      </w:r>
    </w:p>
    <w:p w:rsidR="002C0F56" w:rsidRDefault="00E67C6E">
      <w:pPr>
        <w:pStyle w:val="1"/>
        <w:ind w:left="700" w:right="3"/>
      </w:pPr>
      <w:r>
        <w:t xml:space="preserve">БЕЛАРУСЬ: ПРОБЛЕМЫ И ПУТИ ИХ РЕШЕНИЯ </w:t>
      </w:r>
    </w:p>
    <w:p w:rsidR="002C0F56" w:rsidRDefault="00E67C6E">
      <w:pPr>
        <w:spacing w:after="0" w:line="259" w:lineRule="auto"/>
        <w:ind w:left="1558" w:firstLine="0"/>
        <w:jc w:val="left"/>
      </w:pPr>
      <w:r>
        <w:rPr>
          <w:b/>
        </w:rPr>
        <w:t xml:space="preserve"> </w:t>
      </w:r>
    </w:p>
    <w:p w:rsidR="002C0F56" w:rsidRDefault="00E67C6E">
      <w:pPr>
        <w:spacing w:after="2"/>
        <w:ind w:left="994" w:right="302"/>
      </w:pPr>
      <w:r>
        <w:t xml:space="preserve">Человек и природа образуют непрерывное, жизненное единство. Окружающая среда - </w:t>
      </w:r>
      <w:r>
        <w:t>естественное условие существования человека, так и умение познавать законы природы и правильно их использовать - источник неисчерпаемости её ресурсов. Интенсивная эксплуатация природных богатств привела к необходимости создания особо охраняемых природных т</w:t>
      </w:r>
      <w:r>
        <w:t>ерриторий (ООПТ). Если не принимать своевременных, эффективных мер, можно нанести непоправимый вред природе, а значит, и человеку. Уважительное, заботливое отношение к природе, ко всему живому на земле должно стать личным убеждением, нормой для каждого чел</w:t>
      </w:r>
      <w:r>
        <w:t xml:space="preserve">овека. </w:t>
      </w:r>
    </w:p>
    <w:p w:rsidR="002C0F56" w:rsidRDefault="00E67C6E">
      <w:pPr>
        <w:spacing w:after="10"/>
        <w:ind w:left="994" w:right="302"/>
      </w:pPr>
      <w:r>
        <w:t>На современном этапе растёт значимость и актуальность решения проблем экологического просвещения населения, организации туризма, отдыха и иной рекреационной деятельности, а также сохранения историко-культурных ценностей и осуществления хозяйственно</w:t>
      </w:r>
      <w:r>
        <w:t xml:space="preserve">й деятельности в соответствии с установленным режимом охраны и использования национального парка. </w:t>
      </w:r>
    </w:p>
    <w:p w:rsidR="002C0F56" w:rsidRDefault="00E67C6E">
      <w:pPr>
        <w:spacing w:after="0"/>
        <w:ind w:left="994" w:right="302"/>
      </w:pPr>
      <w:r>
        <w:t>Важная роль в сохранении биологического и ландшафтного разнообразия в Беларуси принадлежит особо охраняемым природным территориям. В соответствии с Законом Р</w:t>
      </w:r>
      <w:r>
        <w:t xml:space="preserve">еспублики Беларусь от 20 октября 1994 г. «Об особо охраняемых природных территориях». ООПТ представляют собой часть территории Республики Беларусь с уникальными, эталонными или иными ценными природными комплексами и объектами, имеющими особое </w:t>
      </w:r>
      <w:r>
        <w:lastRenderedPageBreak/>
        <w:t>экологическое</w:t>
      </w:r>
      <w:r>
        <w:t xml:space="preserve">, научное и (или) эстетическое значение, в отношении которых установлен особый режим охраны и использования.  </w:t>
      </w:r>
    </w:p>
    <w:p w:rsidR="002C0F56" w:rsidRDefault="00E67C6E">
      <w:pPr>
        <w:ind w:left="994" w:right="302"/>
      </w:pPr>
      <w:r>
        <w:t>С учетом положений Национальной стратегии развития и управления системой природоохранных территорий и Схемы рационального размещения особо охраня</w:t>
      </w:r>
      <w:r>
        <w:t>емых природных территорий до 1 января 2030 г. Минприроды разработана Государственная программа развития системы особо охраняемых природных территорий на 2015–2019 гг., реализация которой позволит обеспечить формирование эффективно функционирующей системы О</w:t>
      </w:r>
      <w:r>
        <w:t xml:space="preserve">ОПТ с целью сохранения в естественном состоянии экологических систем, биологического и ландшафтного разнообразия [1]. </w:t>
      </w:r>
    </w:p>
    <w:p w:rsidR="002C0F56" w:rsidRDefault="00E67C6E">
      <w:pPr>
        <w:ind w:left="994" w:right="302"/>
      </w:pPr>
      <w:r>
        <w:t>По своим функциям и режимам охраны эти территории подразделяются на следующие категории: заповедник; национальный парк; заказник; памятни</w:t>
      </w:r>
      <w:r>
        <w:t xml:space="preserve">к природы.  </w:t>
      </w:r>
    </w:p>
    <w:p w:rsidR="002C0F56" w:rsidRDefault="00E67C6E">
      <w:pPr>
        <w:spacing w:after="10"/>
        <w:ind w:left="994" w:right="302"/>
      </w:pPr>
      <w:r>
        <w:t>В настоящее время в Беларуси функционирует 1 заповедник – Березинский биосферный заповедник, 4 национальных парка – Беловежская пуща, Припятский, Браславские озёра и Нарочанский, заказники, а также памятники природы республиканского и местного</w:t>
      </w:r>
      <w:r>
        <w:t xml:space="preserve"> значения, площадь и количество которых по годам изменяется. </w:t>
      </w:r>
    </w:p>
    <w:p w:rsidR="002C0F56" w:rsidRDefault="00E67C6E">
      <w:pPr>
        <w:ind w:left="994" w:right="302"/>
      </w:pPr>
      <w:r>
        <w:t xml:space="preserve">Березинский биосферный заповедник расположен на севере республики в Белорусском Поозерье, на границе Витебской и Минской областей. </w:t>
      </w:r>
      <w:r>
        <w:rPr>
          <w:i/>
        </w:rPr>
        <w:t xml:space="preserve"> </w:t>
      </w:r>
    </w:p>
    <w:p w:rsidR="002C0F56" w:rsidRDefault="00E67C6E">
      <w:pPr>
        <w:ind w:left="994" w:right="302"/>
      </w:pPr>
      <w:r>
        <w:t>Березинский заповедник представляет собой уникальное природно</w:t>
      </w:r>
      <w:r>
        <w:t>е наследие Беларуси и Европы. Его площадь составляет 85,2 тыс. га, был создан в 1925 году с целью сохранения типичных и уникальных природно-ландшафтных комплексов подзоны широколиственно-еловых подтаежных лесов, изучения в них естественных процессов и явле</w:t>
      </w:r>
      <w:r>
        <w:t xml:space="preserve">ний, разработки научных основ охраны природы и экологического просвещения. Статус государственного заповедника был получен в 1959-м, а в списке ЮНЕСКО он числится с 1979 года, также значится как один из первых биосферных заповедников. </w:t>
      </w:r>
    </w:p>
    <w:p w:rsidR="002C0F56" w:rsidRDefault="00E67C6E">
      <w:pPr>
        <w:spacing w:after="0"/>
        <w:ind w:left="994" w:right="302"/>
      </w:pPr>
      <w:r>
        <w:t>Научно-исследователь</w:t>
      </w:r>
      <w:r>
        <w:t>ская деятельность заповедника заключается в проведении стационарных круглогодичных исследований, направленных на изучение природных комплексов и динамики природных процессов для оценки и прогноза состояния экосистем, объектов животного и растительного мира</w:t>
      </w:r>
      <w:r>
        <w:t xml:space="preserve">, разработки научных основ охраны природы и сохранения биологического разнообразия. </w:t>
      </w:r>
    </w:p>
    <w:p w:rsidR="002C0F56" w:rsidRDefault="00E67C6E">
      <w:pPr>
        <w:spacing w:after="9"/>
        <w:ind w:left="994" w:right="302"/>
      </w:pPr>
      <w:r>
        <w:t xml:space="preserve">Особое внимание уделяется слежению за состоянием численности редких в Европе и Беларуси видов животных и растений, разрабатываются меры по их охране [2, с. 51]. </w:t>
      </w:r>
    </w:p>
    <w:p w:rsidR="002C0F56" w:rsidRDefault="00E67C6E">
      <w:pPr>
        <w:spacing w:after="3"/>
        <w:ind w:left="994" w:right="302"/>
      </w:pPr>
      <w:r>
        <w:t>Государст</w:t>
      </w:r>
      <w:r>
        <w:t xml:space="preserve">венный Национальный парк «Беловежская пуща», расположенный на территории Республики Беларусь, представляет собой </w:t>
      </w:r>
      <w:r>
        <w:lastRenderedPageBreak/>
        <w:t xml:space="preserve">единый природный комплекс с Беловежским национальным парком Республики Польша. Площадь Беловежской пущи составляет около 163,5 га. </w:t>
      </w:r>
    </w:p>
    <w:p w:rsidR="002C0F56" w:rsidRDefault="00E67C6E">
      <w:pPr>
        <w:ind w:left="994" w:right="302"/>
      </w:pPr>
      <w:r>
        <w:t>В 1992 г. р</w:t>
      </w:r>
      <w:r>
        <w:t xml:space="preserve">ешением ЮНЕСКО Беловежская пуща включена в Список всемирного культурного и природного наследия, в 1993 г. ей присвоен статус биосферного заповедника, а в 1998 г. – статус ключевой орнитологической территории международного значения. </w:t>
      </w:r>
    </w:p>
    <w:p w:rsidR="002C0F56" w:rsidRDefault="00E67C6E">
      <w:pPr>
        <w:spacing w:after="0"/>
        <w:ind w:left="994" w:right="302"/>
      </w:pPr>
      <w:r>
        <w:t xml:space="preserve">Беловежская пуща - </w:t>
      </w:r>
      <w:r>
        <w:t>особенный лесной массив Европы, где сохранились последние крупные остатки некогда обширных девственных лесов с присутствием реликтовых растений и животных, прежде всего зубра. Основной целью является сохранение уникального природного комплекса, типичного д</w:t>
      </w:r>
      <w:r>
        <w:t xml:space="preserve">ля Республики Беларусь и Европы, и обеспечение естественных процессов эволюции. </w:t>
      </w:r>
    </w:p>
    <w:p w:rsidR="002C0F56" w:rsidRDefault="00E67C6E">
      <w:pPr>
        <w:spacing w:after="0"/>
        <w:ind w:left="994" w:right="302"/>
      </w:pPr>
      <w:r>
        <w:t xml:space="preserve">Деятельность Национального парка направлена на: сохранение природного наследия Беловежской пущи в его естественном виде; развитие рекреационной и туристической деятельности в </w:t>
      </w:r>
      <w:r>
        <w:t>регионе Беловежской пущи на устойчивой основе; развитие научных исследований эталонных лесных и болотных экосистем и их компонентов; формирование экологического сознания и бережного отношения к природе у заинтересованных сторон, в том числе у местных жител</w:t>
      </w:r>
      <w:r>
        <w:t xml:space="preserve">ей и посетителей Национального парка; совершенствование методов неистощительного использования ресурсов экосистем Беловежской пущи и их внедрение в практику в интересах местного населения [2]. </w:t>
      </w:r>
    </w:p>
    <w:p w:rsidR="002C0F56" w:rsidRDefault="00E67C6E">
      <w:pPr>
        <w:spacing w:after="5" w:line="268" w:lineRule="auto"/>
        <w:ind w:left="994" w:right="293" w:firstLine="554"/>
        <w:jc w:val="left"/>
      </w:pPr>
      <w:r>
        <w:t xml:space="preserve">Ещё один национальный парк расположен на юге Беларуси в самом </w:t>
      </w:r>
      <w:r>
        <w:t xml:space="preserve">центре Белорусского Полесья. Полесье – это удивительный край низин и равнин, лесов и болот, пронизанных многочисленными реками, речками и ручьями, медленно несущими свои воды в Припять и в Днепр, впадающий в Чёрное море. </w:t>
      </w:r>
    </w:p>
    <w:p w:rsidR="002C0F56" w:rsidRDefault="00E67C6E">
      <w:pPr>
        <w:spacing w:after="0"/>
        <w:ind w:left="994" w:right="302"/>
      </w:pPr>
      <w:r>
        <w:t>В 1969 году с целью сохранения в е</w:t>
      </w:r>
      <w:r>
        <w:t>стественном состоянии уникального для Белорусского Полесья ландшафта и изучения на его базе изменений в природе в связи с осушением земель Полесской низменности, а в 1996 г. он был преобразован в Национальный парк «Припятский». Площадь парка в настоящее вр</w:t>
      </w:r>
      <w:r>
        <w:t xml:space="preserve">емя составляет 86,6 тыс. га. </w:t>
      </w:r>
    </w:p>
    <w:p w:rsidR="002C0F56" w:rsidRDefault="00E67C6E">
      <w:pPr>
        <w:spacing w:after="0"/>
        <w:ind w:left="994" w:right="302"/>
      </w:pPr>
      <w:r>
        <w:t>Деятельность национального парка обширна: осуществление охранных мероприятий по соблюдению природоохранного законодательства на особо охраняемых природных территориях и других лесных массивах; ведение лесного хозяйства; дерево</w:t>
      </w:r>
      <w:r>
        <w:t>обрабатывающее производство на основе высокопроизводительных и качественных технологий; развитие сельскохозяйственной деятельности; функционирование торговых точек с цехами переработки сельхозпродукции; осуществление туристической деятельности с привлечени</w:t>
      </w:r>
      <w:r>
        <w:t xml:space="preserve">ем иностранных граждан; ведение охотничьего хозяйства и рыбохозяйственной деятельности с проведением мероприятий по воспроизводству животного мира, внешнеэкономическая деятельность. </w:t>
      </w:r>
    </w:p>
    <w:p w:rsidR="002C0F56" w:rsidRDefault="00E67C6E">
      <w:pPr>
        <w:ind w:left="994" w:right="302"/>
      </w:pPr>
      <w:r>
        <w:lastRenderedPageBreak/>
        <w:t>Важное значение также имеет национальный парк «Нарочанский», который охва</w:t>
      </w:r>
      <w:r>
        <w:t xml:space="preserve">тывает северо-западную часть Минской области, западную часть Витебской и северную часть Гродненской области и занимает площадь в 97,3 тыс. га. Он был создан 28 июля 1999 года в целях сохранения уникальных природных комплексов, более полного и эффективного </w:t>
      </w:r>
      <w:r>
        <w:t xml:space="preserve">использования рекреационных возможностей природных ресурсов Мядельского района. </w:t>
      </w:r>
    </w:p>
    <w:p w:rsidR="002C0F56" w:rsidRDefault="00E67C6E">
      <w:pPr>
        <w:ind w:left="994" w:right="302"/>
      </w:pPr>
      <w:r>
        <w:t>Научно-исследовательская деятельность на территории национального парка ведётся по различным направлениям: изучение биоразнообразия, выявление популяций редких и охраняемых ви</w:t>
      </w:r>
      <w:r>
        <w:t>дов, разработка и реализация мер по их сохранности; геоботанические исследования; комплексный мониторинг экосистем; гидроэкология; разработка и актуализация геоинформационной системы; формироване базы данных "Летопись природы"; научное сопровождение турист</w:t>
      </w:r>
      <w:r>
        <w:t xml:space="preserve">ско-экскурсионной деятельности; нормирование рекреационных нагрузок; разработка плана управления особо охраняемой природной территории. </w:t>
      </w:r>
    </w:p>
    <w:p w:rsidR="002C0F56" w:rsidRDefault="00E67C6E">
      <w:pPr>
        <w:spacing w:after="5"/>
        <w:ind w:left="994" w:right="302"/>
      </w:pPr>
      <w:r>
        <w:t>Ещё одна природная жемчужина Беларуси – Национальный парк «Браславские озёра», который расположен на северо-западе стра</w:t>
      </w:r>
      <w:r>
        <w:t xml:space="preserve">ны на территории Браславского административного района Витебской области. Он был создан в 1995 году в целях сохранения природного комплекса Браславской группы озёр и генетического фонда растительности и животного мира и занимает около 70 тыс. га. </w:t>
      </w:r>
    </w:p>
    <w:p w:rsidR="002C0F56" w:rsidRDefault="00E67C6E">
      <w:pPr>
        <w:spacing w:after="0"/>
        <w:ind w:left="994" w:right="302"/>
      </w:pPr>
      <w:r>
        <w:t>Приорите</w:t>
      </w:r>
      <w:r>
        <w:t xml:space="preserve">тными направлениями научной деятельности являются:  рациональное использование, воспроизводство и охрана ресурсов животного и растительного мира, изучение их биологического разнообразия; сохранение видов дикорастущих растений и диких животных, находящихся </w:t>
      </w:r>
      <w:r>
        <w:t>под угрозой исчезновения в условиях естественного произрастания/обитания; восстановление ключевых экосистем, являющихся местами обитания редких и исчезающих видов, которые в настоящее время подвержены деградации и зарастанию, путем реализации проектов и во</w:t>
      </w:r>
      <w:r>
        <w:t xml:space="preserve">сстановления традиционных режимов ведения хозяйства; снижение опасности распространения чужеродных агрессивных видов; развитие и обеспечение функционирования эффективной системы мониторинга экосистем и важнейших компонентов животного и растительного мира; </w:t>
      </w:r>
      <w:r>
        <w:t>научное обеспечение развития экологического просвещения и экологического туризма на основе разработки экологотуристических троп и маршрутов и оценки степени антропогенного воздействия и рекреационной нагрузки на природные комплексы; обеспечение надлежащего</w:t>
      </w:r>
      <w:r>
        <w:t xml:space="preserve"> санитарного состояния и безопасных эпидемиологических условий для развития туристической и рекреационной деятельности [3, с. 105]. </w:t>
      </w:r>
    </w:p>
    <w:p w:rsidR="002C0F56" w:rsidRDefault="00E67C6E">
      <w:pPr>
        <w:spacing w:after="0"/>
        <w:ind w:left="994" w:right="302"/>
      </w:pPr>
      <w:r>
        <w:t xml:space="preserve">Государственное управление в области особо охраняемых природных территорий осуществляется Президентом Республики Беларусь, </w:t>
      </w:r>
      <w:r>
        <w:t xml:space="preserve">Советом Министров Республики Беларусь, Министерством природных ресурсов и охраны </w:t>
      </w:r>
      <w:r>
        <w:lastRenderedPageBreak/>
        <w:t>окружающей среды и его территориальными органами, местными исполнительными и распорядительными органами и другими уполномоченными государственными органами в пределах их компе</w:t>
      </w:r>
      <w:r>
        <w:t xml:space="preserve">тенции. </w:t>
      </w:r>
    </w:p>
    <w:p w:rsidR="002C0F56" w:rsidRDefault="00E67C6E">
      <w:pPr>
        <w:spacing w:after="0"/>
        <w:ind w:left="994" w:right="302"/>
      </w:pPr>
      <w:r>
        <w:t>Несмотря на широкую деятельность, проводимую на всех государственных уровнях социальной экологизации, внедрения программ по защите и охране окружающей среды, имеются недостатки в организации особо охраняемых природных территорий. Можно выделить сл</w:t>
      </w:r>
      <w:r>
        <w:t xml:space="preserve">едующие основные направления, требующие решения проблем: </w:t>
      </w:r>
    </w:p>
    <w:p w:rsidR="002C0F56" w:rsidRDefault="00E67C6E">
      <w:pPr>
        <w:spacing w:after="11"/>
        <w:ind w:left="994" w:right="302"/>
      </w:pPr>
      <w:r>
        <w:t xml:space="preserve">Необходимо завершение процесса формирования национальной экологической сети и обеспечение ее эффективного функционирования, в том числе путем восстановления нарушенных элементов. </w:t>
      </w:r>
    </w:p>
    <w:p w:rsidR="002C0F56" w:rsidRDefault="00E67C6E">
      <w:pPr>
        <w:spacing w:after="10"/>
        <w:ind w:left="994" w:right="302"/>
      </w:pPr>
      <w:r>
        <w:t>В целях поддержани</w:t>
      </w:r>
      <w:r>
        <w:t>я в стране благоприятной экологической обстановки, обеспечения водного питания рек и озер, сохранения редких и находящихся под угрозой исчезновения видов диких животных и (или) дикорастущих растений, развития экологического туризма необходимо обеспечить со</w:t>
      </w:r>
      <w:r>
        <w:t xml:space="preserve">хранение естественных или слабо измененных болотных экологических систем. </w:t>
      </w:r>
    </w:p>
    <w:p w:rsidR="002C0F56" w:rsidRDefault="00E67C6E">
      <w:pPr>
        <w:spacing w:after="4"/>
        <w:ind w:left="994" w:right="302"/>
      </w:pPr>
      <w:r>
        <w:t>В связи с изменениями климата участились случаи проявления таких стихийных природных явлений, как засухи и ураганы, что приводит к увеличению риска возникновения пожаров, активизаци</w:t>
      </w:r>
      <w:r>
        <w:t>и вредителей и болезней леса, распространению инвазивных чужеродных видов дикорастущих растений и диких животных. По-прежнему интенсивно протекают процессы зарастания открытых лугов и низинных болот древесно-кустарниковой растительностью, утрата которых пр</w:t>
      </w:r>
      <w:r>
        <w:t xml:space="preserve">иводит к исчезновению связанных с ними видов растений и животных, что требует регулирования хозяйственной деятельности на данной территории. </w:t>
      </w:r>
    </w:p>
    <w:p w:rsidR="002C0F56" w:rsidRDefault="00E67C6E">
      <w:pPr>
        <w:spacing w:after="2"/>
        <w:ind w:left="994" w:right="302"/>
      </w:pPr>
      <w:r>
        <w:t>В настоящее время не в полной мере используются рекреационные и туристические ресурсы заказников, перспективных дл</w:t>
      </w:r>
      <w:r>
        <w:t xml:space="preserve">я развития туристической деятельности. По-прежнему недостаточное участие в развитии туризма на особо охраняемых природных территориях принимает местное население. Требуется более тесное взаимодействие между государственными природоохранными учреждениями и </w:t>
      </w:r>
      <w:r>
        <w:t xml:space="preserve">профессиональными участниками рынка туристических услуг [4]. </w:t>
      </w:r>
    </w:p>
    <w:p w:rsidR="002C0F56" w:rsidRDefault="00E67C6E">
      <w:pPr>
        <w:spacing w:after="0"/>
        <w:ind w:left="994" w:right="302"/>
      </w:pPr>
      <w:r>
        <w:t xml:space="preserve">Сейчас особо охраняемые природные территории переживают тяжелый период. Отсутствие информации о деятельности заповедников и национальных парков, недостаточность их финансирования, недопонимание </w:t>
      </w:r>
      <w:r>
        <w:t>обществом их решающей роли в сохранении ландшафтного и биологического разнообразия угрожают самому существованию ООПТ. Общество и органы государственной власти должны проявить внимание к заповедникам, национальным паркам, памятникам природы и оказать всеме</w:t>
      </w:r>
      <w:r>
        <w:t xml:space="preserve">рную материальную и практическую помощь особо охраняемым природным территориям.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lastRenderedPageBreak/>
        <w:t xml:space="preserve">Список литературы: </w:t>
      </w:r>
    </w:p>
    <w:p w:rsidR="002C0F56" w:rsidRDefault="00E67C6E">
      <w:pPr>
        <w:numPr>
          <w:ilvl w:val="0"/>
          <w:numId w:val="159"/>
        </w:numPr>
        <w:ind w:right="302"/>
      </w:pPr>
      <w:r>
        <w:t>Об утверждении Государственной программы развития системы особо охраняемых природных территорий на 2015 — 20</w:t>
      </w:r>
      <w:r>
        <w:t xml:space="preserve">19 годы: Указ Президента Респ. Беларусь, 24 июля 2014 г., №367 // Эталон – Беларусь [Электронный ресурс] / Нац. центр правовой информ. Респ. Беларусь. – Минск, 2015. </w:t>
      </w:r>
    </w:p>
    <w:p w:rsidR="002C0F56" w:rsidRDefault="00E67C6E">
      <w:pPr>
        <w:numPr>
          <w:ilvl w:val="0"/>
          <w:numId w:val="159"/>
        </w:numPr>
        <w:ind w:right="302"/>
      </w:pPr>
      <w:r>
        <w:t>Природные особенности национальных парков и Березинского биосферного заповедника в Белару</w:t>
      </w:r>
      <w:r>
        <w:t xml:space="preserve">си: научно-популярная литература / Е. И. Галай. – Минск: Белорусская ассоциация «Конкурс», 2015. – 96 с.  </w:t>
      </w:r>
    </w:p>
    <w:p w:rsidR="002C0F56" w:rsidRDefault="00E67C6E">
      <w:pPr>
        <w:numPr>
          <w:ilvl w:val="0"/>
          <w:numId w:val="159"/>
        </w:numPr>
        <w:ind w:right="302"/>
      </w:pPr>
      <w:r>
        <w:t>Особо охраняемые природные территории Беларуси. Справочник: справочное издание / Национальная академия наук Беларуси, Государственное научно-производ</w:t>
      </w:r>
      <w:r>
        <w:t xml:space="preserve">ственное объединение «Научно-практический центр НАН Беларуси по биоресурсам»; авт.–сост. Н. А. Юргенсон [и др.]. – Минск: ГНПО «НПЦ НАН Беларуси по биоресурсам», 2012. – 204 с. </w:t>
      </w:r>
    </w:p>
    <w:p w:rsidR="002C0F56" w:rsidRDefault="00E67C6E">
      <w:pPr>
        <w:numPr>
          <w:ilvl w:val="0"/>
          <w:numId w:val="159"/>
        </w:numPr>
        <w:spacing w:after="15"/>
        <w:ind w:right="302"/>
      </w:pPr>
      <w:r>
        <w:t xml:space="preserve">Национальная стратегия развития системы особо охраняемых природных территорий </w:t>
      </w:r>
      <w:r>
        <w:t xml:space="preserve">до 1 января 2030 г.: Постановление Совета Министров Респ. Беларусь, 2 июля 2014 г., №649 // Government.by [Электронный ресурс] / Совет Министров Респ. Беларусь. – Дата доступа: 18.04.2017.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11"/>
        <w:ind w:left="4794" w:right="308"/>
        <w:jc w:val="right"/>
      </w:pPr>
      <w:r>
        <w:t xml:space="preserve">Моисеенко И.В.  </w:t>
      </w:r>
      <w:r>
        <w:rPr>
          <w:b w:val="0"/>
        </w:rPr>
        <w:t>Научный руководитель: Стасюк Н.В., к.э.н., доц</w:t>
      </w:r>
      <w:r>
        <w:rPr>
          <w:b w:val="0"/>
        </w:rPr>
        <w:t xml:space="preserve">.  </w:t>
      </w:r>
    </w:p>
    <w:p w:rsidR="002C0F56" w:rsidRDefault="00E67C6E">
      <w:pPr>
        <w:spacing w:after="0" w:line="267" w:lineRule="auto"/>
        <w:ind w:left="905" w:right="306" w:hanging="10"/>
        <w:jc w:val="right"/>
      </w:pPr>
      <w:r>
        <w:rPr>
          <w:i/>
        </w:rPr>
        <w:t xml:space="preserve">Макеевский экономико-гуманитарный институт </w:t>
      </w:r>
    </w:p>
    <w:p w:rsidR="002C0F56" w:rsidRDefault="00E67C6E">
      <w:pPr>
        <w:spacing w:after="30" w:line="259" w:lineRule="auto"/>
        <w:ind w:left="1558" w:firstLine="0"/>
        <w:jc w:val="left"/>
      </w:pPr>
      <w:r>
        <w:t xml:space="preserve"> </w:t>
      </w:r>
    </w:p>
    <w:p w:rsidR="002C0F56" w:rsidRDefault="00E67C6E">
      <w:pPr>
        <w:pStyle w:val="1"/>
        <w:spacing w:after="15" w:line="271" w:lineRule="auto"/>
        <w:ind w:left="1590" w:right="0"/>
        <w:jc w:val="left"/>
      </w:pPr>
      <w:r>
        <w:t xml:space="preserve">ПРИНЯТИЕ РЕШЕНИЙ В УСЛОВИЯХ НЕОПРЕДЕЛЕННОСТИ </w:t>
      </w:r>
    </w:p>
    <w:p w:rsidR="002C0F56" w:rsidRDefault="00E67C6E">
      <w:pPr>
        <w:spacing w:after="0" w:line="259" w:lineRule="auto"/>
        <w:ind w:left="1558" w:firstLine="0"/>
        <w:jc w:val="left"/>
      </w:pPr>
      <w:r>
        <w:rPr>
          <w:b/>
        </w:rPr>
        <w:t xml:space="preserve"> </w:t>
      </w:r>
    </w:p>
    <w:p w:rsidR="002C0F56" w:rsidRDefault="00E67C6E">
      <w:pPr>
        <w:spacing w:after="2"/>
        <w:ind w:left="994" w:right="302"/>
      </w:pPr>
      <w:r>
        <w:t>Большинство решений, касающееся стратегии компании, относится к долговременному периоду, поэтому,  особую актуальность приобретает проблема принятия решений в условиях неопределенности [4]. Существуют различия между теорией и практикой в принятии решений в</w:t>
      </w:r>
      <w:r>
        <w:t xml:space="preserve"> условиях неопределенности. В основном, они касаются методов принятия решений: математически-аналитических, интуитивных или основанных на опыте лица, принимающего решение. </w:t>
      </w:r>
    </w:p>
    <w:p w:rsidR="002C0F56" w:rsidRDefault="00E67C6E">
      <w:pPr>
        <w:spacing w:after="0"/>
        <w:ind w:left="994" w:right="302"/>
      </w:pPr>
      <w:r>
        <w:t>Так же особого внимания заслуживает различие понятий риска и неопределенностью, мне</w:t>
      </w:r>
      <w:r>
        <w:t xml:space="preserve">ния ученых по этому поводу также расходятся. Наиболее актуальными, по нашему мнению, являются вопросы разработки решения, поэтому целью данного исследования является изучение методологии разработки управленческих решений в условиях неопределенности.  </w:t>
      </w:r>
    </w:p>
    <w:p w:rsidR="002C0F56" w:rsidRDefault="00E67C6E">
      <w:pPr>
        <w:spacing w:after="0"/>
        <w:ind w:left="994" w:right="302"/>
      </w:pPr>
      <w:r>
        <w:t>В хо</w:t>
      </w:r>
      <w:r>
        <w:t xml:space="preserve">зяйственных организациях руководителям различного уровня часто приходится разрабатывать управленческие решения в условиях недостаточной информации, при этом результаты принятия решений не всегда соответствуют </w:t>
      </w:r>
      <w:r>
        <w:lastRenderedPageBreak/>
        <w:t>запланированным. В таких случаях ссылаются на н</w:t>
      </w:r>
      <w:r>
        <w:t xml:space="preserve">епредвиденные неопределенности или риски. </w:t>
      </w:r>
    </w:p>
    <w:p w:rsidR="002C0F56" w:rsidRDefault="00E67C6E">
      <w:pPr>
        <w:spacing w:after="10"/>
        <w:ind w:left="994" w:right="302"/>
      </w:pPr>
      <w:r>
        <w:t>В экономической теории неопределенность чаще всего считалась изначально характерной реальной среде функционирования экономической системы [4]. Одним из немногих случаев использования неопределенности для объяснени</w:t>
      </w:r>
      <w:r>
        <w:t>я экономических явлений экономистами-теоретиками можно считать трактовку феномена прибыли американским ученым Ф. Найтом. В своей работе «Риск, неопределенность и прибыль» использовал разграничение между двумя видами риска, назвав непредсказуемый риск «неоп</w:t>
      </w:r>
      <w:r>
        <w:t>ределенностью». Предсказуемый риск — это просчитываемая вероятность неудачи, которая поддается оценке и страхованию, а неопределенность — это состояние полного отсутствия какой-либо информации о возможном будущем, и эта неопределенность не может быть застр</w:t>
      </w:r>
      <w:r>
        <w:t xml:space="preserve">ахована. </w:t>
      </w:r>
    </w:p>
    <w:p w:rsidR="002C0F56" w:rsidRDefault="00E67C6E">
      <w:pPr>
        <w:spacing w:after="0"/>
        <w:ind w:left="994" w:right="302"/>
      </w:pPr>
      <w:r>
        <w:t>По мнению Ф. Найта [3], прибыль предпринимателя является платой именно за действия в условиях неопределенности. Эта прибыль никак не связана с объемом вложений в производство, с уровнем технологий и т.д. Она целиком зависит от деловых способносте</w:t>
      </w:r>
      <w:r>
        <w:t>й экономического агента, причем способностей, не связанных с рациональным расчетом, поскольку в условиях неопределенности такие расчеты в принципе невозможны в силу отсутствия необходимой информации. Теория Ф. Найта была первой в рамках неоклассического на</w:t>
      </w:r>
      <w:r>
        <w:t xml:space="preserve">правления, которая вводила понятие неопределенности, как важного составляющего действий экономических агентов. </w:t>
      </w:r>
    </w:p>
    <w:p w:rsidR="002C0F56" w:rsidRDefault="00E67C6E">
      <w:pPr>
        <w:ind w:left="994" w:right="302"/>
      </w:pPr>
      <w:r>
        <w:t>Неопределённость трактуется как задачи, в которых лицо, принимающее решение, не знает всех действующих факторов и должно сформулировать множеств</w:t>
      </w:r>
      <w:r>
        <w:t xml:space="preserve">о гипотез, прежде чем их оценить. Ситуация неопределённости характеризуется выбором конкретного плана действий, приводящий к любому исходу из конкретного множества исходов, но вероятности их осуществления неизвестны. При этом можно выделить два случая: </w:t>
      </w:r>
    </w:p>
    <w:p w:rsidR="002C0F56" w:rsidRDefault="00E67C6E">
      <w:pPr>
        <w:numPr>
          <w:ilvl w:val="0"/>
          <w:numId w:val="160"/>
        </w:numPr>
        <w:ind w:right="302"/>
      </w:pPr>
      <w:r>
        <w:t>ве</w:t>
      </w:r>
      <w:r>
        <w:t xml:space="preserve">роятности не известны в силу отсутствия необходимой статистической информации; </w:t>
      </w:r>
    </w:p>
    <w:p w:rsidR="002C0F56" w:rsidRDefault="00E67C6E">
      <w:pPr>
        <w:numPr>
          <w:ilvl w:val="0"/>
          <w:numId w:val="160"/>
        </w:numPr>
        <w:ind w:right="302"/>
      </w:pPr>
      <w:r>
        <w:t xml:space="preserve">ситуация не статистическая и об объективных вероятностях говорить вообще не имеет смысла. Это ситуация чистой неопределённости в узком смысле. Она наиболее часто встречается в </w:t>
      </w:r>
      <w:r>
        <w:t xml:space="preserve">экономике, ведь решения, к примеру, стратегические, принимаются фирмой в уникальных условиях. </w:t>
      </w:r>
    </w:p>
    <w:p w:rsidR="002C0F56" w:rsidRDefault="00E67C6E">
      <w:pPr>
        <w:spacing w:after="10"/>
        <w:ind w:left="994" w:right="302"/>
      </w:pPr>
      <w:r>
        <w:t>Существует мнение, что риск и неопределенность – одинаковые категории, и очень часто разница между этими терминами не приводится. Да, взаимосвязь есть, однако эт</w:t>
      </w:r>
      <w:r>
        <w:t xml:space="preserve">о не одно и тоже. </w:t>
      </w:r>
    </w:p>
    <w:p w:rsidR="002C0F56" w:rsidRDefault="00E67C6E">
      <w:pPr>
        <w:ind w:left="994" w:right="302"/>
      </w:pPr>
      <w:r>
        <w:t xml:space="preserve">Как экономическая категория риск представляет собой событие, которое может произойти либо не произойти. В случае совершения такого события возможны три экономических результата: </w:t>
      </w:r>
    </w:p>
    <w:p w:rsidR="002C0F56" w:rsidRDefault="00E67C6E">
      <w:pPr>
        <w:numPr>
          <w:ilvl w:val="0"/>
          <w:numId w:val="160"/>
        </w:numPr>
        <w:ind w:right="302"/>
      </w:pPr>
      <w:r>
        <w:lastRenderedPageBreak/>
        <w:t xml:space="preserve">отрицательный (проигрыш, ущерб, убыток); </w:t>
      </w:r>
    </w:p>
    <w:p w:rsidR="002C0F56" w:rsidRDefault="00E67C6E">
      <w:pPr>
        <w:numPr>
          <w:ilvl w:val="0"/>
          <w:numId w:val="160"/>
        </w:numPr>
        <w:ind w:right="302"/>
      </w:pPr>
      <w:r>
        <w:t xml:space="preserve">нулевой; </w:t>
      </w:r>
    </w:p>
    <w:p w:rsidR="002C0F56" w:rsidRDefault="00E67C6E">
      <w:pPr>
        <w:numPr>
          <w:ilvl w:val="0"/>
          <w:numId w:val="160"/>
        </w:numPr>
        <w:ind w:right="302"/>
      </w:pPr>
      <w:r>
        <w:t>положи</w:t>
      </w:r>
      <w:r>
        <w:t xml:space="preserve">тельный (выигрыш, выгода, прибыль). </w:t>
      </w:r>
    </w:p>
    <w:p w:rsidR="002C0F56" w:rsidRDefault="00E67C6E">
      <w:pPr>
        <w:spacing w:after="5"/>
        <w:ind w:left="994" w:right="302"/>
      </w:pPr>
      <w:r>
        <w:t>Под риском понимают ситуацию, когда люди не знают точно, что случится, но представляют вероятность каждого из этих исходов. Неопределённость же означает недостаток информации о будущих событиях, вероятность которых не п</w:t>
      </w:r>
      <w:r>
        <w:t xml:space="preserve">росчитывается. Причем одна и та же ситуация для одного человека может являться ситуацией риска, а для другого – неопределённости. </w:t>
      </w:r>
    </w:p>
    <w:p w:rsidR="002C0F56" w:rsidRDefault="00E67C6E">
      <w:pPr>
        <w:ind w:left="994" w:right="302"/>
      </w:pPr>
      <w:r>
        <w:t xml:space="preserve">Риск принятия наихудшего решения в условиях, когда известны все исходные данные, может быть связан: </w:t>
      </w:r>
    </w:p>
    <w:p w:rsidR="002C0F56" w:rsidRDefault="00E67C6E">
      <w:pPr>
        <w:numPr>
          <w:ilvl w:val="0"/>
          <w:numId w:val="160"/>
        </w:numPr>
        <w:ind w:right="302"/>
      </w:pPr>
      <w:r>
        <w:t xml:space="preserve">с ошибками агрегирования этих данных; </w:t>
      </w:r>
    </w:p>
    <w:p w:rsidR="002C0F56" w:rsidRDefault="00E67C6E">
      <w:pPr>
        <w:numPr>
          <w:ilvl w:val="0"/>
          <w:numId w:val="160"/>
        </w:numPr>
        <w:ind w:right="302"/>
      </w:pPr>
      <w:r>
        <w:t xml:space="preserve">с неправильно построенной моделью принятия решения; </w:t>
      </w:r>
    </w:p>
    <w:p w:rsidR="002C0F56" w:rsidRDefault="00E67C6E">
      <w:pPr>
        <w:numPr>
          <w:ilvl w:val="0"/>
          <w:numId w:val="160"/>
        </w:numPr>
        <w:spacing w:after="15" w:line="268" w:lineRule="auto"/>
        <w:ind w:right="302"/>
      </w:pPr>
      <w:r>
        <w:t xml:space="preserve">с неправильным алгоритмом применения модели принятия решения. </w:t>
      </w:r>
    </w:p>
    <w:p w:rsidR="002C0F56" w:rsidRDefault="00E67C6E">
      <w:pPr>
        <w:ind w:left="994" w:right="302"/>
      </w:pPr>
      <w:r>
        <w:t>Обычно неопределенность связывают с разработкой управленческих решений, а риск - с реализацией управл</w:t>
      </w:r>
      <w:r>
        <w:t xml:space="preserve">енческих решений, т.е. с результатами. </w:t>
      </w:r>
    </w:p>
    <w:p w:rsidR="002C0F56" w:rsidRDefault="00E67C6E">
      <w:pPr>
        <w:ind w:left="994" w:right="302"/>
      </w:pPr>
      <w:r>
        <w:t>Решение - способ выполнения волевого действия. Волевое действие предполагает предварительное осознание цели и средств действия, мысленное обсуждение оснований, говорящих за или против его выполнения. Этот процесс зак</w:t>
      </w:r>
      <w:r>
        <w:t xml:space="preserve">анчивается принятием решения. Надо иметь ввиду, что волевым усилием завершается обоснованный выбор, расчет. Обычно решение предполагает выбор с участием воли одного из нескольких возможных вариантов </w:t>
      </w:r>
    </w:p>
    <w:p w:rsidR="002C0F56" w:rsidRDefault="00E67C6E">
      <w:pPr>
        <w:ind w:left="994" w:right="302"/>
      </w:pPr>
      <w:r>
        <w:t>Таким образом, управленческое решение – представляет соб</w:t>
      </w:r>
      <w:r>
        <w:t xml:space="preserve">ой фиксированный управленческий акт, выраженный в письменной или устной форме и реализуемый для решения проблемной ситуации. </w:t>
      </w:r>
    </w:p>
    <w:p w:rsidR="002C0F56" w:rsidRDefault="00E67C6E">
      <w:pPr>
        <w:spacing w:after="2"/>
        <w:ind w:left="994" w:right="302"/>
      </w:pPr>
      <w:r>
        <w:t>Принятие управленческого решения – это процесс выбора разумной альтернативы решения проблемы, являющийся ключевым моментом в систе</w:t>
      </w:r>
      <w:r>
        <w:t xml:space="preserve">ме менеджмента. Результаты реализации принятых управленческих решений служат наиболее объективной оценкой искусства руководителя. </w:t>
      </w:r>
    </w:p>
    <w:p w:rsidR="002C0F56" w:rsidRDefault="00E67C6E">
      <w:pPr>
        <w:spacing w:after="10"/>
        <w:ind w:left="994" w:right="302"/>
      </w:pPr>
      <w:r>
        <w:t>Непосредственными результатами управленческих решений являются изменения, происходящие в процессе совместной деятельности люд</w:t>
      </w:r>
      <w:r>
        <w:t>ей, в комплексе экономических и социальных показателей производственнохозяйственной деятельности предприятий. Это обуславливает необходимость рассмотрения основных положений теории принятия решений и применения их в практической деятельности руководителей.</w:t>
      </w:r>
      <w:r>
        <w:t xml:space="preserve"> Именно эти решения мы и будем рассматривать дальше. </w:t>
      </w:r>
    </w:p>
    <w:p w:rsidR="002C0F56" w:rsidRDefault="00E67C6E">
      <w:pPr>
        <w:spacing w:after="0"/>
        <w:ind w:left="994" w:right="302"/>
      </w:pPr>
      <w:r>
        <w:t>Решение принимается в условиях определенности, когда руководитель точно знает результат каждого из альтернативных вариантов решения. Примером может служить принятие решения о выборе варианта инвестирова</w:t>
      </w:r>
      <w:r>
        <w:t xml:space="preserve">ния средств из двух альтернативных: в депозитные сертификаты под 35 процентов </w:t>
      </w:r>
      <w:r>
        <w:lastRenderedPageBreak/>
        <w:t xml:space="preserve">годовых или в государственные облигации с доходностью 40 процентов. При условии, что целью принимаемого решения является максимизация доходности инвестированных средств, решение </w:t>
      </w:r>
      <w:r>
        <w:t xml:space="preserve">может быть только одним – размещение средств в государственные облигации. Основанием принятия такого решения является точно известное превышение доходности по государственным облигациям над доходностью по депозитным сертификатам на 5 процентов. </w:t>
      </w:r>
    </w:p>
    <w:p w:rsidR="002C0F56" w:rsidRDefault="00E67C6E">
      <w:pPr>
        <w:spacing w:after="10"/>
        <w:ind w:left="994" w:right="302"/>
      </w:pPr>
      <w:r>
        <w:t>Решение сч</w:t>
      </w:r>
      <w:r>
        <w:t xml:space="preserve">итается принимаемым в условиях риска, если известна вероятность всех альтернативных решений. При этом сумма вероятностей всех альтернатив должна быть равна единице. </w:t>
      </w:r>
    </w:p>
    <w:p w:rsidR="002C0F56" w:rsidRDefault="00E67C6E">
      <w:pPr>
        <w:ind w:left="994" w:right="302"/>
      </w:pPr>
      <w:r>
        <w:t>Решение принимается в условиях неопределенности тогда, когда невозможно определить вероятн</w:t>
      </w:r>
      <w:r>
        <w:t xml:space="preserve">ость потенциальных результатов. </w:t>
      </w:r>
    </w:p>
    <w:p w:rsidR="002C0F56" w:rsidRDefault="00E67C6E">
      <w:pPr>
        <w:spacing w:after="0"/>
        <w:ind w:left="994" w:right="302"/>
      </w:pPr>
      <w:r>
        <w:t>Подобная ситуация в деятельности фирм складывается при их инновационной ориентации, при невозможности собрать необходимые представительные статистические и другие данные для определения уровня риска, при дороговизне процеду</w:t>
      </w:r>
      <w:r>
        <w:t xml:space="preserve">р сбора и обработки информации, при невозможности привлечь опытных экспертов, предпринимателей или специалистов в сфере принимаемого управленческого решения. </w:t>
      </w:r>
    </w:p>
    <w:p w:rsidR="002C0F56" w:rsidRDefault="00E67C6E">
      <w:pPr>
        <w:ind w:left="994" w:right="302"/>
      </w:pPr>
      <w:r>
        <w:t>Сталкиваясь с неопределенностью, руководитель может использовать две основные возможности. Во-пер</w:t>
      </w:r>
      <w:r>
        <w:t>вых, попытаться получить дополнительную релевантную информацию и еще раз проанализировать проблему. Этим часто удается уменьшить новизну и сложность проблемы. В этом случае сочетается эта дополнительная информация и анализ с накопленным опытом или интуицие</w:t>
      </w:r>
      <w:r>
        <w:t xml:space="preserve">й, чтобы придать ряду результатов субъективную или предполагаемую вероятность. </w:t>
      </w:r>
    </w:p>
    <w:p w:rsidR="002C0F56" w:rsidRDefault="00E67C6E">
      <w:pPr>
        <w:spacing w:after="3"/>
        <w:ind w:left="994" w:right="302"/>
      </w:pPr>
      <w:r>
        <w:t>Вторая возможность – действовать в точном соответствии с прошлым опытом, суждениями или интуицией и сделать предположение о вероятности событий. Временные и информационные огра</w:t>
      </w:r>
      <w:r>
        <w:t xml:space="preserve">ничения имеют важнейшее значение при принятии управленческих решений. </w:t>
      </w:r>
    </w:p>
    <w:p w:rsidR="002C0F56" w:rsidRDefault="00E67C6E">
      <w:pPr>
        <w:spacing w:after="2"/>
        <w:ind w:left="994" w:right="302"/>
      </w:pPr>
      <w:r>
        <w:t>В теории общего и организационного управления, использование категорий риска и неопределенности широко распространено. Это обусловлено необходимостью принятия научно обоснованных решени</w:t>
      </w:r>
      <w:r>
        <w:t xml:space="preserve">й в условиях неопределенности. </w:t>
      </w:r>
    </w:p>
    <w:p w:rsidR="002C0F56" w:rsidRDefault="00E67C6E">
      <w:pPr>
        <w:ind w:left="994" w:right="302"/>
      </w:pPr>
      <w:r>
        <w:t>Отличие экономики как экономической системы, в которой принимаются управленческие решения, заключается в непрерывном возникновении новых обстоятельств, существенно влияющих на процессы, происходящие в ней, а экономическая пр</w:t>
      </w:r>
      <w:r>
        <w:t xml:space="preserve">актика такова, что менеджеру в большинстве случаев приходится сталкиваться с ситуацией принятия решения со многими альтернативами  [1] . </w:t>
      </w:r>
    </w:p>
    <w:p w:rsidR="002C0F56" w:rsidRDefault="00E67C6E">
      <w:pPr>
        <w:spacing w:after="2"/>
        <w:ind w:left="994" w:right="302"/>
      </w:pPr>
      <w:r>
        <w:t>Таким образом, неопределенность – это неустранимое качество рыночной среды, связанное с тем, что на рыночные условия о</w:t>
      </w:r>
      <w:r>
        <w:t xml:space="preserve">казывает свое одновременное </w:t>
      </w:r>
      <w:r>
        <w:lastRenderedPageBreak/>
        <w:t>воздействие неизмеримое число факторов различной природы и направленности, не подлежащих совокупной оценке. Но даже если бы все входящие рыночные факторы были бы в модели учтены, сохранилась бы неустранимая неопределенность отно</w:t>
      </w:r>
      <w:r>
        <w:t xml:space="preserve">сительно характера реакций рынка на те или иные воздействия. </w:t>
      </w:r>
    </w:p>
    <w:p w:rsidR="002C0F56" w:rsidRDefault="00E67C6E">
      <w:pPr>
        <w:spacing w:after="0"/>
        <w:ind w:left="994" w:right="302"/>
      </w:pPr>
      <w:r>
        <w:t>Неопределенностя является наиболее сложной ситуацией в управленческой деятельности. Она требует от предпринимателя, менеджера не только обширных и глубоких знаний в области организации производс</w:t>
      </w:r>
      <w:r>
        <w:t xml:space="preserve">тва, предоставления услуг или иной предпринимательской деятельности, но и определенных навыков выведения ситуаций из состояния неопределенности. </w:t>
      </w:r>
    </w:p>
    <w:p w:rsidR="002C0F56" w:rsidRDefault="00E67C6E">
      <w:pPr>
        <w:spacing w:after="5"/>
        <w:ind w:left="994" w:right="302"/>
      </w:pPr>
      <w:r>
        <w:t>Принимая решение в условиях неопределенности, следует руководствоваться правилом, которое гласит, что любое решение, разрабатываемое на основе даже поверхностного анализа или прогноза лучше решения, принимаемого спонтанно, наугад [2]. В целях реализации да</w:t>
      </w:r>
      <w:r>
        <w:t xml:space="preserve">нного правила менеджеры очень часто прибегают к помощи различных вариантов методов экспертного анализа и прогнозирования. </w:t>
      </w:r>
    </w:p>
    <w:p w:rsidR="002C0F56" w:rsidRDefault="00E67C6E">
      <w:pPr>
        <w:spacing w:after="0"/>
        <w:ind w:left="994" w:right="302"/>
      </w:pPr>
      <w:r>
        <w:t>При быстро развивающейся экономике, нововведениях в управлении следует уделить особое внимание дальнейшим разработкам методов приняти</w:t>
      </w:r>
      <w:r>
        <w:t>я решений, применительно к ситуациям неопределенности, чтобы, принимая решения на практике, менеджеры руководствовались не только интуицией, как в наше время, но и научно обоснованным анализом и методами. Это позволить оптимизировать принимаемые решения, н</w:t>
      </w:r>
      <w:r>
        <w:t xml:space="preserve">е предугадывая их, основываясь на субъективных факторах. </w:t>
      </w:r>
    </w:p>
    <w:p w:rsidR="002C0F56" w:rsidRDefault="00E67C6E">
      <w:pPr>
        <w:spacing w:after="24" w:line="259" w:lineRule="auto"/>
        <w:ind w:left="1318" w:firstLine="0"/>
        <w:jc w:val="center"/>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61"/>
        </w:numPr>
        <w:ind w:right="302"/>
      </w:pPr>
      <w:r>
        <w:t>Аралбаева Ф.З, Карабанова О. Г., Круталевич-Леваева М. Г. Риск и неопределенность в принятии управленческих решений // Вестник ОГУ. - 2002, вып. 4//http://www.aup.ru/books/m87/</w:t>
      </w:r>
      <w:r>
        <w:t xml:space="preserve">2_2.htm. </w:t>
      </w:r>
    </w:p>
    <w:p w:rsidR="002C0F56" w:rsidRDefault="00E67C6E">
      <w:pPr>
        <w:numPr>
          <w:ilvl w:val="0"/>
          <w:numId w:val="161"/>
        </w:numPr>
        <w:ind w:right="302"/>
      </w:pPr>
      <w:r>
        <w:t xml:space="preserve">Деревянко П.М. Оценка проектов в условиях неопределенности // http://www.cfin.ru/finanalysis/invest/fuzzy_analysis.shtml. </w:t>
      </w:r>
    </w:p>
    <w:p w:rsidR="002C0F56" w:rsidRDefault="00E67C6E">
      <w:pPr>
        <w:numPr>
          <w:ilvl w:val="0"/>
          <w:numId w:val="161"/>
        </w:numPr>
        <w:ind w:right="302"/>
      </w:pPr>
      <w:r>
        <w:t xml:space="preserve">Найт Ф., Дебора Дж. Притти Философия риска, стоимость компаний и ее руководитель// Менеджмент, риски и кризис. – 2009. – </w:t>
      </w:r>
      <w:r>
        <w:t xml:space="preserve">Сентябрь. – 15с. </w:t>
      </w:r>
    </w:p>
    <w:p w:rsidR="002C0F56" w:rsidRDefault="00E67C6E">
      <w:pPr>
        <w:numPr>
          <w:ilvl w:val="0"/>
          <w:numId w:val="161"/>
        </w:numPr>
        <w:ind w:right="302"/>
      </w:pPr>
      <w:r>
        <w:t xml:space="preserve">Тычинский А.В. Управление инновационной деятельностью компаний: </w:t>
      </w:r>
    </w:p>
    <w:p w:rsidR="002C0F56" w:rsidRDefault="00E67C6E">
      <w:pPr>
        <w:spacing w:after="0"/>
        <w:ind w:left="994" w:right="302" w:firstLine="0"/>
      </w:pPr>
      <w:r>
        <w:t xml:space="preserve">современные </w:t>
      </w:r>
      <w:r>
        <w:tab/>
        <w:t xml:space="preserve">подходы, </w:t>
      </w:r>
      <w:r>
        <w:tab/>
        <w:t xml:space="preserve">алгоритмы, </w:t>
      </w:r>
      <w:r>
        <w:tab/>
        <w:t xml:space="preserve">опыт, </w:t>
      </w:r>
      <w:r>
        <w:tab/>
        <w:t xml:space="preserve">Таганрог: </w:t>
      </w:r>
      <w:r>
        <w:tab/>
        <w:t xml:space="preserve">ТРТУ, </w:t>
      </w:r>
      <w:r>
        <w:tab/>
        <w:t xml:space="preserve">2006 </w:t>
      </w:r>
      <w:r>
        <w:tab/>
        <w:t xml:space="preserve">- http://www.aup.ru/books/m87/2_1.htm. </w:t>
      </w:r>
    </w:p>
    <w:p w:rsidR="002C0F56" w:rsidRDefault="00E67C6E">
      <w:pPr>
        <w:spacing w:after="0" w:line="259" w:lineRule="auto"/>
        <w:ind w:left="1558" w:firstLine="0"/>
        <w:jc w:val="left"/>
      </w:pPr>
      <w:r>
        <w:t xml:space="preserve"> </w:t>
      </w:r>
    </w:p>
    <w:p w:rsidR="002C0F56" w:rsidRDefault="00E67C6E">
      <w:pPr>
        <w:spacing w:after="23" w:line="259" w:lineRule="auto"/>
        <w:ind w:left="1558" w:firstLine="0"/>
        <w:jc w:val="left"/>
      </w:pPr>
      <w:r>
        <w:t xml:space="preserve"> </w:t>
      </w:r>
    </w:p>
    <w:p w:rsidR="002C0F56" w:rsidRDefault="00E67C6E">
      <w:pPr>
        <w:pStyle w:val="1"/>
        <w:spacing w:after="25" w:line="259" w:lineRule="auto"/>
        <w:ind w:right="307"/>
        <w:jc w:val="right"/>
      </w:pPr>
      <w:r>
        <w:t xml:space="preserve">Мухитдинов Ш. З. </w:t>
      </w:r>
    </w:p>
    <w:p w:rsidR="002C0F56" w:rsidRDefault="00E67C6E">
      <w:pPr>
        <w:spacing w:after="0" w:line="267" w:lineRule="auto"/>
        <w:ind w:left="905" w:right="311" w:hanging="10"/>
        <w:jc w:val="right"/>
      </w:pPr>
      <w:r>
        <w:rPr>
          <w:i/>
        </w:rPr>
        <w:t xml:space="preserve">Наманганский инженерно технологический институт  </w:t>
      </w:r>
    </w:p>
    <w:p w:rsidR="002C0F56" w:rsidRDefault="00E67C6E">
      <w:pPr>
        <w:spacing w:after="32" w:line="259" w:lineRule="auto"/>
        <w:ind w:left="1558" w:firstLine="0"/>
        <w:jc w:val="left"/>
      </w:pPr>
      <w:r>
        <w:rPr>
          <w:b/>
        </w:rPr>
        <w:t xml:space="preserve"> </w:t>
      </w:r>
    </w:p>
    <w:p w:rsidR="002C0F56" w:rsidRDefault="00E67C6E">
      <w:pPr>
        <w:pStyle w:val="1"/>
        <w:spacing w:after="15" w:line="271" w:lineRule="auto"/>
        <w:ind w:left="1733" w:right="0" w:hanging="235"/>
        <w:jc w:val="left"/>
      </w:pPr>
      <w:r>
        <w:lastRenderedPageBreak/>
        <w:t xml:space="preserve">ПЕРСПЕКТИВЫ РАЗВИТИЯ МАЛОГО БИЗНЕСА И ЧАСТНОГО ПРЕДПРИНИМАТЕЛЬСТВА В РЕСПУБЛИКЕ УЗБЕКИСТАН </w:t>
      </w:r>
    </w:p>
    <w:p w:rsidR="002C0F56" w:rsidRDefault="00E67C6E">
      <w:pPr>
        <w:spacing w:after="0" w:line="259" w:lineRule="auto"/>
        <w:ind w:left="1558" w:firstLine="0"/>
        <w:jc w:val="left"/>
      </w:pPr>
      <w:r>
        <w:t xml:space="preserve"> </w:t>
      </w:r>
    </w:p>
    <w:p w:rsidR="002C0F56" w:rsidRDefault="00E67C6E">
      <w:pPr>
        <w:spacing w:after="0"/>
        <w:ind w:left="994" w:right="302"/>
      </w:pPr>
      <w:r>
        <w:t>Малый бизнес и частное предпринимательство в период кризиса обладает стабилизирующим эффектом для региональной</w:t>
      </w:r>
      <w:r>
        <w:t xml:space="preserve"> экономики –ведь это гибкость и моментальная приспособляемость к конъюнктуре рынка, способность быстро изменять структуру производства, оперативно создавать и применять новые технологии и научные разработки. Разработанная программа развития данного сектора</w:t>
      </w:r>
      <w:r>
        <w:t xml:space="preserve">  в республике реализуется на основе всесторонней государственной поддержки и инициативного, созидательного рыночного процесса с участием широких слоев населения страны. </w:t>
      </w:r>
    </w:p>
    <w:p w:rsidR="002C0F56" w:rsidRDefault="00E67C6E">
      <w:pPr>
        <w:spacing w:after="0"/>
        <w:ind w:left="994" w:right="302"/>
      </w:pPr>
      <w:r>
        <w:t>Анализируя состояние налоговой политики в сфере малого бизнеса и частного предпринима</w:t>
      </w:r>
      <w:r>
        <w:t>тельства, можно сказать, что проводимая правительством целенаправленная работа по снижению налогового бремени, упрощению порядка налогообложения и представления финансовой отчетности активизировала хозяйственную деятельность частного сектора. Она же дала в</w:t>
      </w:r>
      <w:r>
        <w:t xml:space="preserve">озможность стабилизировать финансовое состояние многих предприятий, расширить инвестиционную деятельность, обеспечить тенденцию роста розничного оборота, стимулировать рост численности действующих предприятий в сфере малого и частного предпринимательства. </w:t>
      </w:r>
      <w:r>
        <w:t xml:space="preserve"> </w:t>
      </w:r>
    </w:p>
    <w:p w:rsidR="002C0F56" w:rsidRDefault="00E67C6E">
      <w:pPr>
        <w:spacing w:after="10"/>
        <w:ind w:left="994" w:right="302"/>
      </w:pPr>
      <w:r>
        <w:t>Так, введенный единый налоговый платеж заменил для большинства субъектов малого и частного бизнеса совокупность всех налогов и обязательных отчислений в целевые фонды, который значительно облегчил не только налоговую нагрузку, но и упростил бухгалтерию и</w:t>
      </w:r>
      <w:r>
        <w:t xml:space="preserve"> отчетность. Снижение ставки единого налогового платежа с 13% в 2000 г. до 6% в 20122016 гг. позволило создать условия для ускоренного развития малых и частных предприятий и увеличить долю этого сектора в экономике страны. </w:t>
      </w:r>
    </w:p>
    <w:p w:rsidR="002C0F56" w:rsidRDefault="00E67C6E">
      <w:pPr>
        <w:spacing w:after="2"/>
        <w:ind w:left="994" w:right="302"/>
      </w:pPr>
      <w:r>
        <w:t>Начиная с 2006 года была создана</w:t>
      </w:r>
      <w:r>
        <w:t xml:space="preserve"> одна из основополагающих линий развития малого бизнеса, а именно микрокредитование на льготных условиях и оказание широкого спектра банковских и консалтинговых услуг субъектам частного сектора.  </w:t>
      </w:r>
    </w:p>
    <w:p w:rsidR="002C0F56" w:rsidRDefault="00E67C6E">
      <w:pPr>
        <w:spacing w:after="7"/>
        <w:ind w:left="994" w:right="302"/>
      </w:pPr>
      <w:r>
        <w:t>В результате за последние годы значительно возросла его дол</w:t>
      </w:r>
      <w:r>
        <w:t xml:space="preserve">я в ВВП, которая достигла в конце 2016 г. 54 % против 31,0% в 2010 г., создано в 2016 г. 7995,0  тыс. новых рабочих мест, в настоящее время в данной сфере трудятся 92,5 % всех занятых в экономике. Отраслевая структура малого и частного предпринимательства </w:t>
      </w:r>
      <w:r>
        <w:t xml:space="preserve">по удельному весу выпуска продукции в общем ее объеме за 2010-2016 годы характеризуется высокой долей в сельском хозяйстве, где она возросла с 73,6% до 100%, в сфере платных услуг - с 37,9% до 50,9%, в строительстве - с 36,8% до 69,0%. Удельный вес малого </w:t>
      </w:r>
      <w:r>
        <w:t xml:space="preserve">предпринимательства в производстве промышленной продукции в 2016 году составил 33,2%. </w:t>
      </w:r>
    </w:p>
    <w:p w:rsidR="002C0F56" w:rsidRDefault="00E67C6E">
      <w:pPr>
        <w:spacing w:after="0"/>
        <w:ind w:left="994" w:right="302"/>
      </w:pPr>
      <w:r>
        <w:lastRenderedPageBreak/>
        <w:t>Принимаемые меры по стимулированию экспорта способствовали увеличению экспортной деятельности малого предпринимательства. В 2016 г. удельный вес малого предпринимательст</w:t>
      </w:r>
      <w:r>
        <w:t xml:space="preserve">ва в общем объеме экспорта достиг 14%.  </w:t>
      </w:r>
    </w:p>
    <w:p w:rsidR="002C0F56" w:rsidRDefault="00E67C6E">
      <w:pPr>
        <w:ind w:left="994" w:right="302"/>
      </w:pPr>
      <w:r>
        <w:t xml:space="preserve">Всему этому можно сказать способствовал деловой климат и инфраструктура малого бизнеса и частного предпринимательства в областях.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5" w:line="271" w:lineRule="auto"/>
        <w:ind w:left="2019" w:right="396" w:hanging="10"/>
        <w:jc w:val="left"/>
      </w:pPr>
      <w:r>
        <w:rPr>
          <w:sz w:val="24"/>
        </w:rPr>
        <w:t xml:space="preserve">Таблица 2 - </w:t>
      </w:r>
      <w:r>
        <w:rPr>
          <w:b/>
          <w:sz w:val="24"/>
        </w:rPr>
        <w:t xml:space="preserve">Деловой климат и инфраструктура  малого бизнеса и частного предпринимательства по областям в Республике Узбекистан (2016 г.) </w:t>
      </w:r>
    </w:p>
    <w:tbl>
      <w:tblPr>
        <w:tblStyle w:val="TableGrid"/>
        <w:tblW w:w="9542" w:type="dxa"/>
        <w:tblInd w:w="1042" w:type="dxa"/>
        <w:tblCellMar>
          <w:top w:w="14" w:type="dxa"/>
          <w:left w:w="110" w:type="dxa"/>
          <w:bottom w:w="0" w:type="dxa"/>
          <w:right w:w="115" w:type="dxa"/>
        </w:tblCellMar>
        <w:tblLook w:val="04A0" w:firstRow="1" w:lastRow="0" w:firstColumn="1" w:lastColumn="0" w:noHBand="0" w:noVBand="1"/>
      </w:tblPr>
      <w:tblGrid>
        <w:gridCol w:w="2520"/>
        <w:gridCol w:w="1081"/>
        <w:gridCol w:w="1260"/>
        <w:gridCol w:w="1260"/>
        <w:gridCol w:w="1080"/>
        <w:gridCol w:w="1261"/>
        <w:gridCol w:w="1080"/>
      </w:tblGrid>
      <w:tr w:rsidR="002C0F56">
        <w:trPr>
          <w:trHeight w:val="3709"/>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2" w:firstLine="0"/>
              <w:jc w:val="left"/>
            </w:pPr>
            <w:r>
              <w:rPr>
                <w:rFonts w:ascii="Calibri" w:eastAsia="Calibri" w:hAnsi="Calibri" w:cs="Calibri"/>
                <w:noProof/>
                <w:sz w:val="22"/>
              </w:rPr>
              <mc:AlternateContent>
                <mc:Choice Requires="wpg">
                  <w:drawing>
                    <wp:inline distT="0" distB="0" distL="0" distR="0">
                      <wp:extent cx="318466" cy="2311756"/>
                      <wp:effectExtent l="0" t="0" r="0" b="0"/>
                      <wp:docPr id="632515" name="Group 632515"/>
                      <wp:cNvGraphicFramePr/>
                      <a:graphic xmlns:a="http://schemas.openxmlformats.org/drawingml/2006/main">
                        <a:graphicData uri="http://schemas.microsoft.com/office/word/2010/wordprocessingGroup">
                          <wpg:wgp>
                            <wpg:cNvGrpSpPr/>
                            <wpg:grpSpPr>
                              <a:xfrm>
                                <a:off x="0" y="0"/>
                                <a:ext cx="318466" cy="2311756"/>
                                <a:chOff x="0" y="0"/>
                                <a:chExt cx="318466" cy="2311756"/>
                              </a:xfrm>
                            </wpg:grpSpPr>
                            <wps:wsp>
                              <wps:cNvPr id="52430" name="Rectangle 52430"/>
                              <wps:cNvSpPr/>
                              <wps:spPr>
                                <a:xfrm rot="-5399999">
                                  <a:off x="-1445125" y="682247"/>
                                  <a:ext cx="3074636" cy="184382"/>
                                </a:xfrm>
                                <a:prstGeom prst="rect">
                                  <a:avLst/>
                                </a:prstGeom>
                                <a:ln>
                                  <a:noFill/>
                                </a:ln>
                              </wps:spPr>
                              <wps:txbx>
                                <w:txbxContent>
                                  <w:p w:rsidR="002C0F56" w:rsidRDefault="00E67C6E">
                                    <w:pPr>
                                      <w:spacing w:after="160" w:line="259" w:lineRule="auto"/>
                                      <w:ind w:left="0" w:firstLine="0"/>
                                      <w:jc w:val="left"/>
                                    </w:pPr>
                                    <w:r>
                                      <w:rPr>
                                        <w:sz w:val="24"/>
                                      </w:rPr>
                                      <w:t xml:space="preserve">% выдачи дотаций МБ и ЧП от </w:t>
                                    </w:r>
                                  </w:p>
                                </w:txbxContent>
                              </wps:txbx>
                              <wps:bodyPr horzOverflow="overflow" vert="horz" lIns="0" tIns="0" rIns="0" bIns="0" rtlCol="0">
                                <a:noAutofit/>
                              </wps:bodyPr>
                            </wps:wsp>
                            <wps:wsp>
                              <wps:cNvPr id="52431" name="Rectangle 52431"/>
                              <wps:cNvSpPr/>
                              <wps:spPr>
                                <a:xfrm rot="-5399999">
                                  <a:off x="-315985" y="1631555"/>
                                  <a:ext cx="1176019" cy="184382"/>
                                </a:xfrm>
                                <a:prstGeom prst="rect">
                                  <a:avLst/>
                                </a:prstGeom>
                                <a:ln>
                                  <a:noFill/>
                                </a:ln>
                              </wps:spPr>
                              <wps:txbx>
                                <w:txbxContent>
                                  <w:p w:rsidR="002C0F56" w:rsidRDefault="00E67C6E">
                                    <w:pPr>
                                      <w:spacing w:after="160" w:line="259" w:lineRule="auto"/>
                                      <w:ind w:left="0" w:firstLine="0"/>
                                      <w:jc w:val="left"/>
                                    </w:pPr>
                                    <w:r>
                                      <w:rPr>
                                        <w:sz w:val="24"/>
                                      </w:rPr>
                                      <w:t>общего числа</w:t>
                                    </w:r>
                                  </w:p>
                                </w:txbxContent>
                              </wps:txbx>
                              <wps:bodyPr horzOverflow="overflow" vert="horz" lIns="0" tIns="0" rIns="0" bIns="0" rtlCol="0">
                                <a:noAutofit/>
                              </wps:bodyPr>
                            </wps:wsp>
                            <wps:wsp>
                              <wps:cNvPr id="52432" name="Rectangle 52432"/>
                              <wps:cNvSpPr/>
                              <wps:spPr>
                                <a:xfrm rot="-5399999">
                                  <a:off x="236565" y="1288404"/>
                                  <a:ext cx="50673" cy="224380"/>
                                </a:xfrm>
                                <a:prstGeom prst="rect">
                                  <a:avLst/>
                                </a:prstGeom>
                                <a:ln>
                                  <a:noFill/>
                                </a:ln>
                              </wps:spPr>
                              <wps:txbx>
                                <w:txbxContent>
                                  <w:p w:rsidR="002C0F56" w:rsidRDefault="00E67C6E">
                                    <w:pPr>
                                      <w:spacing w:after="160" w:line="259" w:lineRule="auto"/>
                                      <w:ind w:left="0" w:firstLine="0"/>
                                      <w:jc w:val="left"/>
                                    </w:pPr>
                                    <w:r>
                                      <w:rPr>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32515" style="width:25.076pt;height:182.028pt;mso-position-horizontal-relative:char;mso-position-vertical-relative:line" coordsize="3184,23117">
                      <v:rect id="Rectangle 52430" style="position:absolute;width:30746;height:1843;left:-14451;top:6822;rotation:270;" filled="f" stroked="f">
                        <v:textbox inset="0,0,0,0" style="layout-flow:vertical;mso-layout-flow-alt:bottom-to-top">
                          <w:txbxContent>
                            <w:p>
                              <w:pPr>
                                <w:spacing w:before="0" w:after="160" w:line="259" w:lineRule="auto"/>
                                <w:ind w:left="0" w:firstLine="0"/>
                                <w:jc w:val="left"/>
                              </w:pPr>
                              <w:r>
                                <w:rPr>
                                  <w:sz w:val="24"/>
                                </w:rPr>
                                <w:t xml:space="preserve">% выдачи дотаций МБ и ЧП от </w:t>
                              </w:r>
                            </w:p>
                          </w:txbxContent>
                        </v:textbox>
                      </v:rect>
                      <v:rect id="Rectangle 52431" style="position:absolute;width:11760;height:1843;left:-3159;top:16315;rotation:270;" filled="f" stroked="f">
                        <v:textbox inset="0,0,0,0" style="layout-flow:vertical;mso-layout-flow-alt:bottom-to-top">
                          <w:txbxContent>
                            <w:p>
                              <w:pPr>
                                <w:spacing w:before="0" w:after="160" w:line="259" w:lineRule="auto"/>
                                <w:ind w:left="0" w:firstLine="0"/>
                                <w:jc w:val="left"/>
                              </w:pPr>
                              <w:r>
                                <w:rPr>
                                  <w:sz w:val="24"/>
                                </w:rPr>
                                <w:t xml:space="preserve">общего числа</w:t>
                              </w:r>
                            </w:p>
                          </w:txbxContent>
                        </v:textbox>
                      </v:rect>
                      <v:rect id="Rectangle 52432" style="position:absolute;width:506;height:2243;left:2365;top:12884;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b w:val="1"/>
                                  <w:sz w:val="24"/>
                                </w:rPr>
                                <w:t xml:space="preserve"> </w:t>
                              </w:r>
                            </w:p>
                          </w:txbxContent>
                        </v:textbox>
                      </v:rect>
                    </v:group>
                  </w:pict>
                </mc:Fallback>
              </mc:AlternateConten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2" w:firstLine="0"/>
              <w:jc w:val="left"/>
            </w:pPr>
            <w:r>
              <w:rPr>
                <w:rFonts w:ascii="Calibri" w:eastAsia="Calibri" w:hAnsi="Calibri" w:cs="Calibri"/>
                <w:noProof/>
                <w:sz w:val="22"/>
              </w:rPr>
              <mc:AlternateContent>
                <mc:Choice Requires="wpg">
                  <w:drawing>
                    <wp:inline distT="0" distB="0" distL="0" distR="0">
                      <wp:extent cx="318465" cy="2313660"/>
                      <wp:effectExtent l="0" t="0" r="0" b="0"/>
                      <wp:docPr id="632523" name="Group 632523"/>
                      <wp:cNvGraphicFramePr/>
                      <a:graphic xmlns:a="http://schemas.openxmlformats.org/drawingml/2006/main">
                        <a:graphicData uri="http://schemas.microsoft.com/office/word/2010/wordprocessingGroup">
                          <wpg:wgp>
                            <wpg:cNvGrpSpPr/>
                            <wpg:grpSpPr>
                              <a:xfrm>
                                <a:off x="0" y="0"/>
                                <a:ext cx="318465" cy="2313660"/>
                                <a:chOff x="0" y="0"/>
                                <a:chExt cx="318465" cy="2313660"/>
                              </a:xfrm>
                            </wpg:grpSpPr>
                            <wps:wsp>
                              <wps:cNvPr id="52433" name="Rectangle 52433"/>
                              <wps:cNvSpPr/>
                              <wps:spPr>
                                <a:xfrm rot="-5399999">
                                  <a:off x="-1321078" y="808199"/>
                                  <a:ext cx="2826541" cy="184383"/>
                                </a:xfrm>
                                <a:prstGeom prst="rect">
                                  <a:avLst/>
                                </a:prstGeom>
                                <a:ln>
                                  <a:noFill/>
                                </a:ln>
                              </wps:spPr>
                              <wps:txbx>
                                <w:txbxContent>
                                  <w:p w:rsidR="002C0F56" w:rsidRDefault="00E67C6E">
                                    <w:pPr>
                                      <w:spacing w:after="160" w:line="259" w:lineRule="auto"/>
                                      <w:ind w:left="0" w:firstLine="0"/>
                                      <w:jc w:val="left"/>
                                    </w:pPr>
                                    <w:r>
                                      <w:rPr>
                                        <w:sz w:val="24"/>
                                      </w:rPr>
                                      <w:t>Сумма кредитов на 1 предприят</w:t>
                                    </w:r>
                                  </w:p>
                                </w:txbxContent>
                              </wps:txbx>
                              <wps:bodyPr horzOverflow="overflow" vert="horz" lIns="0" tIns="0" rIns="0" bIns="0" rtlCol="0">
                                <a:noAutofit/>
                              </wps:bodyPr>
                            </wps:wsp>
                            <wps:wsp>
                              <wps:cNvPr id="52434" name="Rectangle 52434"/>
                              <wps:cNvSpPr/>
                              <wps:spPr>
                                <a:xfrm rot="-5399999">
                                  <a:off x="-31348" y="-29955"/>
                                  <a:ext cx="247081" cy="184382"/>
                                </a:xfrm>
                                <a:prstGeom prst="rect">
                                  <a:avLst/>
                                </a:prstGeom>
                                <a:ln>
                                  <a:noFill/>
                                </a:ln>
                              </wps:spPr>
                              <wps:txbx>
                                <w:txbxContent>
                                  <w:p w:rsidR="002C0F56" w:rsidRDefault="00E67C6E">
                                    <w:pPr>
                                      <w:spacing w:after="160" w:line="259" w:lineRule="auto"/>
                                      <w:ind w:left="0" w:firstLine="0"/>
                                      <w:jc w:val="left"/>
                                    </w:pPr>
                                    <w:r>
                                      <w:rPr>
                                        <w:sz w:val="24"/>
                                      </w:rPr>
                                      <w:t xml:space="preserve">ие </w:t>
                                    </w:r>
                                  </w:p>
                                </w:txbxContent>
                              </wps:txbx>
                              <wps:bodyPr horzOverflow="overflow" vert="horz" lIns="0" tIns="0" rIns="0" bIns="0" rtlCol="0">
                                <a:noAutofit/>
                              </wps:bodyPr>
                            </wps:wsp>
                            <wps:wsp>
                              <wps:cNvPr id="52435" name="Rectangle 52435"/>
                              <wps:cNvSpPr/>
                              <wps:spPr>
                                <a:xfrm rot="-5399999">
                                  <a:off x="-512596" y="1436848"/>
                                  <a:ext cx="1569241" cy="184382"/>
                                </a:xfrm>
                                <a:prstGeom prst="rect">
                                  <a:avLst/>
                                </a:prstGeom>
                                <a:ln>
                                  <a:noFill/>
                                </a:ln>
                              </wps:spPr>
                              <wps:txbx>
                                <w:txbxContent>
                                  <w:p w:rsidR="002C0F56" w:rsidRDefault="00E67C6E">
                                    <w:pPr>
                                      <w:spacing w:after="160" w:line="259" w:lineRule="auto"/>
                                      <w:ind w:left="0" w:firstLine="0"/>
                                      <w:jc w:val="left"/>
                                    </w:pPr>
                                    <w:r>
                                      <w:rPr>
                                        <w:sz w:val="24"/>
                                      </w:rPr>
                                      <w:t>МБ и ЧП  тыс.сум</w:t>
                                    </w:r>
                                  </w:p>
                                </w:txbxContent>
                              </wps:txbx>
                              <wps:bodyPr horzOverflow="overflow" vert="horz" lIns="0" tIns="0" rIns="0" bIns="0" rtlCol="0">
                                <a:noAutofit/>
                              </wps:bodyPr>
                            </wps:wsp>
                            <wps:wsp>
                              <wps:cNvPr id="52436" name="Rectangle 52436"/>
                              <wps:cNvSpPr/>
                              <wps:spPr>
                                <a:xfrm rot="-5399999">
                                  <a:off x="236566" y="994653"/>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32523" style="width:25.076pt;height:182.178pt;mso-position-horizontal-relative:char;mso-position-vertical-relative:line" coordsize="3184,23136">
                      <v:rect id="Rectangle 52433" style="position:absolute;width:28265;height:1843;left:-13210;top:8081;rotation:270;" filled="f" stroked="f">
                        <v:textbox inset="0,0,0,0" style="layout-flow:vertical;mso-layout-flow-alt:bottom-to-top">
                          <w:txbxContent>
                            <w:p>
                              <w:pPr>
                                <w:spacing w:before="0" w:after="160" w:line="259" w:lineRule="auto"/>
                                <w:ind w:left="0" w:firstLine="0"/>
                                <w:jc w:val="left"/>
                              </w:pPr>
                              <w:r>
                                <w:rPr>
                                  <w:sz w:val="24"/>
                                </w:rPr>
                                <w:t xml:space="preserve">Сумма кредитов на 1 предприят</w:t>
                              </w:r>
                            </w:p>
                          </w:txbxContent>
                        </v:textbox>
                      </v:rect>
                      <v:rect id="Rectangle 52434" style="position:absolute;width:2470;height:1843;left:-313;top:-299;rotation:270;" filled="f" stroked="f">
                        <v:textbox inset="0,0,0,0" style="layout-flow:vertical;mso-layout-flow-alt:bottom-to-top">
                          <w:txbxContent>
                            <w:p>
                              <w:pPr>
                                <w:spacing w:before="0" w:after="160" w:line="259" w:lineRule="auto"/>
                                <w:ind w:left="0" w:firstLine="0"/>
                                <w:jc w:val="left"/>
                              </w:pPr>
                              <w:r>
                                <w:rPr>
                                  <w:sz w:val="24"/>
                                </w:rPr>
                                <w:t xml:space="preserve">ие </w:t>
                              </w:r>
                            </w:p>
                          </w:txbxContent>
                        </v:textbox>
                      </v:rect>
                      <v:rect id="Rectangle 52435" style="position:absolute;width:15692;height:1843;left:-5125;top:14368;rotation:270;" filled="f" stroked="f">
                        <v:textbox inset="0,0,0,0" style="layout-flow:vertical;mso-layout-flow-alt:bottom-to-top">
                          <w:txbxContent>
                            <w:p>
                              <w:pPr>
                                <w:spacing w:before="0" w:after="160" w:line="259" w:lineRule="auto"/>
                                <w:ind w:left="0" w:firstLine="0"/>
                                <w:jc w:val="left"/>
                              </w:pPr>
                              <w:r>
                                <w:rPr>
                                  <w:sz w:val="24"/>
                                </w:rPr>
                                <w:t xml:space="preserve">МБ и ЧП  тыс.сум</w:t>
                              </w:r>
                            </w:p>
                          </w:txbxContent>
                        </v:textbox>
                      </v:rect>
                      <v:rect id="Rectangle 52436" style="position:absolute;width:506;height:2243;left:2365;top:9946;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2" w:firstLine="0"/>
              <w:jc w:val="left"/>
            </w:pPr>
            <w:r>
              <w:rPr>
                <w:rFonts w:ascii="Calibri" w:eastAsia="Calibri" w:hAnsi="Calibri" w:cs="Calibri"/>
                <w:noProof/>
                <w:sz w:val="22"/>
              </w:rPr>
              <mc:AlternateContent>
                <mc:Choice Requires="wpg">
                  <w:drawing>
                    <wp:inline distT="0" distB="0" distL="0" distR="0">
                      <wp:extent cx="318719" cy="2312061"/>
                      <wp:effectExtent l="0" t="0" r="0" b="0"/>
                      <wp:docPr id="632543" name="Group 632543"/>
                      <wp:cNvGraphicFramePr/>
                      <a:graphic xmlns:a="http://schemas.openxmlformats.org/drawingml/2006/main">
                        <a:graphicData uri="http://schemas.microsoft.com/office/word/2010/wordprocessingGroup">
                          <wpg:wgp>
                            <wpg:cNvGrpSpPr/>
                            <wpg:grpSpPr>
                              <a:xfrm>
                                <a:off x="0" y="0"/>
                                <a:ext cx="318719" cy="2312061"/>
                                <a:chOff x="0" y="0"/>
                                <a:chExt cx="318719" cy="2312061"/>
                              </a:xfrm>
                            </wpg:grpSpPr>
                            <wps:wsp>
                              <wps:cNvPr id="52437" name="Rectangle 52437"/>
                              <wps:cNvSpPr/>
                              <wps:spPr>
                                <a:xfrm rot="-5399999">
                                  <a:off x="-1445328" y="682349"/>
                                  <a:ext cx="3075041" cy="184382"/>
                                </a:xfrm>
                                <a:prstGeom prst="rect">
                                  <a:avLst/>
                                </a:prstGeom>
                                <a:ln>
                                  <a:noFill/>
                                </a:ln>
                              </wps:spPr>
                              <wps:txbx>
                                <w:txbxContent>
                                  <w:p w:rsidR="002C0F56" w:rsidRDefault="00E67C6E">
                                    <w:pPr>
                                      <w:spacing w:after="160" w:line="259" w:lineRule="auto"/>
                                      <w:ind w:left="0" w:firstLine="0"/>
                                      <w:jc w:val="left"/>
                                    </w:pPr>
                                    <w:r>
                                      <w:rPr>
                                        <w:sz w:val="24"/>
                                      </w:rPr>
                                      <w:t xml:space="preserve">Сумма инвестиций на 1 </w:t>
                                    </w:r>
                                  </w:p>
                                </w:txbxContent>
                              </wps:txbx>
                              <wps:bodyPr horzOverflow="overflow" vert="horz" lIns="0" tIns="0" rIns="0" bIns="0" rtlCol="0">
                                <a:noAutofit/>
                              </wps:bodyPr>
                            </wps:wsp>
                            <wps:wsp>
                              <wps:cNvPr id="52438" name="Rectangle 52438"/>
                              <wps:cNvSpPr/>
                              <wps:spPr>
                                <a:xfrm rot="-5399999">
                                  <a:off x="-1088596" y="858995"/>
                                  <a:ext cx="2721748" cy="184382"/>
                                </a:xfrm>
                                <a:prstGeom prst="rect">
                                  <a:avLst/>
                                </a:prstGeom>
                                <a:ln>
                                  <a:noFill/>
                                </a:ln>
                              </wps:spPr>
                              <wps:txbx>
                                <w:txbxContent>
                                  <w:p w:rsidR="002C0F56" w:rsidRDefault="00E67C6E">
                                    <w:pPr>
                                      <w:spacing w:after="160" w:line="259" w:lineRule="auto"/>
                                      <w:ind w:left="0" w:firstLine="0"/>
                                      <w:jc w:val="left"/>
                                    </w:pPr>
                                    <w:r>
                                      <w:rPr>
                                        <w:sz w:val="24"/>
                                      </w:rPr>
                                      <w:t>предприятие МБ и ЧП  тыс.сум</w:t>
                                    </w:r>
                                  </w:p>
                                </w:txbxContent>
                              </wps:txbx>
                              <wps:bodyPr horzOverflow="overflow" vert="horz" lIns="0" tIns="0" rIns="0" bIns="0" rtlCol="0">
                                <a:noAutofit/>
                              </wps:bodyPr>
                            </wps:wsp>
                            <wps:wsp>
                              <wps:cNvPr id="52439" name="Rectangle 52439"/>
                              <wps:cNvSpPr/>
                              <wps:spPr>
                                <a:xfrm rot="-5399999">
                                  <a:off x="236819" y="125897"/>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32543" style="width:25.096pt;height:182.052pt;mso-position-horizontal-relative:char;mso-position-vertical-relative:line" coordsize="3187,23120">
                      <v:rect id="Rectangle 52437" style="position:absolute;width:30750;height:1843;left:-14453;top:6823;rotation:270;" filled="f" stroked="f">
                        <v:textbox inset="0,0,0,0" style="layout-flow:vertical;mso-layout-flow-alt:bottom-to-top">
                          <w:txbxContent>
                            <w:p>
                              <w:pPr>
                                <w:spacing w:before="0" w:after="160" w:line="259" w:lineRule="auto"/>
                                <w:ind w:left="0" w:firstLine="0"/>
                                <w:jc w:val="left"/>
                              </w:pPr>
                              <w:r>
                                <w:rPr>
                                  <w:sz w:val="24"/>
                                </w:rPr>
                                <w:t xml:space="preserve">Сумма инвестиций на 1 </w:t>
                              </w:r>
                            </w:p>
                          </w:txbxContent>
                        </v:textbox>
                      </v:rect>
                      <v:rect id="Rectangle 52438" style="position:absolute;width:27217;height:1843;left:-10885;top:8589;rotation:270;" filled="f" stroked="f">
                        <v:textbox inset="0,0,0,0" style="layout-flow:vertical;mso-layout-flow-alt:bottom-to-top">
                          <w:txbxContent>
                            <w:p>
                              <w:pPr>
                                <w:spacing w:before="0" w:after="160" w:line="259" w:lineRule="auto"/>
                                <w:ind w:left="0" w:firstLine="0"/>
                                <w:jc w:val="left"/>
                              </w:pPr>
                              <w:r>
                                <w:rPr>
                                  <w:sz w:val="24"/>
                                </w:rPr>
                                <w:t xml:space="preserve">предприятие МБ и ЧП  тыс.сум</w:t>
                              </w:r>
                            </w:p>
                          </w:txbxContent>
                        </v:textbox>
                      </v:rect>
                      <v:rect id="Rectangle 52439" style="position:absolute;width:506;height:2243;left:2368;top:1258;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2" w:firstLine="0"/>
              <w:jc w:val="left"/>
            </w:pPr>
            <w:r>
              <w:rPr>
                <w:rFonts w:ascii="Calibri" w:eastAsia="Calibri" w:hAnsi="Calibri" w:cs="Calibri"/>
                <w:noProof/>
                <w:sz w:val="22"/>
              </w:rPr>
              <mc:AlternateContent>
                <mc:Choice Requires="wpg">
                  <w:drawing>
                    <wp:inline distT="0" distB="0" distL="0" distR="0">
                      <wp:extent cx="318465" cy="2312061"/>
                      <wp:effectExtent l="0" t="0" r="0" b="0"/>
                      <wp:docPr id="632595" name="Group 632595"/>
                      <wp:cNvGraphicFramePr/>
                      <a:graphic xmlns:a="http://schemas.openxmlformats.org/drawingml/2006/main">
                        <a:graphicData uri="http://schemas.microsoft.com/office/word/2010/wordprocessingGroup">
                          <wpg:wgp>
                            <wpg:cNvGrpSpPr/>
                            <wpg:grpSpPr>
                              <a:xfrm>
                                <a:off x="0" y="0"/>
                                <a:ext cx="318465" cy="2312061"/>
                                <a:chOff x="0" y="0"/>
                                <a:chExt cx="318465" cy="2312061"/>
                              </a:xfrm>
                            </wpg:grpSpPr>
                            <wps:wsp>
                              <wps:cNvPr id="52440" name="Rectangle 52440"/>
                              <wps:cNvSpPr/>
                              <wps:spPr>
                                <a:xfrm rot="-5399999">
                                  <a:off x="-1445328" y="682349"/>
                                  <a:ext cx="3075042" cy="184382"/>
                                </a:xfrm>
                                <a:prstGeom prst="rect">
                                  <a:avLst/>
                                </a:prstGeom>
                                <a:ln>
                                  <a:noFill/>
                                </a:ln>
                              </wps:spPr>
                              <wps:txbx>
                                <w:txbxContent>
                                  <w:p w:rsidR="002C0F56" w:rsidRDefault="00E67C6E">
                                    <w:pPr>
                                      <w:spacing w:after="160" w:line="259" w:lineRule="auto"/>
                                      <w:ind w:left="0" w:firstLine="0"/>
                                      <w:jc w:val="left"/>
                                    </w:pPr>
                                    <w:r>
                                      <w:rPr>
                                        <w:sz w:val="24"/>
                                      </w:rPr>
                                      <w:t xml:space="preserve">Число банков на 10000 суб. </w:t>
                                    </w:r>
                                  </w:p>
                                </w:txbxContent>
                              </wps:txbx>
                              <wps:bodyPr horzOverflow="overflow" vert="horz" lIns="0" tIns="0" rIns="0" bIns="0" rtlCol="0">
                                <a:noAutofit/>
                              </wps:bodyPr>
                            </wps:wsp>
                            <wps:wsp>
                              <wps:cNvPr id="52441" name="Rectangle 52441"/>
                              <wps:cNvSpPr/>
                              <wps:spPr>
                                <a:xfrm rot="-5399999">
                                  <a:off x="-69614" y="1878232"/>
                                  <a:ext cx="683276" cy="184382"/>
                                </a:xfrm>
                                <a:prstGeom prst="rect">
                                  <a:avLst/>
                                </a:prstGeom>
                                <a:ln>
                                  <a:noFill/>
                                </a:ln>
                              </wps:spPr>
                              <wps:txbx>
                                <w:txbxContent>
                                  <w:p w:rsidR="002C0F56" w:rsidRDefault="00E67C6E">
                                    <w:pPr>
                                      <w:spacing w:after="160" w:line="259" w:lineRule="auto"/>
                                      <w:ind w:left="0" w:firstLine="0"/>
                                      <w:jc w:val="left"/>
                                    </w:pPr>
                                    <w:r>
                                      <w:rPr>
                                        <w:sz w:val="24"/>
                                      </w:rPr>
                                      <w:t>МБиЧП</w:t>
                                    </w:r>
                                  </w:p>
                                </w:txbxContent>
                              </wps:txbx>
                              <wps:bodyPr horzOverflow="overflow" vert="horz" lIns="0" tIns="0" rIns="0" bIns="0" rtlCol="0">
                                <a:noAutofit/>
                              </wps:bodyPr>
                            </wps:wsp>
                            <wps:wsp>
                              <wps:cNvPr id="52442" name="Rectangle 52442"/>
                              <wps:cNvSpPr/>
                              <wps:spPr>
                                <a:xfrm rot="-5399999">
                                  <a:off x="236565" y="1660565"/>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32595" style="width:25.076pt;height:182.052pt;mso-position-horizontal-relative:char;mso-position-vertical-relative:line" coordsize="3184,23120">
                      <v:rect id="Rectangle 52440" style="position:absolute;width:30750;height:1843;left:-14453;top:6823;rotation:270;" filled="f" stroked="f">
                        <v:textbox inset="0,0,0,0" style="layout-flow:vertical;mso-layout-flow-alt:bottom-to-top">
                          <w:txbxContent>
                            <w:p>
                              <w:pPr>
                                <w:spacing w:before="0" w:after="160" w:line="259" w:lineRule="auto"/>
                                <w:ind w:left="0" w:firstLine="0"/>
                                <w:jc w:val="left"/>
                              </w:pPr>
                              <w:r>
                                <w:rPr>
                                  <w:sz w:val="24"/>
                                </w:rPr>
                                <w:t xml:space="preserve">Число банков на 10000 суб. </w:t>
                              </w:r>
                            </w:p>
                          </w:txbxContent>
                        </v:textbox>
                      </v:rect>
                      <v:rect id="Rectangle 52441" style="position:absolute;width:6832;height:1843;left:-696;top:18782;rotation:270;" filled="f" stroked="f">
                        <v:textbox inset="0,0,0,0" style="layout-flow:vertical;mso-layout-flow-alt:bottom-to-top">
                          <w:txbxContent>
                            <w:p>
                              <w:pPr>
                                <w:spacing w:before="0" w:after="160" w:line="259" w:lineRule="auto"/>
                                <w:ind w:left="0" w:firstLine="0"/>
                                <w:jc w:val="left"/>
                              </w:pPr>
                              <w:r>
                                <w:rPr>
                                  <w:sz w:val="24"/>
                                </w:rPr>
                                <w:t xml:space="preserve">МБиЧП</w:t>
                              </w:r>
                            </w:p>
                          </w:txbxContent>
                        </v:textbox>
                      </v:rect>
                      <v:rect id="Rectangle 52442" style="position:absolute;width:506;height:2243;left:2365;top:16605;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2" w:firstLine="0"/>
              <w:jc w:val="left"/>
            </w:pPr>
            <w:r>
              <w:rPr>
                <w:rFonts w:ascii="Calibri" w:eastAsia="Calibri" w:hAnsi="Calibri" w:cs="Calibri"/>
                <w:noProof/>
                <w:sz w:val="22"/>
              </w:rPr>
              <mc:AlternateContent>
                <mc:Choice Requires="wpg">
                  <w:drawing>
                    <wp:inline distT="0" distB="0" distL="0" distR="0">
                      <wp:extent cx="318465" cy="2311299"/>
                      <wp:effectExtent l="0" t="0" r="0" b="0"/>
                      <wp:docPr id="632656" name="Group 632656"/>
                      <wp:cNvGraphicFramePr/>
                      <a:graphic xmlns:a="http://schemas.openxmlformats.org/drawingml/2006/main">
                        <a:graphicData uri="http://schemas.microsoft.com/office/word/2010/wordprocessingGroup">
                          <wpg:wgp>
                            <wpg:cNvGrpSpPr/>
                            <wpg:grpSpPr>
                              <a:xfrm>
                                <a:off x="0" y="0"/>
                                <a:ext cx="318465" cy="2311299"/>
                                <a:chOff x="0" y="0"/>
                                <a:chExt cx="318465" cy="2311299"/>
                              </a:xfrm>
                            </wpg:grpSpPr>
                            <wps:wsp>
                              <wps:cNvPr id="52443" name="Rectangle 52443"/>
                              <wps:cNvSpPr/>
                              <wps:spPr>
                                <a:xfrm rot="-5399999">
                                  <a:off x="-1444822" y="682094"/>
                                  <a:ext cx="3074028" cy="184382"/>
                                </a:xfrm>
                                <a:prstGeom prst="rect">
                                  <a:avLst/>
                                </a:prstGeom>
                                <a:ln>
                                  <a:noFill/>
                                </a:ln>
                              </wps:spPr>
                              <wps:txbx>
                                <w:txbxContent>
                                  <w:p w:rsidR="002C0F56" w:rsidRDefault="00E67C6E">
                                    <w:pPr>
                                      <w:spacing w:after="160" w:line="259" w:lineRule="auto"/>
                                      <w:ind w:left="0" w:firstLine="0"/>
                                      <w:jc w:val="left"/>
                                    </w:pPr>
                                    <w:r>
                                      <w:rPr>
                                        <w:sz w:val="24"/>
                                      </w:rPr>
                                      <w:t xml:space="preserve">Число кредитных организаций  на </w:t>
                                    </w:r>
                                  </w:p>
                                </w:txbxContent>
                              </wps:txbx>
                              <wps:bodyPr horzOverflow="overflow" vert="horz" lIns="0" tIns="0" rIns="0" bIns="0" rtlCol="0">
                                <a:noAutofit/>
                              </wps:bodyPr>
                            </wps:wsp>
                            <wps:wsp>
                              <wps:cNvPr id="629401" name="Rectangle 629401"/>
                              <wps:cNvSpPr/>
                              <wps:spPr>
                                <a:xfrm rot="-5399999">
                                  <a:off x="-121378" y="1825704"/>
                                  <a:ext cx="1635523" cy="184382"/>
                                </a:xfrm>
                                <a:prstGeom prst="rect">
                                  <a:avLst/>
                                </a:prstGeom>
                                <a:ln>
                                  <a:noFill/>
                                </a:ln>
                              </wps:spPr>
                              <wps:txbx>
                                <w:txbxContent>
                                  <w:p w:rsidR="002C0F56" w:rsidRDefault="00E67C6E">
                                    <w:pPr>
                                      <w:spacing w:after="160" w:line="259" w:lineRule="auto"/>
                                      <w:ind w:left="0" w:firstLine="0"/>
                                      <w:jc w:val="left"/>
                                    </w:pPr>
                                    <w:r>
                                      <w:rPr>
                                        <w:sz w:val="24"/>
                                      </w:rPr>
                                      <w:t>10000</w:t>
                                    </w:r>
                                  </w:p>
                                </w:txbxContent>
                              </wps:txbx>
                              <wps:bodyPr horzOverflow="overflow" vert="horz" lIns="0" tIns="0" rIns="0" bIns="0" rtlCol="0">
                                <a:noAutofit/>
                              </wps:bodyPr>
                            </wps:wsp>
                            <wps:wsp>
                              <wps:cNvPr id="629402" name="Rectangle 629402"/>
                              <wps:cNvSpPr/>
                              <wps:spPr>
                                <a:xfrm rot="-5399999">
                                  <a:off x="-736237" y="1210846"/>
                                  <a:ext cx="1635523" cy="184382"/>
                                </a:xfrm>
                                <a:prstGeom prst="rect">
                                  <a:avLst/>
                                </a:prstGeom>
                                <a:ln>
                                  <a:noFill/>
                                </a:ln>
                              </wps:spPr>
                              <wps:txbx>
                                <w:txbxContent>
                                  <w:p w:rsidR="002C0F56" w:rsidRDefault="00E67C6E">
                                    <w:pPr>
                                      <w:spacing w:after="160" w:line="259" w:lineRule="auto"/>
                                      <w:ind w:left="0" w:firstLine="0"/>
                                      <w:jc w:val="left"/>
                                    </w:pPr>
                                    <w:r>
                                      <w:rPr>
                                        <w:sz w:val="24"/>
                                      </w:rPr>
                                      <w:t xml:space="preserve"> суб. МБиЧП</w:t>
                                    </w:r>
                                  </w:p>
                                </w:txbxContent>
                              </wps:txbx>
                              <wps:bodyPr horzOverflow="overflow" vert="horz" lIns="0" tIns="0" rIns="0" bIns="0" rtlCol="0">
                                <a:noAutofit/>
                              </wps:bodyPr>
                            </wps:wsp>
                            <wps:wsp>
                              <wps:cNvPr id="52445" name="Rectangle 52445"/>
                              <wps:cNvSpPr/>
                              <wps:spPr>
                                <a:xfrm rot="-5399999">
                                  <a:off x="236565" y="943523"/>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32656" style="width:25.076pt;height:181.992pt;mso-position-horizontal-relative:char;mso-position-vertical-relative:line" coordsize="3184,23112">
                      <v:rect id="Rectangle 52443" style="position:absolute;width:30740;height:1843;left:-14448;top:6820;rotation:270;" filled="f" stroked="f">
                        <v:textbox inset="0,0,0,0" style="layout-flow:vertical;mso-layout-flow-alt:bottom-to-top">
                          <w:txbxContent>
                            <w:p>
                              <w:pPr>
                                <w:spacing w:before="0" w:after="160" w:line="259" w:lineRule="auto"/>
                                <w:ind w:left="0" w:firstLine="0"/>
                                <w:jc w:val="left"/>
                              </w:pPr>
                              <w:r>
                                <w:rPr>
                                  <w:sz w:val="24"/>
                                </w:rPr>
                                <w:t xml:space="preserve">Число кредитных организаций  на </w:t>
                              </w:r>
                            </w:p>
                          </w:txbxContent>
                        </v:textbox>
                      </v:rect>
                      <v:rect id="Rectangle 629401" style="position:absolute;width:16355;height:1843;left:-1213;top:18257;rotation:270;" filled="f" stroked="f">
                        <v:textbox inset="0,0,0,0" style="layout-flow:vertical;mso-layout-flow-alt:bottom-to-top">
                          <w:txbxContent>
                            <w:p>
                              <w:pPr>
                                <w:spacing w:before="0" w:after="160" w:line="259" w:lineRule="auto"/>
                                <w:ind w:left="0" w:firstLine="0"/>
                                <w:jc w:val="left"/>
                              </w:pPr>
                              <w:r>
                                <w:rPr>
                                  <w:sz w:val="24"/>
                                </w:rPr>
                                <w:t xml:space="preserve">10000</w:t>
                              </w:r>
                            </w:p>
                          </w:txbxContent>
                        </v:textbox>
                      </v:rect>
                      <v:rect id="Rectangle 629402" style="position:absolute;width:16355;height:1843;left:-7362;top:12108;rotation:270;" filled="f" stroked="f">
                        <v:textbox inset="0,0,0,0" style="layout-flow:vertical;mso-layout-flow-alt:bottom-to-top">
                          <w:txbxContent>
                            <w:p>
                              <w:pPr>
                                <w:spacing w:before="0" w:after="160" w:line="259" w:lineRule="auto"/>
                                <w:ind w:left="0" w:firstLine="0"/>
                                <w:jc w:val="left"/>
                              </w:pPr>
                              <w:r>
                                <w:rPr>
                                  <w:sz w:val="24"/>
                                </w:rPr>
                                <w:t xml:space="preserve"> суб. МБиЧП</w:t>
                              </w:r>
                            </w:p>
                          </w:txbxContent>
                        </v:textbox>
                      </v:rect>
                      <v:rect id="Rectangle 52445" style="position:absolute;width:506;height:2243;left:2365;top:9435;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2" w:firstLine="0"/>
              <w:jc w:val="left"/>
            </w:pPr>
            <w:r>
              <w:rPr>
                <w:rFonts w:ascii="Calibri" w:eastAsia="Calibri" w:hAnsi="Calibri" w:cs="Calibri"/>
                <w:noProof/>
                <w:sz w:val="22"/>
              </w:rPr>
              <mc:AlternateContent>
                <mc:Choice Requires="wpg">
                  <w:drawing>
                    <wp:inline distT="0" distB="0" distL="0" distR="0">
                      <wp:extent cx="318465" cy="2311756"/>
                      <wp:effectExtent l="0" t="0" r="0" b="0"/>
                      <wp:docPr id="632660" name="Group 632660"/>
                      <wp:cNvGraphicFramePr/>
                      <a:graphic xmlns:a="http://schemas.openxmlformats.org/drawingml/2006/main">
                        <a:graphicData uri="http://schemas.microsoft.com/office/word/2010/wordprocessingGroup">
                          <wpg:wgp>
                            <wpg:cNvGrpSpPr/>
                            <wpg:grpSpPr>
                              <a:xfrm>
                                <a:off x="0" y="0"/>
                                <a:ext cx="318465" cy="2311756"/>
                                <a:chOff x="0" y="0"/>
                                <a:chExt cx="318465" cy="2311756"/>
                              </a:xfrm>
                            </wpg:grpSpPr>
                            <wps:wsp>
                              <wps:cNvPr id="52446" name="Rectangle 52446"/>
                              <wps:cNvSpPr/>
                              <wps:spPr>
                                <a:xfrm rot="-5399999">
                                  <a:off x="-1445126" y="682247"/>
                                  <a:ext cx="3074636" cy="184382"/>
                                </a:xfrm>
                                <a:prstGeom prst="rect">
                                  <a:avLst/>
                                </a:prstGeom>
                                <a:ln>
                                  <a:noFill/>
                                </a:ln>
                              </wps:spPr>
                              <wps:txbx>
                                <w:txbxContent>
                                  <w:p w:rsidR="002C0F56" w:rsidRDefault="00E67C6E">
                                    <w:pPr>
                                      <w:spacing w:after="160" w:line="259" w:lineRule="auto"/>
                                      <w:ind w:left="0" w:firstLine="0"/>
                                      <w:jc w:val="left"/>
                                    </w:pPr>
                                    <w:r>
                                      <w:rPr>
                                        <w:sz w:val="24"/>
                                      </w:rPr>
                                      <w:t xml:space="preserve">Число страховых компаний на </w:t>
                                    </w:r>
                                  </w:p>
                                </w:txbxContent>
                              </wps:txbx>
                              <wps:bodyPr horzOverflow="overflow" vert="horz" lIns="0" tIns="0" rIns="0" bIns="0" rtlCol="0">
                                <a:noAutofit/>
                              </wps:bodyPr>
                            </wps:wsp>
                            <wps:wsp>
                              <wps:cNvPr id="629403" name="Rectangle 629403"/>
                              <wps:cNvSpPr/>
                              <wps:spPr>
                                <a:xfrm rot="-5399999">
                                  <a:off x="-121380" y="1826161"/>
                                  <a:ext cx="1635523" cy="184382"/>
                                </a:xfrm>
                                <a:prstGeom prst="rect">
                                  <a:avLst/>
                                </a:prstGeom>
                                <a:ln>
                                  <a:noFill/>
                                </a:ln>
                              </wps:spPr>
                              <wps:txbx>
                                <w:txbxContent>
                                  <w:p w:rsidR="002C0F56" w:rsidRDefault="00E67C6E">
                                    <w:pPr>
                                      <w:spacing w:after="160" w:line="259" w:lineRule="auto"/>
                                      <w:ind w:left="0" w:firstLine="0"/>
                                      <w:jc w:val="left"/>
                                    </w:pPr>
                                    <w:r>
                                      <w:rPr>
                                        <w:sz w:val="24"/>
                                      </w:rPr>
                                      <w:t>10000</w:t>
                                    </w:r>
                                  </w:p>
                                </w:txbxContent>
                              </wps:txbx>
                              <wps:bodyPr horzOverflow="overflow" vert="horz" lIns="0" tIns="0" rIns="0" bIns="0" rtlCol="0">
                                <a:noAutofit/>
                              </wps:bodyPr>
                            </wps:wsp>
                            <wps:wsp>
                              <wps:cNvPr id="629404" name="Rectangle 629404"/>
                              <wps:cNvSpPr/>
                              <wps:spPr>
                                <a:xfrm rot="-5399999">
                                  <a:off x="-736237" y="1211304"/>
                                  <a:ext cx="1635523" cy="184382"/>
                                </a:xfrm>
                                <a:prstGeom prst="rect">
                                  <a:avLst/>
                                </a:prstGeom>
                                <a:ln>
                                  <a:noFill/>
                                </a:ln>
                              </wps:spPr>
                              <wps:txbx>
                                <w:txbxContent>
                                  <w:p w:rsidR="002C0F56" w:rsidRDefault="00E67C6E">
                                    <w:pPr>
                                      <w:spacing w:after="160" w:line="259" w:lineRule="auto"/>
                                      <w:ind w:left="0" w:firstLine="0"/>
                                      <w:jc w:val="left"/>
                                    </w:pPr>
                                    <w:r>
                                      <w:rPr>
                                        <w:sz w:val="24"/>
                                      </w:rPr>
                                      <w:t xml:space="preserve"> суб. МБиЧП</w:t>
                                    </w:r>
                                  </w:p>
                                </w:txbxContent>
                              </wps:txbx>
                              <wps:bodyPr horzOverflow="overflow" vert="horz" lIns="0" tIns="0" rIns="0" bIns="0" rtlCol="0">
                                <a:noAutofit/>
                              </wps:bodyPr>
                            </wps:wsp>
                            <wps:wsp>
                              <wps:cNvPr id="52448" name="Rectangle 52448"/>
                              <wps:cNvSpPr/>
                              <wps:spPr>
                                <a:xfrm rot="-5399999">
                                  <a:off x="236565" y="943980"/>
                                  <a:ext cx="50672" cy="224379"/>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52449" name="Rectangle 52449"/>
                              <wps:cNvSpPr/>
                              <wps:spPr>
                                <a:xfrm rot="-5399999">
                                  <a:off x="236565" y="905880"/>
                                  <a:ext cx="50672" cy="224379"/>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32660" style="width:25.076pt;height:182.028pt;mso-position-horizontal-relative:char;mso-position-vertical-relative:line" coordsize="3184,23117">
                      <v:rect id="Rectangle 52446" style="position:absolute;width:30746;height:1843;left:-14451;top:6822;rotation:270;" filled="f" stroked="f">
                        <v:textbox inset="0,0,0,0" style="layout-flow:vertical;mso-layout-flow-alt:bottom-to-top">
                          <w:txbxContent>
                            <w:p>
                              <w:pPr>
                                <w:spacing w:before="0" w:after="160" w:line="259" w:lineRule="auto"/>
                                <w:ind w:left="0" w:firstLine="0"/>
                                <w:jc w:val="left"/>
                              </w:pPr>
                              <w:r>
                                <w:rPr>
                                  <w:sz w:val="24"/>
                                </w:rPr>
                                <w:t xml:space="preserve">Число страховых компаний на </w:t>
                              </w:r>
                            </w:p>
                          </w:txbxContent>
                        </v:textbox>
                      </v:rect>
                      <v:rect id="Rectangle 629403" style="position:absolute;width:16355;height:1843;left:-1213;top:18261;rotation:270;" filled="f" stroked="f">
                        <v:textbox inset="0,0,0,0" style="layout-flow:vertical;mso-layout-flow-alt:bottom-to-top">
                          <w:txbxContent>
                            <w:p>
                              <w:pPr>
                                <w:spacing w:before="0" w:after="160" w:line="259" w:lineRule="auto"/>
                                <w:ind w:left="0" w:firstLine="0"/>
                                <w:jc w:val="left"/>
                              </w:pPr>
                              <w:r>
                                <w:rPr>
                                  <w:sz w:val="24"/>
                                </w:rPr>
                                <w:t xml:space="preserve">10000</w:t>
                              </w:r>
                            </w:p>
                          </w:txbxContent>
                        </v:textbox>
                      </v:rect>
                      <v:rect id="Rectangle 629404" style="position:absolute;width:16355;height:1843;left:-7362;top:12113;rotation:270;" filled="f" stroked="f">
                        <v:textbox inset="0,0,0,0" style="layout-flow:vertical;mso-layout-flow-alt:bottom-to-top">
                          <w:txbxContent>
                            <w:p>
                              <w:pPr>
                                <w:spacing w:before="0" w:after="160" w:line="259" w:lineRule="auto"/>
                                <w:ind w:left="0" w:firstLine="0"/>
                                <w:jc w:val="left"/>
                              </w:pPr>
                              <w:r>
                                <w:rPr>
                                  <w:sz w:val="24"/>
                                </w:rPr>
                                <w:t xml:space="preserve"> суб. МБиЧП</w:t>
                              </w:r>
                            </w:p>
                          </w:txbxContent>
                        </v:textbox>
                      </v:rect>
                      <v:rect id="Rectangle 52448" style="position:absolute;width:506;height:2243;left:2365;top:9439;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rect id="Rectangle 52449" style="position:absolute;width:506;height:2243;left:2365;top:9058;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group>
                  </w:pict>
                </mc:Fallback>
              </mc:AlternateContent>
            </w:r>
          </w:p>
        </w:tc>
      </w:tr>
      <w:tr w:rsidR="002C0F56">
        <w:trPr>
          <w:trHeight w:val="562"/>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21" w:line="259" w:lineRule="auto"/>
              <w:ind w:left="0" w:firstLine="0"/>
              <w:jc w:val="left"/>
            </w:pPr>
            <w:r>
              <w:rPr>
                <w:sz w:val="24"/>
              </w:rPr>
              <w:t xml:space="preserve">Всего  </w:t>
            </w:r>
          </w:p>
          <w:p w:rsidR="002C0F56" w:rsidRDefault="00E67C6E">
            <w:pPr>
              <w:spacing w:after="0" w:line="259" w:lineRule="auto"/>
              <w:ind w:left="0" w:firstLine="0"/>
              <w:jc w:val="left"/>
            </w:pPr>
            <w:r>
              <w:rPr>
                <w:sz w:val="24"/>
              </w:rPr>
              <w:t xml:space="preserve">В том числе: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28,0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82,4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581,2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52,5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7,3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28 </w:t>
            </w:r>
          </w:p>
        </w:tc>
      </w:tr>
      <w:tr w:rsidR="002C0F56">
        <w:trPr>
          <w:trHeight w:val="398"/>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АР Каракалпакия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36,2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62,8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546,1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76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4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24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Области: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0" w:firstLine="0"/>
              <w:jc w:val="center"/>
            </w:pPr>
            <w:r>
              <w:rPr>
                <w:sz w:val="24"/>
              </w:rPr>
              <w:t xml:space="preserve">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7" w:firstLine="0"/>
              <w:jc w:val="center"/>
            </w:pPr>
            <w:r>
              <w:rPr>
                <w:sz w:val="24"/>
              </w:rPr>
              <w:t xml:space="preserve">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8" w:firstLine="0"/>
              <w:jc w:val="center"/>
            </w:pPr>
            <w:r>
              <w:rPr>
                <w:sz w:val="24"/>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0" w:firstLine="0"/>
              <w:jc w:val="center"/>
            </w:pPr>
            <w:r>
              <w:rPr>
                <w:sz w:val="24"/>
              </w:rPr>
              <w:t xml:space="preserve">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7" w:firstLine="0"/>
              <w:jc w:val="center"/>
            </w:pPr>
            <w:r>
              <w:rPr>
                <w:sz w:val="24"/>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0" w:firstLine="0"/>
              <w:jc w:val="center"/>
            </w:pPr>
            <w:r>
              <w:rPr>
                <w:sz w:val="24"/>
              </w:rPr>
              <w:t xml:space="preserve">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Андижанская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25,2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52,3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291,3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43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8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12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Бухарская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27,0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61,7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1790,5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63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7,8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21 </w:t>
            </w:r>
          </w:p>
        </w:tc>
      </w:tr>
      <w:tr w:rsidR="002C0F56">
        <w:trPr>
          <w:trHeight w:val="288"/>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Жиззахская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23,0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123,3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414,1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68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2,6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25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Кашкадарьинская</w:t>
            </w:r>
            <w:r>
              <w:rPr>
                <w:sz w:val="24"/>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24,1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17,7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359,9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19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1,2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71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Навоийская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38,8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225,4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1315,6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69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7,6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21,4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Наманганская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32,8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66,1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346,5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54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2,8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9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Самаркандская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17,1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57,6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501,6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74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5,4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34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Сурхондарьинская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27,6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72,3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374,2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77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3,4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57 </w:t>
            </w:r>
          </w:p>
        </w:tc>
      </w:tr>
      <w:tr w:rsidR="002C0F56">
        <w:trPr>
          <w:trHeight w:val="288"/>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Сырдарьинская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33,6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93,9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450,2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66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3,1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24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Ташкентская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47,6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244,6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940,4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54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8,4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86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Ферганская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35,8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84,1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425,9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57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1,2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47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Хорезмская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31,2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62,7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293,1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56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0,27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22 </w:t>
            </w:r>
          </w:p>
        </w:tc>
      </w:tr>
      <w:tr w:rsidR="002C0F56">
        <w:trPr>
          <w:trHeight w:val="286"/>
        </w:trPr>
        <w:tc>
          <w:tcPr>
            <w:tcW w:w="25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Город Ташкент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36,7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94,8 </w:t>
            </w:r>
          </w:p>
        </w:tc>
        <w:tc>
          <w:tcPr>
            <w:tcW w:w="12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679,4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51.3 </w:t>
            </w:r>
          </w:p>
        </w:tc>
        <w:tc>
          <w:tcPr>
            <w:tcW w:w="126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2 </w:t>
            </w:r>
          </w:p>
        </w:tc>
        <w:tc>
          <w:tcPr>
            <w:tcW w:w="108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67 </w:t>
            </w:r>
          </w:p>
        </w:tc>
      </w:tr>
    </w:tbl>
    <w:p w:rsidR="002C0F56" w:rsidRDefault="00E67C6E">
      <w:pPr>
        <w:spacing w:after="23" w:line="259" w:lineRule="auto"/>
        <w:ind w:left="10" w:right="300" w:hanging="10"/>
        <w:jc w:val="right"/>
      </w:pPr>
      <w:r>
        <w:rPr>
          <w:sz w:val="24"/>
        </w:rPr>
        <w:lastRenderedPageBreak/>
        <w:t xml:space="preserve">Источник: Составлено автором на основе статистических данных Государственного </w:t>
      </w:r>
    </w:p>
    <w:p w:rsidR="002C0F56" w:rsidRDefault="00E67C6E">
      <w:pPr>
        <w:spacing w:after="5" w:line="271" w:lineRule="auto"/>
        <w:ind w:left="1004" w:hanging="10"/>
        <w:jc w:val="left"/>
      </w:pPr>
      <w:r>
        <w:rPr>
          <w:sz w:val="24"/>
        </w:rPr>
        <w:t xml:space="preserve">Комитета Статистики  Республики Узбекистан  </w:t>
      </w:r>
    </w:p>
    <w:p w:rsidR="002C0F56" w:rsidRDefault="00E67C6E">
      <w:pPr>
        <w:spacing w:after="0" w:line="259" w:lineRule="auto"/>
        <w:ind w:left="1558" w:firstLine="0"/>
        <w:jc w:val="left"/>
      </w:pPr>
      <w:r>
        <w:t xml:space="preserve"> </w:t>
      </w:r>
    </w:p>
    <w:p w:rsidR="002C0F56" w:rsidRDefault="00E67C6E">
      <w:pPr>
        <w:spacing w:after="0"/>
        <w:ind w:left="994" w:right="302"/>
      </w:pPr>
      <w:r>
        <w:t>Анализируя данные таблицы №2 и применяя метод ранжирования можно сказать что наиболее благоприятный деловой климат и развитая инфр</w:t>
      </w:r>
      <w:r>
        <w:t>аструктура на сегодняшний день приходится на Ташкентскую область(1место), Навоийскую область(2 место) и Республику Каракалпакия (3 место). Самые последние места  в данном списке приходятся на Наманганскую, Хорезмскую и Кашкадарьинские области. Но при испол</w:t>
      </w:r>
      <w:r>
        <w:t>ьзовании банного метода нельзя забывать, что кроме общего мест, нужно принимать во внимание и отдельные показатели, характеризующие определённые данные. В некоторых случаях нужно отметить большое число обслуживающих структур на меньшее число предприятий. Т</w:t>
      </w:r>
      <w:r>
        <w:t xml:space="preserve">акая ситуация отмечается в Сырдарьинской области. Благодаря региональному анализу можно определить наиболее развивающиеся области, что в дальнейшем поможет определить потребности каждого региона в определённом </w:t>
      </w:r>
      <w:r>
        <w:tab/>
        <w:t xml:space="preserve">субъекте </w:t>
      </w:r>
      <w:r>
        <w:tab/>
        <w:t xml:space="preserve">инфраструктуры </w:t>
      </w:r>
      <w:r>
        <w:tab/>
        <w:t xml:space="preserve">малого </w:t>
      </w:r>
      <w:r>
        <w:tab/>
        <w:t xml:space="preserve">бизнеса </w:t>
      </w:r>
      <w:r>
        <w:tab/>
        <w:t xml:space="preserve">и </w:t>
      </w:r>
      <w:r>
        <w:tab/>
        <w:t xml:space="preserve">частного предпринимательства.  </w:t>
      </w:r>
    </w:p>
    <w:p w:rsidR="002C0F56" w:rsidRDefault="00E67C6E">
      <w:pPr>
        <w:spacing w:after="0"/>
        <w:ind w:left="994" w:right="302"/>
      </w:pPr>
      <w:r>
        <w:t>Анализируя официальную статистику, можно основательно утверждать, что малый бизнес создает в Узбекистане устойчивый многочисленный слой собственников. По своему уровню жизни и социальному положению они представляют непрерыв</w:t>
      </w:r>
      <w:r>
        <w:t>но растущий средний класс, являясь одновременно как производителями, так и потребителями широкого спектра товаров и предоставляемых услуг. Негосударственный сектор образует сегодня в республике самую разветвленную сеть предприятий, действующих в основном н</w:t>
      </w:r>
      <w:r>
        <w:t>а местных рынках и непосредственно связанных с массовым потребителем, что, в свою очередь, в сочетании с небольшими размерами предприятий, их технологической, производственной и управленческой гибкостью позволяет своевременно реагировать на меняющуюся конъ</w:t>
      </w:r>
      <w:r>
        <w:t xml:space="preserve">юнктуру рынка.  </w:t>
      </w:r>
    </w:p>
    <w:p w:rsidR="002C0F56" w:rsidRDefault="00E67C6E">
      <w:pPr>
        <w:spacing w:after="0"/>
        <w:ind w:left="994" w:right="302"/>
      </w:pPr>
      <w:r>
        <w:t>Это позволит создать в стране широкую сеть гибких производств, способных конкурировать на внутреннем и внешнем рынках, создавая дополнительные рабочие места, что в конечном итоге это даст возможность повысить уровень благосостояния граждан, который являетс</w:t>
      </w:r>
      <w:r>
        <w:t xml:space="preserve">я барометром экономических достижений общества и страны в целом.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62"/>
        </w:numPr>
        <w:spacing w:after="12"/>
        <w:ind w:right="302"/>
      </w:pPr>
      <w:r>
        <w:t xml:space="preserve">Курс предпринимательства: учебник для вузов/В.Я. Горфинкель, </w:t>
      </w:r>
    </w:p>
    <w:p w:rsidR="002C0F56" w:rsidRDefault="00E67C6E">
      <w:pPr>
        <w:ind w:left="994" w:right="302" w:firstLine="0"/>
      </w:pPr>
      <w:r>
        <w:t xml:space="preserve">В.А.Швандар, Е.М. Купряков и др.; Под ред. проф. В.Я. Горфинкеля, проф. В.А. Швандара. - </w:t>
      </w:r>
      <w:r>
        <w:t xml:space="preserve">М.: Финансы, ЮНИТИ, 1997г., с.147 </w:t>
      </w:r>
    </w:p>
    <w:p w:rsidR="002C0F56" w:rsidRDefault="00E67C6E">
      <w:pPr>
        <w:numPr>
          <w:ilvl w:val="0"/>
          <w:numId w:val="162"/>
        </w:numPr>
        <w:ind w:right="302"/>
      </w:pPr>
      <w:r>
        <w:lastRenderedPageBreak/>
        <w:t xml:space="preserve">Н.Махмудов, К.Мирдадаев, и др. Управление малым бизнесом в период Мирового финансово-экономического кризиса Монография. –Наманган: </w:t>
      </w:r>
    </w:p>
    <w:p w:rsidR="002C0F56" w:rsidRDefault="00E67C6E">
      <w:pPr>
        <w:ind w:left="994" w:right="302" w:firstLine="0"/>
      </w:pPr>
      <w:r>
        <w:t xml:space="preserve">НамМЭИ, 2009,  </w:t>
      </w:r>
    </w:p>
    <w:p w:rsidR="002C0F56" w:rsidRDefault="00E67C6E">
      <w:pPr>
        <w:numPr>
          <w:ilvl w:val="0"/>
          <w:numId w:val="162"/>
        </w:numPr>
        <w:ind w:right="302"/>
      </w:pPr>
      <w:r>
        <w:t>Ш.Эргашходжаева, А.Самадов «Малый бизнес и предпринимательство»-</w:t>
      </w:r>
    </w:p>
    <w:p w:rsidR="002C0F56" w:rsidRDefault="00E67C6E">
      <w:pPr>
        <w:ind w:left="994" w:right="302" w:firstLine="0"/>
      </w:pPr>
      <w:r>
        <w:t>Т:Мехнат</w:t>
      </w:r>
      <w:r>
        <w:t xml:space="preserve">,2010 </w:t>
      </w:r>
    </w:p>
    <w:p w:rsidR="002C0F56" w:rsidRDefault="00E67C6E">
      <w:pPr>
        <w:numPr>
          <w:ilvl w:val="0"/>
          <w:numId w:val="162"/>
        </w:numPr>
        <w:ind w:right="302"/>
      </w:pPr>
      <w:r>
        <w:t xml:space="preserve">Государственная Программа по развитию малого бизнеса и частного предпринимательства Республики Узбекистан </w:t>
      </w:r>
    </w:p>
    <w:p w:rsidR="002C0F56" w:rsidRDefault="00E67C6E">
      <w:pPr>
        <w:numPr>
          <w:ilvl w:val="0"/>
          <w:numId w:val="162"/>
        </w:numPr>
        <w:ind w:right="302"/>
      </w:pPr>
      <w:r>
        <w:t xml:space="preserve">Данные </w:t>
      </w:r>
      <w:r>
        <w:tab/>
        <w:t xml:space="preserve">Государственного </w:t>
      </w:r>
      <w:r>
        <w:tab/>
        <w:t xml:space="preserve">Комитета </w:t>
      </w:r>
      <w:r>
        <w:tab/>
        <w:t xml:space="preserve">Статистики </w:t>
      </w:r>
      <w:r>
        <w:tab/>
        <w:t xml:space="preserve"> </w:t>
      </w:r>
      <w:r>
        <w:tab/>
        <w:t xml:space="preserve">Республики </w:t>
      </w:r>
    </w:p>
    <w:p w:rsidR="002C0F56" w:rsidRDefault="00E67C6E">
      <w:pPr>
        <w:spacing w:after="12"/>
        <w:ind w:left="994" w:right="302" w:firstLine="0"/>
      </w:pPr>
      <w:r>
        <w:t xml:space="preserve">Узбекистан за 2016 год  </w:t>
      </w:r>
    </w:p>
    <w:p w:rsidR="002C0F56" w:rsidRDefault="00E67C6E">
      <w:pPr>
        <w:spacing w:after="0" w:line="259" w:lineRule="auto"/>
        <w:ind w:left="1558" w:firstLine="0"/>
        <w:jc w:val="left"/>
      </w:pPr>
      <w:r>
        <w:t xml:space="preserve"> </w:t>
      </w:r>
    </w:p>
    <w:p w:rsidR="002C0F56" w:rsidRDefault="00E67C6E">
      <w:pPr>
        <w:spacing w:after="23" w:line="259" w:lineRule="auto"/>
        <w:ind w:left="1558" w:firstLine="0"/>
        <w:jc w:val="left"/>
      </w:pPr>
      <w:r>
        <w:rPr>
          <w:b/>
        </w:rPr>
        <w:t xml:space="preserve"> </w:t>
      </w:r>
    </w:p>
    <w:p w:rsidR="002C0F56" w:rsidRDefault="00E67C6E">
      <w:pPr>
        <w:spacing w:after="25" w:line="259" w:lineRule="auto"/>
        <w:ind w:left="10" w:right="307" w:hanging="10"/>
        <w:jc w:val="right"/>
      </w:pPr>
      <w:r>
        <w:rPr>
          <w:b/>
        </w:rPr>
        <w:t xml:space="preserve">Мухитдинов Ш. З. </w:t>
      </w:r>
    </w:p>
    <w:p w:rsidR="002C0F56" w:rsidRDefault="00E67C6E">
      <w:pPr>
        <w:spacing w:after="0" w:line="267" w:lineRule="auto"/>
        <w:ind w:left="905" w:right="310" w:hanging="10"/>
        <w:jc w:val="right"/>
      </w:pPr>
      <w:r>
        <w:rPr>
          <w:i/>
        </w:rPr>
        <w:t xml:space="preserve">Наманганский инженерно технологический институт  </w:t>
      </w:r>
    </w:p>
    <w:p w:rsidR="002C0F56" w:rsidRDefault="00E67C6E">
      <w:pPr>
        <w:spacing w:after="0" w:line="259" w:lineRule="auto"/>
        <w:ind w:left="1558" w:firstLine="0"/>
        <w:jc w:val="left"/>
      </w:pPr>
      <w:r>
        <w:rPr>
          <w:b/>
        </w:rPr>
        <w:t xml:space="preserve"> </w:t>
      </w:r>
    </w:p>
    <w:p w:rsidR="002C0F56" w:rsidRDefault="00E67C6E">
      <w:pPr>
        <w:pStyle w:val="1"/>
        <w:spacing w:after="15" w:line="271" w:lineRule="auto"/>
        <w:ind w:left="1032" w:right="0"/>
        <w:jc w:val="left"/>
      </w:pPr>
      <w:r>
        <w:t xml:space="preserve">РЕГИОНАЛЬНЫЕ ОСОБЕННОСТИ МАЛОГО БИЗНЕСА И ЧАСТНОГО </w:t>
      </w:r>
    </w:p>
    <w:p w:rsidR="002C0F56" w:rsidRDefault="00E67C6E">
      <w:pPr>
        <w:pStyle w:val="1"/>
        <w:ind w:left="700" w:right="4"/>
      </w:pPr>
      <w:r>
        <w:t xml:space="preserve">ПРЕДПРИНИМАТЕЛЬСТВА В РЕСПУБЛИКЕ УЗБЕКИСТАН </w:t>
      </w:r>
    </w:p>
    <w:p w:rsidR="002C0F56" w:rsidRDefault="00E67C6E">
      <w:pPr>
        <w:spacing w:after="0" w:line="259" w:lineRule="auto"/>
        <w:ind w:left="1558" w:firstLine="0"/>
        <w:jc w:val="left"/>
      </w:pPr>
      <w:r>
        <w:t xml:space="preserve"> </w:t>
      </w:r>
    </w:p>
    <w:p w:rsidR="002C0F56" w:rsidRDefault="00E67C6E">
      <w:pPr>
        <w:spacing w:after="0"/>
        <w:ind w:left="994" w:right="302"/>
      </w:pPr>
      <w:r>
        <w:t>Малый бизнес и частное предпринимательство в период кризиса обладает стабилизирующим эффектом для региона</w:t>
      </w:r>
      <w:r>
        <w:t>льной экономики –ведь это гибкость и моментальная приспособляемость к конъюнктуре рынка, способность быстро изменять структуру производства, оперативно создавать и применять новые технологии и научные разработки. Разработанная программа развития данного се</w:t>
      </w:r>
      <w:r>
        <w:t xml:space="preserve">ктора  в республике реализуется на основе всесторонней государственной поддержки и инициативного, созидательного рыночного процесса с участием широких слоев населения страны. </w:t>
      </w:r>
    </w:p>
    <w:p w:rsidR="002C0F56" w:rsidRDefault="00E67C6E">
      <w:pPr>
        <w:spacing w:after="58"/>
        <w:ind w:left="994" w:right="302"/>
      </w:pPr>
      <w:r>
        <w:t>Основные направления программы развития малого бизнеса и частного предпринимател</w:t>
      </w:r>
      <w:r>
        <w:t xml:space="preserve">ьства Республики Узбекистан : </w:t>
      </w:r>
    </w:p>
    <w:p w:rsidR="002C0F56" w:rsidRDefault="00E67C6E">
      <w:pPr>
        <w:numPr>
          <w:ilvl w:val="0"/>
          <w:numId w:val="163"/>
        </w:numPr>
        <w:spacing w:after="12"/>
        <w:ind w:right="302"/>
      </w:pPr>
      <w:r>
        <w:t xml:space="preserve">Создание более благоприятной бизнес-среды в регионах; </w:t>
      </w:r>
    </w:p>
    <w:p w:rsidR="002C0F56" w:rsidRDefault="00E67C6E">
      <w:pPr>
        <w:numPr>
          <w:ilvl w:val="0"/>
          <w:numId w:val="163"/>
        </w:numPr>
        <w:spacing w:after="60"/>
        <w:ind w:right="302"/>
      </w:pPr>
      <w:r>
        <w:t xml:space="preserve">Усовершенствование законодательных актов, направленных на укрепление частной собственности и обеспечение гарантиями в этом отношении; </w:t>
      </w:r>
    </w:p>
    <w:p w:rsidR="002C0F56" w:rsidRDefault="00E67C6E">
      <w:pPr>
        <w:numPr>
          <w:ilvl w:val="0"/>
          <w:numId w:val="163"/>
        </w:numPr>
        <w:spacing w:after="59"/>
        <w:ind w:right="302"/>
      </w:pPr>
      <w:r>
        <w:t>Применение новейших рыночных механи</w:t>
      </w:r>
      <w:r>
        <w:t xml:space="preserve">змов и средств обеспечивающих стабильную деятельность частного сектора; </w:t>
      </w:r>
    </w:p>
    <w:p w:rsidR="002C0F56" w:rsidRDefault="00E67C6E">
      <w:pPr>
        <w:numPr>
          <w:ilvl w:val="0"/>
          <w:numId w:val="163"/>
        </w:numPr>
        <w:spacing w:after="63"/>
        <w:ind w:right="302"/>
      </w:pPr>
      <w:r>
        <w:t xml:space="preserve">Облегчение и упрощение норм и порядков, позволяющих отбросить различные бюрократические процедуры при регистрации и оформления отчётности малого предпринимательства; </w:t>
      </w:r>
    </w:p>
    <w:p w:rsidR="002C0F56" w:rsidRDefault="00E67C6E">
      <w:pPr>
        <w:numPr>
          <w:ilvl w:val="0"/>
          <w:numId w:val="163"/>
        </w:numPr>
        <w:spacing w:after="59"/>
        <w:ind w:right="302"/>
      </w:pPr>
      <w:r>
        <w:lastRenderedPageBreak/>
        <w:t>Резкое сокращени</w:t>
      </w:r>
      <w:r>
        <w:t xml:space="preserve">е вмешательства государственных и контролирующих органов в финансово-хозяйственную деятельность частного предпринимательства; </w:t>
      </w:r>
    </w:p>
    <w:p w:rsidR="002C0F56" w:rsidRDefault="00E67C6E">
      <w:pPr>
        <w:numPr>
          <w:ilvl w:val="0"/>
          <w:numId w:val="163"/>
        </w:numPr>
        <w:spacing w:after="63"/>
        <w:ind w:right="302"/>
      </w:pPr>
      <w:r>
        <w:t>Создание благоприятной среды по снижению налогов и других оплат, выдачи льгот и преференций, усовершенствование и унификация меха</w:t>
      </w:r>
      <w:r>
        <w:t xml:space="preserve">низма сдачи отчётности  в финансовые, налоговые и статистические организации; </w:t>
      </w:r>
    </w:p>
    <w:p w:rsidR="002C0F56" w:rsidRDefault="00E67C6E">
      <w:pPr>
        <w:numPr>
          <w:ilvl w:val="0"/>
          <w:numId w:val="163"/>
        </w:numPr>
        <w:spacing w:after="65"/>
        <w:ind w:right="302"/>
      </w:pPr>
      <w:r>
        <w:t xml:space="preserve">Усовершенствование механизма кредитования малого бизнеса и частного предпринимательства, а также повышение объёмов среднесрочных и долгосрочных кредитов, в первую очередь целенаправленных на инвестирование и создание первоначального капитала, модернизацию </w:t>
      </w:r>
      <w:r>
        <w:t xml:space="preserve">производстваи технологического обновления; </w:t>
      </w:r>
    </w:p>
    <w:p w:rsidR="002C0F56" w:rsidRDefault="00E67C6E">
      <w:pPr>
        <w:numPr>
          <w:ilvl w:val="0"/>
          <w:numId w:val="163"/>
        </w:numPr>
        <w:spacing w:after="63"/>
        <w:ind w:right="302"/>
      </w:pPr>
      <w:r>
        <w:t xml:space="preserve">Привлечение и помощь в зарубежном инвестировании, прежде всего в кредитовании международных финансовых институтов и прямом инвестировании; </w:t>
      </w:r>
    </w:p>
    <w:p w:rsidR="002C0F56" w:rsidRDefault="00E67C6E">
      <w:pPr>
        <w:numPr>
          <w:ilvl w:val="0"/>
          <w:numId w:val="163"/>
        </w:numPr>
        <w:spacing w:after="64"/>
        <w:ind w:right="302"/>
      </w:pPr>
      <w:r>
        <w:t>Создание широких возможностей для развития малого бизнеса и частного пре</w:t>
      </w:r>
      <w:r>
        <w:t xml:space="preserve">дпринимательства в промышленных отраслях, а также организации современных высокотехнологичных производств и стимулирование внедрения инновационных технологий в производство; </w:t>
      </w:r>
    </w:p>
    <w:p w:rsidR="002C0F56" w:rsidRDefault="00E67C6E">
      <w:pPr>
        <w:numPr>
          <w:ilvl w:val="0"/>
          <w:numId w:val="163"/>
        </w:numPr>
        <w:spacing w:after="60"/>
        <w:ind w:right="302"/>
      </w:pPr>
      <w:r>
        <w:t>Решение задач повышения экспортного потенциала субъектов малого бизнеса и частног</w:t>
      </w:r>
      <w:r>
        <w:t xml:space="preserve">о предпринимательства, и оказание поддержки выхода их продукции на мировые и региональные рынки; </w:t>
      </w:r>
    </w:p>
    <w:p w:rsidR="002C0F56" w:rsidRDefault="00E67C6E">
      <w:pPr>
        <w:numPr>
          <w:ilvl w:val="0"/>
          <w:numId w:val="163"/>
        </w:numPr>
        <w:spacing w:after="11"/>
        <w:ind w:right="302"/>
      </w:pPr>
      <w:r>
        <w:t>Обеспечение информацией субъектов малого бизнеса и частного предпринимательства, равным образом развитие системы поддержки консультативной помощи при подготов</w:t>
      </w:r>
      <w:r>
        <w:t xml:space="preserve">ке и переподготовке кадров.  </w:t>
      </w:r>
    </w:p>
    <w:p w:rsidR="002C0F56" w:rsidRDefault="00E67C6E">
      <w:pPr>
        <w:spacing w:after="0"/>
        <w:ind w:left="994" w:right="302"/>
      </w:pPr>
      <w:r>
        <w:t>За последние годы  согласно данной программе в Республике Узбекистан было многое сделано для развития малого бизнеса и частного предпринимательства. Резко ограничено вмешательство государства, значительно упрощены и более проз</w:t>
      </w:r>
      <w:r>
        <w:t>рачными стали процедуры регистрации субъектов малого бизнеса, унифицированы и снижены ставки налогообложения, усовершенствована система стандартизации и сертификации продукции, за счет развития биржевых торгов решены многие вопросы свободного доступа предп</w:t>
      </w:r>
      <w:r>
        <w:t xml:space="preserve">ринимателей к материально-техническим ресурсам, внедрены новые формы кредитования предпринимательства путем микрокредитования и микролизинга. </w:t>
      </w:r>
    </w:p>
    <w:p w:rsidR="002C0F56" w:rsidRDefault="00E67C6E">
      <w:pPr>
        <w:spacing w:after="0"/>
        <w:ind w:left="994" w:right="302"/>
      </w:pPr>
      <w:r>
        <w:t>Основным инструментом реализации государственной политики служат, региональные (межрегиональные), отраслевые (меж</w:t>
      </w:r>
      <w:r>
        <w:t xml:space="preserve">отраслевые) и муниципальные программы развития и поддержки малого предпринимательства. В данных условиях, как в теории, так и на практике большое значение придаётся  </w:t>
      </w:r>
      <w:r>
        <w:lastRenderedPageBreak/>
        <w:t>вопросу о механизме функционирования малых предприятий в структуре региональной экономики.</w:t>
      </w:r>
      <w:r>
        <w:t xml:space="preserve"> </w:t>
      </w:r>
    </w:p>
    <w:p w:rsidR="002C0F56" w:rsidRDefault="00E67C6E">
      <w:pPr>
        <w:spacing w:after="0" w:line="259" w:lineRule="auto"/>
        <w:ind w:left="1558" w:firstLine="0"/>
        <w:jc w:val="left"/>
      </w:pPr>
      <w:r>
        <w:rPr>
          <w:b/>
        </w:rPr>
        <w:t xml:space="preserve"> </w:t>
      </w:r>
    </w:p>
    <w:p w:rsidR="002C0F56" w:rsidRDefault="00E67C6E">
      <w:pPr>
        <w:pStyle w:val="4"/>
        <w:ind w:left="1181" w:right="431"/>
      </w:pPr>
      <w:r>
        <w:rPr>
          <w:b w:val="0"/>
          <w:i/>
        </w:rPr>
        <w:t>Таблица 1</w:t>
      </w:r>
      <w:r>
        <w:rPr>
          <w:b w:val="0"/>
        </w:rPr>
        <w:t xml:space="preserve"> - </w:t>
      </w:r>
      <w:r>
        <w:t xml:space="preserve">Динамика развития субъектов малого бизнеса и частного предпринимательства в областях по Республике Узбекистан (в 2016 г.) </w:t>
      </w:r>
    </w:p>
    <w:tbl>
      <w:tblPr>
        <w:tblStyle w:val="TableGrid"/>
        <w:tblW w:w="9820" w:type="dxa"/>
        <w:tblInd w:w="902" w:type="dxa"/>
        <w:tblCellMar>
          <w:top w:w="14" w:type="dxa"/>
          <w:left w:w="108" w:type="dxa"/>
          <w:bottom w:w="0" w:type="dxa"/>
          <w:right w:w="47" w:type="dxa"/>
        </w:tblCellMar>
        <w:tblLook w:val="04A0" w:firstRow="1" w:lastRow="0" w:firstColumn="1" w:lastColumn="0" w:noHBand="0" w:noVBand="1"/>
      </w:tblPr>
      <w:tblGrid>
        <w:gridCol w:w="2301"/>
        <w:gridCol w:w="989"/>
        <w:gridCol w:w="1203"/>
        <w:gridCol w:w="861"/>
        <w:gridCol w:w="1197"/>
        <w:gridCol w:w="916"/>
        <w:gridCol w:w="1197"/>
        <w:gridCol w:w="1156"/>
      </w:tblGrid>
      <w:tr w:rsidR="002C0F56">
        <w:trPr>
          <w:trHeight w:val="838"/>
        </w:trPr>
        <w:tc>
          <w:tcPr>
            <w:tcW w:w="2477"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  </w:t>
            </w:r>
          </w:p>
        </w:tc>
        <w:tc>
          <w:tcPr>
            <w:tcW w:w="2129"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Число предприятий МБ и ЧП </w:t>
            </w:r>
          </w:p>
        </w:tc>
        <w:tc>
          <w:tcPr>
            <w:tcW w:w="1920"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Ново-созданные предприятия </w:t>
            </w:r>
          </w:p>
        </w:tc>
        <w:tc>
          <w:tcPr>
            <w:tcW w:w="2093"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Ликвидированные предприятия </w:t>
            </w:r>
          </w:p>
        </w:tc>
        <w:tc>
          <w:tcPr>
            <w:tcW w:w="1200"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Коэф-т устойчив ости пред-й  </w:t>
            </w:r>
          </w:p>
        </w:tc>
      </w:tr>
      <w:tr w:rsidR="002C0F56">
        <w:trPr>
          <w:trHeight w:val="1114"/>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Всего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 w:firstLine="0"/>
              <w:jc w:val="left"/>
            </w:pPr>
            <w:r>
              <w:rPr>
                <w:sz w:val="24"/>
              </w:rPr>
              <w:t xml:space="preserve">На душу населения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Всего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На душу населения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Всего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На душу населения </w:t>
            </w: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562"/>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23" w:line="259" w:lineRule="auto"/>
              <w:ind w:left="2" w:firstLine="0"/>
              <w:jc w:val="left"/>
            </w:pPr>
            <w:r>
              <w:rPr>
                <w:b/>
                <w:sz w:val="24"/>
              </w:rPr>
              <w:t xml:space="preserve">Всего  </w:t>
            </w:r>
          </w:p>
          <w:p w:rsidR="002C0F56" w:rsidRDefault="00E67C6E">
            <w:pPr>
              <w:spacing w:after="0" w:line="259" w:lineRule="auto"/>
              <w:ind w:left="2" w:firstLine="0"/>
              <w:jc w:val="left"/>
            </w:pPr>
            <w:r>
              <w:rPr>
                <w:b/>
                <w:sz w:val="24"/>
              </w:rPr>
              <w:t>В том числе:</w:t>
            </w:r>
            <w:r>
              <w:rPr>
                <w:sz w:val="24"/>
              </w:rPr>
              <w:t xml:space="preserve">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246441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8,3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35036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1,2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20432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0,7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1,7 </w:t>
            </w:r>
          </w:p>
        </w:tc>
      </w:tr>
      <w:tr w:rsidR="002C0F56">
        <w:trPr>
          <w:trHeight w:val="40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АР Каракалпакия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11395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6,7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2123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1,3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997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0,6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2,1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Области: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 </w:t>
            </w:r>
          </w:p>
        </w:tc>
      </w:tr>
      <w:tr w:rsidR="002C0F56">
        <w:trPr>
          <w:trHeight w:val="305"/>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Андижанская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21225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7,8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2601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726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0,3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3,6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Бухарская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14038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8,2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1831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1765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Жиззахская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7723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6,5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1555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1,3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567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0,5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2,7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Кашкадарьинская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48618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18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5369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1,9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1495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0,5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3,6 </w:t>
            </w:r>
          </w:p>
        </w:tc>
      </w:tr>
      <w:tr w:rsidR="002C0F56">
        <w:trPr>
          <w:trHeight w:val="288"/>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Навоийская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6617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7,5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967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523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0,6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1,8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Наманганская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14469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2112</w:t>
            </w:r>
            <w:r>
              <w:rPr>
                <w:sz w:val="24"/>
              </w:rPr>
              <w:t xml:space="preserve">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0,9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803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0,3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2,6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Самаркандская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14890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4,5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2219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0,7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2132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0,6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Сурхондарьинская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11790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5,3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1612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0,7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1292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0,6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1,2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Сырдарьинская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6450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8,7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1123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1,5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758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1,5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Ташкентская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20278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7,6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3117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1,2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990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0,4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3,1 </w:t>
            </w:r>
          </w:p>
        </w:tc>
      </w:tr>
      <w:tr w:rsidR="002C0F56">
        <w:trPr>
          <w:trHeight w:val="288"/>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Ферганская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20301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6,2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2641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0,8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1502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0,5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1,8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Хорезмская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11232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6,9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1225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0,8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1792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1,1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0,8 </w:t>
            </w:r>
          </w:p>
        </w:tc>
      </w:tr>
      <w:tr w:rsidR="002C0F56">
        <w:trPr>
          <w:trHeight w:val="286"/>
        </w:trPr>
        <w:tc>
          <w:tcPr>
            <w:tcW w:w="24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Город Ташкент </w:t>
            </w:r>
          </w:p>
        </w:tc>
        <w:tc>
          <w:tcPr>
            <w:tcW w:w="108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37415 </w:t>
            </w:r>
          </w:p>
        </w:tc>
        <w:tc>
          <w:tcPr>
            <w:tcW w:w="10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16 </w:t>
            </w:r>
          </w:p>
        </w:tc>
        <w:tc>
          <w:tcPr>
            <w:tcW w:w="9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6541 </w:t>
            </w:r>
          </w:p>
        </w:tc>
        <w:tc>
          <w:tcPr>
            <w:tcW w:w="9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2,8 </w:t>
            </w:r>
          </w:p>
        </w:tc>
        <w:tc>
          <w:tcPr>
            <w:tcW w:w="9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5090 </w:t>
            </w:r>
          </w:p>
        </w:tc>
        <w:tc>
          <w:tcPr>
            <w:tcW w:w="11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2,2 </w:t>
            </w:r>
          </w:p>
        </w:tc>
        <w:tc>
          <w:tcPr>
            <w:tcW w:w="120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1,3 </w:t>
            </w:r>
          </w:p>
        </w:tc>
      </w:tr>
    </w:tbl>
    <w:p w:rsidR="002C0F56" w:rsidRDefault="00E67C6E">
      <w:pPr>
        <w:spacing w:after="23" w:line="259" w:lineRule="auto"/>
        <w:ind w:left="10" w:right="300" w:hanging="10"/>
        <w:jc w:val="right"/>
      </w:pPr>
      <w:r>
        <w:rPr>
          <w:sz w:val="24"/>
        </w:rPr>
        <w:t xml:space="preserve">Источник: Составлено автором на основе статистических данных Государственного </w:t>
      </w:r>
    </w:p>
    <w:p w:rsidR="002C0F56" w:rsidRDefault="00E67C6E">
      <w:pPr>
        <w:spacing w:after="5" w:line="271" w:lineRule="auto"/>
        <w:ind w:left="1004" w:hanging="10"/>
        <w:jc w:val="left"/>
      </w:pPr>
      <w:r>
        <w:rPr>
          <w:sz w:val="24"/>
        </w:rPr>
        <w:t xml:space="preserve">Комитета Статистики  Республики Узбекистан  </w:t>
      </w:r>
    </w:p>
    <w:p w:rsidR="002C0F56" w:rsidRDefault="00E67C6E">
      <w:pPr>
        <w:spacing w:after="25" w:line="259" w:lineRule="auto"/>
        <w:ind w:left="1558" w:firstLine="0"/>
        <w:jc w:val="left"/>
      </w:pPr>
      <w:r>
        <w:t xml:space="preserve"> </w:t>
      </w:r>
    </w:p>
    <w:p w:rsidR="002C0F56" w:rsidRDefault="00E67C6E">
      <w:pPr>
        <w:spacing w:after="0"/>
        <w:ind w:left="994" w:right="302"/>
      </w:pPr>
      <w:r>
        <w:t xml:space="preserve"> Повышение роли территорий в социально-экономическом развитии Республики, проведении экономических реформ по формированию новых рыночных отношений требует профессионального анализа для ответа на ряд вопросов п</w:t>
      </w:r>
      <w:r>
        <w:t xml:space="preserve">ринципиального характера, к которым относится выявление содержания и методов рыночных преобразований не только государства в целом, но и в рамках его регионов. </w:t>
      </w:r>
    </w:p>
    <w:p w:rsidR="002C0F56" w:rsidRDefault="00E67C6E">
      <w:pPr>
        <w:spacing w:after="0"/>
        <w:ind w:left="994" w:right="302"/>
      </w:pPr>
      <w:r>
        <w:t>В настоящее время регионы превратились в реальные субъекты экономических отношений, в отличие о</w:t>
      </w:r>
      <w:r>
        <w:t xml:space="preserve">т того формального статуса, который был характерен для них в условиях командной экономики. Это обстоятельство обусловлено тем, что в результате разграничения собственности, хотя и не </w:t>
      </w:r>
      <w:r>
        <w:lastRenderedPageBreak/>
        <w:t>завершенного, они стали полномасштабными субъектами отношений собственнос</w:t>
      </w:r>
      <w:r>
        <w:t xml:space="preserve">ти, образующими ядро экономических отношений. </w:t>
      </w:r>
    </w:p>
    <w:p w:rsidR="002C0F56" w:rsidRDefault="00E67C6E">
      <w:pPr>
        <w:spacing w:after="2"/>
        <w:ind w:left="994" w:right="302"/>
      </w:pPr>
      <w:r>
        <w:t>Для того чтобы рационально составить стратегические программы по развитию следует  правильно и целесообразно анализировать статистику развития малого бизнеса и частного предпринимательства и в частности возмож</w:t>
      </w:r>
      <w:r>
        <w:t xml:space="preserve">ности для его развития в регионах. </w:t>
      </w:r>
    </w:p>
    <w:p w:rsidR="002C0F56" w:rsidRDefault="00E67C6E">
      <w:pPr>
        <w:ind w:left="994" w:right="302"/>
      </w:pPr>
      <w:r>
        <w:t>Коэффициент устойчивости предприятий определяется путём деления числа созданных предприятий на число ликвидированных в базисном периоде по формуле:</w:t>
      </w:r>
      <w:r>
        <w:rPr>
          <w:b/>
        </w:rPr>
        <w:t xml:space="preserve"> </w:t>
      </w:r>
      <w:r>
        <w:rPr>
          <w:i/>
          <w:sz w:val="24"/>
        </w:rPr>
        <w:t xml:space="preserve">Куп </w:t>
      </w:r>
      <w:r>
        <w:rPr>
          <w:rFonts w:ascii="Segoe UI Symbol" w:eastAsia="Segoe UI Symbol" w:hAnsi="Segoe UI Symbol" w:cs="Segoe UI Symbol"/>
          <w:sz w:val="24"/>
        </w:rPr>
        <w:t xml:space="preserve"> </w:t>
      </w:r>
      <w:r>
        <w:rPr>
          <w:rFonts w:ascii="Calibri" w:eastAsia="Calibri" w:hAnsi="Calibri" w:cs="Calibri"/>
          <w:noProof/>
          <w:sz w:val="22"/>
        </w:rPr>
        <mc:AlternateContent>
          <mc:Choice Requires="wpg">
            <w:drawing>
              <wp:inline distT="0" distB="0" distL="0" distR="0">
                <wp:extent cx="550393" cy="6348"/>
                <wp:effectExtent l="0" t="0" r="0" b="0"/>
                <wp:docPr id="636347" name="Group 636347"/>
                <wp:cNvGraphicFramePr/>
                <a:graphic xmlns:a="http://schemas.openxmlformats.org/drawingml/2006/main">
                  <a:graphicData uri="http://schemas.microsoft.com/office/word/2010/wordprocessingGroup">
                    <wpg:wgp>
                      <wpg:cNvGrpSpPr/>
                      <wpg:grpSpPr>
                        <a:xfrm>
                          <a:off x="0" y="0"/>
                          <a:ext cx="550393" cy="6348"/>
                          <a:chOff x="0" y="0"/>
                          <a:chExt cx="550393" cy="6348"/>
                        </a:xfrm>
                      </wpg:grpSpPr>
                      <wps:wsp>
                        <wps:cNvPr id="54534" name="Shape 54534"/>
                        <wps:cNvSpPr/>
                        <wps:spPr>
                          <a:xfrm>
                            <a:off x="0" y="0"/>
                            <a:ext cx="550393" cy="0"/>
                          </a:xfrm>
                          <a:custGeom>
                            <a:avLst/>
                            <a:gdLst/>
                            <a:ahLst/>
                            <a:cxnLst/>
                            <a:rect l="0" t="0" r="0" b="0"/>
                            <a:pathLst>
                              <a:path w="550393">
                                <a:moveTo>
                                  <a:pt x="0" y="0"/>
                                </a:moveTo>
                                <a:lnTo>
                                  <a:pt x="550393" y="0"/>
                                </a:lnTo>
                              </a:path>
                            </a:pathLst>
                          </a:custGeom>
                          <a:ln w="634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36347" style="width:43.338pt;height:0.499815pt;mso-position-horizontal-relative:char;mso-position-vertical-relative:line" coordsize="5503,63">
                <v:shape id="Shape 54534" style="position:absolute;width:5503;height:0;left:0;top:0;" coordsize="550393,0" path="m0,0l550393,0">
                  <v:stroke weight="0.499815pt" endcap="flat" joinstyle="round" on="true" color="#000000"/>
                  <v:fill on="false" color="#000000" opacity="0"/>
                </v:shape>
              </v:group>
            </w:pict>
          </mc:Fallback>
        </mc:AlternateContent>
      </w:r>
      <w:r>
        <w:rPr>
          <w:i/>
          <w:sz w:val="37"/>
          <w:vertAlign w:val="superscript"/>
        </w:rPr>
        <w:t>Нп</w:t>
      </w:r>
      <w:r>
        <w:t xml:space="preserve"> </w:t>
      </w:r>
    </w:p>
    <w:p w:rsidR="002C0F56" w:rsidRDefault="00E67C6E">
      <w:pPr>
        <w:spacing w:after="72" w:line="259" w:lineRule="auto"/>
        <w:ind w:left="4490" w:hanging="10"/>
        <w:jc w:val="left"/>
      </w:pPr>
      <w:r>
        <w:rPr>
          <w:i/>
          <w:sz w:val="24"/>
        </w:rPr>
        <w:t>Лп</w:t>
      </w:r>
    </w:p>
    <w:p w:rsidR="002C0F56" w:rsidRDefault="00E67C6E">
      <w:pPr>
        <w:ind w:left="1558" w:right="302" w:firstLine="0"/>
      </w:pPr>
      <w:r>
        <w:t xml:space="preserve"> Здесь: Нп-новые предприятия созданные в текущий период  </w:t>
      </w:r>
    </w:p>
    <w:p w:rsidR="002C0F56" w:rsidRDefault="00E67C6E">
      <w:pPr>
        <w:spacing w:after="12"/>
        <w:ind w:left="1558" w:right="302" w:firstLine="0"/>
      </w:pPr>
      <w:r>
        <w:t xml:space="preserve">Лп –предприятия ликвидированные в текущий период  </w:t>
      </w:r>
    </w:p>
    <w:p w:rsidR="002C0F56" w:rsidRDefault="00E67C6E">
      <w:pPr>
        <w:ind w:left="994" w:right="302"/>
      </w:pPr>
      <w:r>
        <w:t>Исходя из данных 1 таблицы мы можем видеть, что коэффициент устойчивости предприятий во всех областях кроме Хорезмской, выше единицы, что говорит о стабильном развитии и неугасанию интереса к предпринимате</w:t>
      </w:r>
      <w:r>
        <w:t>льской деятельности. Этому способствовало множество законодательных актов, нормативных документов и постановлений, дающих, образно выражаясь, «зеленую улицу» инициативным людям, желающим начать свое дело, что позволило оградить предпринимателей от нецелесо</w:t>
      </w:r>
      <w:r>
        <w:t>образных мешающих многочисленных проверок со стороны различных органов. За счет упорядочения процесса оформления частных фирм и предприятий удалось значительно сократить сроки их регистрации. Если раньше на это уходили недели, то теперь требуется два макси</w:t>
      </w:r>
      <w:r>
        <w:t xml:space="preserve">мум три дня. Эти и другие факторы способствовали появлению и развитию новых фирм, предприятий, фермерских хозяйств.  </w:t>
      </w:r>
    </w:p>
    <w:p w:rsidR="002C0F56" w:rsidRDefault="00E67C6E">
      <w:pPr>
        <w:spacing w:after="0"/>
        <w:ind w:left="994" w:right="302"/>
      </w:pPr>
      <w:r>
        <w:t>Мы можем обратить внимание, что самое большое число предприятий, как действующих, так и новых приходится на Кашкадарьинскую область и горо</w:t>
      </w:r>
      <w:r>
        <w:t xml:space="preserve">д Ташкент, но если принять во внимание коэффициент устойчивости, то самые развитые в этом отношении являются Андижанская, Кашкадарьинская, Ташкентская, Жиззахская и Наманганская области. </w:t>
      </w:r>
    </w:p>
    <w:p w:rsidR="002C0F56" w:rsidRDefault="00E67C6E">
      <w:pPr>
        <w:spacing w:after="3"/>
        <w:ind w:left="994" w:right="302"/>
      </w:pPr>
      <w:r>
        <w:t>Мы можем объяснить это тем, что в этих областях действуют большее ко</w:t>
      </w:r>
      <w:r>
        <w:t xml:space="preserve">личество крупных организаций и международных корпораций, что влечёт к созданию малых предприятий их обслуживающих и производящих для них продукцию, то есть благодаря развитию кооперации малого и крупного сектора. </w:t>
      </w:r>
    </w:p>
    <w:p w:rsidR="002C0F56" w:rsidRDefault="00E67C6E">
      <w:pPr>
        <w:spacing w:after="0"/>
        <w:ind w:left="994" w:right="302"/>
      </w:pPr>
      <w:r>
        <w:t>В историческом плане процесс становления и</w:t>
      </w:r>
      <w:r>
        <w:t xml:space="preserve"> развития предпринимательского движения в Узбекистане относительно краток. На первых порах он сопровождался множеством трудностей, проблем и противоречий, устранить которые удалось, лишь имея четкие ориентиры и комплексную программу развития данного сектор</w:t>
      </w:r>
      <w:r>
        <w:t xml:space="preserve">а. Это еще раз доказывает, что руководство Узбекистана грамотно определяет приоритеты в экономической политике, с </w:t>
      </w:r>
      <w:r>
        <w:lastRenderedPageBreak/>
        <w:t xml:space="preserve">каждым годом совершенствуя нормативноправовую базу, регулирующую этот сектор исходя из естественно меняющихся условий рынка.  </w:t>
      </w:r>
    </w:p>
    <w:p w:rsidR="002C0F56" w:rsidRDefault="00E67C6E">
      <w:pPr>
        <w:spacing w:after="0"/>
        <w:ind w:left="994" w:right="302"/>
      </w:pPr>
      <w:r>
        <w:t>Получив поддерж</w:t>
      </w:r>
      <w:r>
        <w:t>ку со стороны государства, деловые люди доказали, что частному бизнесу по силам не только сфера торговли и услуг, производственная деятельность, но и разработка, внедрение передовых технологий. В малом бизнесе сегодня концентрируется огромный интеллектуаль</w:t>
      </w:r>
      <w:r>
        <w:t xml:space="preserve">ный потенциал профессионалов.  </w:t>
      </w:r>
    </w:p>
    <w:p w:rsidR="002C0F56" w:rsidRDefault="00E67C6E">
      <w:pPr>
        <w:spacing w:after="24" w:line="259" w:lineRule="auto"/>
        <w:ind w:left="1318" w:firstLine="0"/>
        <w:jc w:val="center"/>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64"/>
        </w:numPr>
        <w:spacing w:after="12"/>
        <w:ind w:right="302"/>
      </w:pPr>
      <w:r>
        <w:t xml:space="preserve">Курс предпринимательства: учебник для вузов/В.Я. Горфинкель, </w:t>
      </w:r>
    </w:p>
    <w:p w:rsidR="002C0F56" w:rsidRDefault="00E67C6E">
      <w:pPr>
        <w:ind w:left="994" w:right="302" w:firstLine="0"/>
      </w:pPr>
      <w:r>
        <w:t xml:space="preserve">В.А.Швандар, Е.М. Купряков и др.; Под ред. проф. В.Я. Горфинкеля, проф. В.А. Швандара. - М.: Финансы, ЮНИТИ, 1997г., с.147 </w:t>
      </w:r>
    </w:p>
    <w:p w:rsidR="002C0F56" w:rsidRDefault="00E67C6E">
      <w:pPr>
        <w:numPr>
          <w:ilvl w:val="0"/>
          <w:numId w:val="164"/>
        </w:numPr>
        <w:ind w:right="302"/>
      </w:pPr>
      <w:r>
        <w:t xml:space="preserve">Н.Махмудов, К.Мирдадаев, и др. Управление малым бизнесом в период Мирового финансово-экономического кризиса Монография. –Наманган: НамМЭИ, 2009,  </w:t>
      </w:r>
    </w:p>
    <w:p w:rsidR="002C0F56" w:rsidRDefault="00E67C6E">
      <w:pPr>
        <w:numPr>
          <w:ilvl w:val="0"/>
          <w:numId w:val="164"/>
        </w:numPr>
        <w:ind w:right="302"/>
      </w:pPr>
      <w:r>
        <w:t xml:space="preserve">Ш.Эргашходжаева, </w:t>
      </w:r>
      <w:r>
        <w:tab/>
        <w:t xml:space="preserve">А.Самадов </w:t>
      </w:r>
      <w:r>
        <w:tab/>
        <w:t xml:space="preserve">«Малый </w:t>
      </w:r>
      <w:r>
        <w:tab/>
        <w:t xml:space="preserve">бизнес </w:t>
      </w:r>
      <w:r>
        <w:tab/>
        <w:t xml:space="preserve">и предпринимательство»-Т:Мехнат,2010 </w:t>
      </w:r>
    </w:p>
    <w:p w:rsidR="002C0F56" w:rsidRDefault="00E67C6E">
      <w:pPr>
        <w:numPr>
          <w:ilvl w:val="0"/>
          <w:numId w:val="164"/>
        </w:numPr>
        <w:ind w:right="302"/>
      </w:pPr>
      <w:r>
        <w:t xml:space="preserve">Государственная Программа </w:t>
      </w:r>
      <w:r>
        <w:t xml:space="preserve">по развитию малого бизнеса и частного предпринимательства Республики Узбекистан </w:t>
      </w:r>
    </w:p>
    <w:p w:rsidR="002C0F56" w:rsidRDefault="00E67C6E">
      <w:pPr>
        <w:numPr>
          <w:ilvl w:val="0"/>
          <w:numId w:val="164"/>
        </w:numPr>
        <w:ind w:right="302"/>
      </w:pPr>
      <w:r>
        <w:t xml:space="preserve">Данные </w:t>
      </w:r>
      <w:r>
        <w:tab/>
        <w:t xml:space="preserve">Государственного </w:t>
      </w:r>
      <w:r>
        <w:tab/>
        <w:t xml:space="preserve">Комитета </w:t>
      </w:r>
      <w:r>
        <w:tab/>
        <w:t xml:space="preserve">Статистики </w:t>
      </w:r>
      <w:r>
        <w:tab/>
        <w:t xml:space="preserve"> </w:t>
      </w:r>
      <w:r>
        <w:tab/>
        <w:t xml:space="preserve">Республики </w:t>
      </w:r>
    </w:p>
    <w:p w:rsidR="002C0F56" w:rsidRDefault="00E67C6E">
      <w:pPr>
        <w:spacing w:after="12"/>
        <w:ind w:left="994" w:right="302" w:firstLine="0"/>
      </w:pPr>
      <w:r>
        <w:t xml:space="preserve">Узбекистан за 2016 год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25" w:line="259" w:lineRule="auto"/>
        <w:ind w:right="309"/>
        <w:jc w:val="right"/>
      </w:pPr>
      <w:r>
        <w:t xml:space="preserve">Ненартович К.Р. </w:t>
      </w:r>
      <w:r>
        <w:rPr>
          <w:b w:val="0"/>
        </w:rPr>
        <w:t xml:space="preserve">Научный руководитель: Ванкович Г.Р. </w:t>
      </w:r>
    </w:p>
    <w:p w:rsidR="002C0F56" w:rsidRDefault="00E67C6E">
      <w:pPr>
        <w:spacing w:after="0" w:line="267" w:lineRule="auto"/>
        <w:ind w:left="905" w:right="305" w:hanging="10"/>
        <w:jc w:val="right"/>
      </w:pPr>
      <w:r>
        <w:rPr>
          <w:i/>
        </w:rPr>
        <w:t xml:space="preserve">Белорусский государственный экономический университет </w:t>
      </w:r>
    </w:p>
    <w:p w:rsidR="002C0F56" w:rsidRDefault="00E67C6E">
      <w:pPr>
        <w:spacing w:after="30" w:line="259" w:lineRule="auto"/>
        <w:ind w:left="1558" w:firstLine="0"/>
        <w:jc w:val="left"/>
      </w:pPr>
      <w:r>
        <w:rPr>
          <w:i/>
        </w:rPr>
        <w:t xml:space="preserve"> </w:t>
      </w:r>
    </w:p>
    <w:p w:rsidR="002C0F56" w:rsidRDefault="00E67C6E">
      <w:pPr>
        <w:pStyle w:val="1"/>
        <w:spacing w:after="15" w:line="271" w:lineRule="auto"/>
        <w:ind w:left="1013" w:right="0"/>
        <w:jc w:val="left"/>
      </w:pPr>
      <w:r>
        <w:t xml:space="preserve">ЭФФЕКТИВНОСТЬ ИСПОЛЬЗОВАНИЯ ЭЛЕКТРОННЫХ ДНЕВНИКОВ </w:t>
      </w:r>
    </w:p>
    <w:p w:rsidR="002C0F56" w:rsidRDefault="00E67C6E">
      <w:pPr>
        <w:spacing w:after="0" w:line="259" w:lineRule="auto"/>
        <w:ind w:left="1558" w:firstLine="0"/>
        <w:jc w:val="left"/>
      </w:pPr>
      <w:r>
        <w:t xml:space="preserve"> </w:t>
      </w:r>
    </w:p>
    <w:p w:rsidR="002C0F56" w:rsidRDefault="00E67C6E">
      <w:pPr>
        <w:spacing w:after="0"/>
        <w:ind w:left="994" w:right="302"/>
      </w:pPr>
      <w:r>
        <w:t>С недавнего времени в школы развитых стран стали внедрять следующую инновационную разработку: электронные дневники. Целью данной разработки являло</w:t>
      </w:r>
      <w:r>
        <w:t>сь повысить эффективность ведения ученического дневника: в любой момент со стационарного компьютера, телефона или планшета можно посмотреть домашнее задание, заполненное самим учителем. В таком случае ученик не может выполнить другое задание или не выполни</w:t>
      </w:r>
      <w:r>
        <w:t>ть его вообще, объяснив это тем, что он «не правильно записал в дневник» или, например, ему дали ложную информацию его одноклассники. Так же электронный дневник содержит основное расписание занятий, и постоянно обновляющиеся изменения в нём. Следовательно,</w:t>
      </w:r>
      <w:r>
        <w:t xml:space="preserve"> для учителей данная разработка весьма полезна, так как </w:t>
      </w:r>
      <w:r>
        <w:lastRenderedPageBreak/>
        <w:t xml:space="preserve">она не только повышает качество выполнения домашних работ, но и улучшает  отношение детей к учёбе. [3] </w:t>
      </w:r>
    </w:p>
    <w:p w:rsidR="002C0F56" w:rsidRDefault="00E67C6E">
      <w:pPr>
        <w:ind w:left="994" w:right="302"/>
      </w:pPr>
      <w:r>
        <w:t>Рассматривая данную разработку со стороны родителей, можно сказать, что в последнее время участи</w:t>
      </w:r>
      <w:r>
        <w:t xml:space="preserve">лись случаи, когда дети выставляют не все оценки в дневник, либо ведут два дневника, первый из которых «для учителей», а второй «для родителей» с соответствующими оценками. Родители совершенно не знают об успеваемости своего ребёнка, а только доверяют ему </w:t>
      </w:r>
      <w:r>
        <w:t>на словах, которые могут совершенно не соответствовать правде. Понятно, что в данном случае электронный дневник выполняет следующую функцию: в любой момент уже сам родитель может зайти на сайт электронного дневника и проанализировать успеваемость своего ре</w:t>
      </w:r>
      <w:r>
        <w:t>бёнка, посмотреть замечания или пожелания, советы, которые к нему относятся, от учителей. С этой стороны данная разработка также является эффективной, так как родители следят за успеваемостью ребёнка, знают, где ему необходима помощь или похвала, принимают</w:t>
      </w:r>
      <w:r>
        <w:t xml:space="preserve"> решение о том, что необходимо поговорить с тем или иным учителем. Для современных школьников система электронного дневника  - это удобная форма  просмотра расписания школьных предметов на всю неделю и текущих домашних заданий, а также она позволяет им быт</w:t>
      </w:r>
      <w:r>
        <w:t>ь в курсе всех событий школьной жизни. Дневник  дает ученику  возможность просматривать свою статистику и рейтинги по оценкам за определенные периоды времени. Он создает дополнительную мотивацию учащегося к повышению  успеваемости  и закреплению достигнуты</w:t>
      </w:r>
      <w:r>
        <w:t xml:space="preserve">х успехов. Электронный дневник призван вызвать интерес у школьников к самому процессу обучения и активному участию в школьных мероприятиях. [1] </w:t>
      </w:r>
    </w:p>
    <w:p w:rsidR="002C0F56" w:rsidRDefault="00E67C6E">
      <w:pPr>
        <w:spacing w:after="0"/>
        <w:ind w:left="994" w:right="302"/>
      </w:pPr>
      <w:r>
        <w:t xml:space="preserve">Что же представляет собой данная разработка? Электронный дневник – это сервис, позволяющий участникам учебного </w:t>
      </w:r>
      <w:r>
        <w:t>процесса получать информацию об учебных расписаниях, текущих и итоговых оценках и домашних заданиях в режиме онлайн. Также электронный школьный документооборот должен обеспечить снижение административной нагрузки на общеобразовательные учреждения. Кроме то</w:t>
      </w:r>
      <w:r>
        <w:t xml:space="preserve">го, различные системы электронных дневников могут поддерживать и другие, дополнительные функции — электронные портфолио учащихся, новостные ленты, социальные сети и т. д. [2] </w:t>
      </w:r>
    </w:p>
    <w:p w:rsidR="002C0F56" w:rsidRDefault="00E67C6E">
      <w:pPr>
        <w:spacing w:after="10"/>
        <w:ind w:left="994" w:right="302"/>
      </w:pPr>
      <w:r>
        <w:t xml:space="preserve">Странами, наиболее активно внедряющие такие системы в своих учебных заведениях, </w:t>
      </w:r>
      <w:r>
        <w:t>являются: Великобритания, Хорватия, Латвия, Россия, Беларусь, Малайзия, Италия, Франция. Электронные дневники используют практически во всех развитых странах мира. Однако для Республики Беларусь данная разработка является новой, так как впервые её начали и</w:t>
      </w:r>
      <w:r>
        <w:t xml:space="preserve">спользовать в 2012 году. Для разработки и использования в процессе обучения электронных дневников в Республике Беларусь создана интернет-платформа schools.by. [2]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0" w:right="1104" w:firstLine="0"/>
        <w:jc w:val="right"/>
      </w:pPr>
      <w:r>
        <w:rPr>
          <w:noProof/>
        </w:rPr>
        <w:lastRenderedPageBreak/>
        <w:drawing>
          <wp:inline distT="0" distB="0" distL="0" distR="0">
            <wp:extent cx="4715510" cy="5066031"/>
            <wp:effectExtent l="0" t="0" r="0" b="0"/>
            <wp:docPr id="54819" name="Picture 54819"/>
            <wp:cNvGraphicFramePr/>
            <a:graphic xmlns:a="http://schemas.openxmlformats.org/drawingml/2006/main">
              <a:graphicData uri="http://schemas.openxmlformats.org/drawingml/2006/picture">
                <pic:pic xmlns:pic="http://schemas.openxmlformats.org/drawingml/2006/picture">
                  <pic:nvPicPr>
                    <pic:cNvPr id="54819" name="Picture 54819"/>
                    <pic:cNvPicPr/>
                  </pic:nvPicPr>
                  <pic:blipFill>
                    <a:blip r:embed="rId1068"/>
                    <a:stretch>
                      <a:fillRect/>
                    </a:stretch>
                  </pic:blipFill>
                  <pic:spPr>
                    <a:xfrm>
                      <a:off x="0" y="0"/>
                      <a:ext cx="4715510" cy="5066031"/>
                    </a:xfrm>
                    <a:prstGeom prst="rect">
                      <a:avLst/>
                    </a:prstGeom>
                  </pic:spPr>
                </pic:pic>
              </a:graphicData>
            </a:graphic>
          </wp:inline>
        </w:drawing>
      </w:r>
      <w:r>
        <w:t xml:space="preserve"> </w:t>
      </w:r>
    </w:p>
    <w:p w:rsidR="002C0F56" w:rsidRDefault="00E67C6E">
      <w:pPr>
        <w:spacing w:after="5" w:line="271" w:lineRule="auto"/>
        <w:ind w:left="3214" w:right="396" w:hanging="10"/>
        <w:jc w:val="left"/>
      </w:pPr>
      <w:r>
        <w:rPr>
          <w:b/>
          <w:sz w:val="24"/>
        </w:rPr>
        <w:t xml:space="preserve">Рис.1. Образец страницы электронного дневника [2] </w:t>
      </w:r>
    </w:p>
    <w:p w:rsidR="002C0F56" w:rsidRDefault="00E67C6E">
      <w:pPr>
        <w:spacing w:after="0" w:line="259" w:lineRule="auto"/>
        <w:ind w:left="1558" w:firstLine="0"/>
        <w:jc w:val="left"/>
      </w:pPr>
      <w:r>
        <w:t xml:space="preserve"> </w:t>
      </w:r>
    </w:p>
    <w:p w:rsidR="002C0F56" w:rsidRDefault="00E67C6E">
      <w:pPr>
        <w:ind w:left="994" w:right="302"/>
      </w:pPr>
      <w:r>
        <w:t>К минусам данной разработки можно отнести то, что учителям может быть достаточно сложно перейти к данной системе, нужно иметь дополнительное время для внесения информации в такие страницы, необходимо иметь компьютеры в классах. Так же стоит отметить, что у</w:t>
      </w:r>
      <w:r>
        <w:t xml:space="preserve">ченикам необходимо пользоваться такими дневниками дома, не отвлекаясь на самих уроках, используя, например, мобильные телефоны. </w:t>
      </w:r>
    </w:p>
    <w:p w:rsidR="002C0F56" w:rsidRDefault="00E67C6E">
      <w:pPr>
        <w:spacing w:after="0"/>
        <w:ind w:left="994" w:right="302"/>
      </w:pPr>
      <w:r>
        <w:t>Безусловно, данная разработка является актуальной, так как 21 век – век постоянно развивающихся технологий. Сейчас сложно предс</w:t>
      </w:r>
      <w:r>
        <w:t>тавить жизнь человека без различных девайсов и Интернета. Система электронных дневников делает проще процесс документооборота в учреждениях образования, причём каждый учитель может изменять страницы дневников только тех учеников, у которых они преподают, р</w:t>
      </w:r>
      <w:r>
        <w:t xml:space="preserve">одители могут посещать страницу только своего ребёнка, как и сам ученик видит только свою страницу, для чего создана система паролей. Это соответствует так же психологическим и социальным аспектам.  </w:t>
      </w:r>
    </w:p>
    <w:p w:rsidR="002C0F56" w:rsidRDefault="00E67C6E">
      <w:pPr>
        <w:spacing w:after="0" w:line="259" w:lineRule="auto"/>
        <w:ind w:left="1318" w:firstLine="0"/>
        <w:jc w:val="center"/>
      </w:pPr>
      <w:r>
        <w:t xml:space="preserve"> </w:t>
      </w:r>
    </w:p>
    <w:p w:rsidR="002C0F56" w:rsidRDefault="00E67C6E">
      <w:pPr>
        <w:spacing w:after="0" w:line="259" w:lineRule="auto"/>
        <w:ind w:left="1318" w:firstLine="0"/>
        <w:jc w:val="center"/>
      </w:pPr>
      <w:r>
        <w:lastRenderedPageBreak/>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65"/>
        </w:numPr>
        <w:spacing w:after="10"/>
        <w:ind w:right="302"/>
      </w:pPr>
      <w:r>
        <w:t>Актуальность внедрения электронн</w:t>
      </w:r>
      <w:r>
        <w:t xml:space="preserve">ых дневников и журналов успеваемости. [Электронный ресурс]. Режим доступа: http://www.30astrs23.edusite.ru/p28aa1.html </w:t>
      </w:r>
    </w:p>
    <w:p w:rsidR="002C0F56" w:rsidRDefault="00E67C6E">
      <w:pPr>
        <w:numPr>
          <w:ilvl w:val="0"/>
          <w:numId w:val="165"/>
        </w:numPr>
        <w:ind w:right="302"/>
      </w:pPr>
      <w:r>
        <w:t xml:space="preserve">Электронные дневники и журналы. [Электронный ресурс]. Режим </w:t>
      </w:r>
    </w:p>
    <w:p w:rsidR="002C0F56" w:rsidRDefault="00E67C6E">
      <w:pPr>
        <w:spacing w:after="12"/>
        <w:ind w:left="994" w:right="302" w:firstLine="0"/>
      </w:pPr>
      <w:r>
        <w:t xml:space="preserve">доступа: https://schools.by/ </w:t>
      </w:r>
    </w:p>
    <w:p w:rsidR="002C0F56" w:rsidRDefault="00E67C6E">
      <w:pPr>
        <w:numPr>
          <w:ilvl w:val="0"/>
          <w:numId w:val="165"/>
        </w:numPr>
        <w:ind w:right="302"/>
      </w:pPr>
      <w:r>
        <w:t>Цифровые оценки: как живётся белорусским школ</w:t>
      </w:r>
      <w:r>
        <w:t xml:space="preserve">ам с «электронными дневниками». [Электронный ресурс]. Режим доступа: https://42.tut.by/466829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11" w:line="270" w:lineRule="auto"/>
        <w:ind w:left="5759" w:right="306" w:hanging="10"/>
        <w:jc w:val="right"/>
      </w:pPr>
      <w:r>
        <w:rPr>
          <w:b/>
        </w:rPr>
        <w:t xml:space="preserve">Никоненко И.О. </w:t>
      </w:r>
      <w:r>
        <w:t xml:space="preserve">Научный руководитель: Майоренко Т.Н. </w:t>
      </w:r>
    </w:p>
    <w:p w:rsidR="002C0F56" w:rsidRDefault="00E67C6E">
      <w:pPr>
        <w:spacing w:after="0" w:line="267" w:lineRule="auto"/>
        <w:ind w:left="905" w:right="161" w:hanging="10"/>
        <w:jc w:val="right"/>
      </w:pPr>
      <w:r>
        <w:rPr>
          <w:i/>
        </w:rPr>
        <w:t xml:space="preserve">Донецкий техникум химических технологий и фармации </w:t>
      </w:r>
    </w:p>
    <w:p w:rsidR="002C0F56" w:rsidRDefault="00E67C6E">
      <w:pPr>
        <w:spacing w:after="32" w:line="259" w:lineRule="auto"/>
        <w:ind w:left="1558" w:firstLine="0"/>
        <w:jc w:val="left"/>
      </w:pPr>
      <w:r>
        <w:rPr>
          <w:b/>
        </w:rPr>
        <w:t xml:space="preserve"> </w:t>
      </w:r>
    </w:p>
    <w:p w:rsidR="002C0F56" w:rsidRDefault="00E67C6E">
      <w:pPr>
        <w:pStyle w:val="1"/>
        <w:ind w:left="700" w:right="7"/>
      </w:pPr>
      <w:r>
        <w:t xml:space="preserve">ДИНАМИКА СРЕДНЕЙ РЕАЛЬНОЙ ЗАРАБОТНОЙ ПЛАТЫ  </w:t>
      </w:r>
    </w:p>
    <w:p w:rsidR="002C0F56" w:rsidRDefault="00E67C6E">
      <w:pPr>
        <w:pStyle w:val="1"/>
        <w:ind w:left="700" w:right="7"/>
      </w:pPr>
      <w:r>
        <w:t>В МИРОВОЙ ЭКОНОМИКЕ</w:t>
      </w:r>
      <w:r>
        <w:rPr>
          <w:rFonts w:ascii="Arial" w:eastAsia="Arial" w:hAnsi="Arial" w:cs="Arial"/>
          <w:b w:val="0"/>
          <w:i/>
        </w:rPr>
        <w:t xml:space="preserve"> </w:t>
      </w:r>
    </w:p>
    <w:p w:rsidR="002C0F56" w:rsidRDefault="00E67C6E">
      <w:pPr>
        <w:spacing w:after="0" w:line="259" w:lineRule="auto"/>
        <w:ind w:left="1558" w:firstLine="0"/>
        <w:jc w:val="left"/>
      </w:pPr>
      <w:r>
        <w:t xml:space="preserve"> </w:t>
      </w:r>
    </w:p>
    <w:p w:rsidR="002C0F56" w:rsidRDefault="00E67C6E">
      <w:pPr>
        <w:spacing w:after="0"/>
        <w:ind w:left="994" w:right="302"/>
      </w:pPr>
      <w:r>
        <w:t xml:space="preserve">В условиях глобализации экономики актуальной является проблема различия величины вознаграждения за труд в разных странах. В данной работе рассматривается динамика средней реальной заработной платы в разных регионах и странах мира, а </w:t>
      </w:r>
      <w:r>
        <w:t xml:space="preserve">также некоторые другие аспекты формирования реальной заработной платы в мировой экономике. На основании данных Международной Организации Труда (МОТ) разработаны сравнительные таблицы.          </w:t>
      </w:r>
    </w:p>
    <w:p w:rsidR="002C0F56" w:rsidRDefault="00E67C6E">
      <w:pPr>
        <w:spacing w:after="9"/>
        <w:ind w:left="994" w:right="302"/>
      </w:pPr>
      <w:r>
        <w:t xml:space="preserve">Как известно, работник получает вознаграждение за труд в виде </w:t>
      </w:r>
      <w:r>
        <w:t xml:space="preserve">определенной суммы денег, которая представляет собой номинальную заработную плату. </w:t>
      </w:r>
    </w:p>
    <w:p w:rsidR="002C0F56" w:rsidRDefault="00E67C6E">
      <w:pPr>
        <w:spacing w:after="6"/>
        <w:ind w:left="994" w:right="302"/>
      </w:pPr>
      <w:r>
        <w:t>От номинальной заработной платы следует отличать реальную заработную плату. Реальная заработная плата</w:t>
      </w:r>
      <w:r>
        <w:rPr>
          <w:i/>
        </w:rPr>
        <w:t xml:space="preserve"> </w:t>
      </w:r>
      <w:r>
        <w:t>– это сумма жизненных благ, то есть товары и услуги, которые можно при</w:t>
      </w:r>
      <w:r>
        <w:t>обрести за номинальную заработную плату при данном уровне потребительских цен. Именно этот показатель наиболее точно (по сравнению с номинальной зарплатой) учитывает, насколько действительно различаются величины вознаграждений за труд в разных странах [1].</w:t>
      </w:r>
      <w:r>
        <w:t xml:space="preserve"> Это наглядно видно из данных таблицы 1, где сопоставлен средний реальный заработок в России, США и Бельгии (по состоянию на январь 2015 г.). </w:t>
      </w:r>
    </w:p>
    <w:p w:rsidR="002C0F56" w:rsidRDefault="00E67C6E">
      <w:pPr>
        <w:spacing w:after="0" w:line="259" w:lineRule="auto"/>
        <w:ind w:left="1558" w:firstLine="0"/>
        <w:jc w:val="left"/>
      </w:pPr>
      <w:r>
        <w:t xml:space="preserve"> </w:t>
      </w:r>
    </w:p>
    <w:p w:rsidR="002C0F56" w:rsidRDefault="00E67C6E">
      <w:pPr>
        <w:spacing w:after="5" w:line="271" w:lineRule="auto"/>
        <w:ind w:left="2864" w:right="396" w:hanging="994"/>
        <w:jc w:val="left"/>
      </w:pPr>
      <w:r>
        <w:rPr>
          <w:i/>
          <w:sz w:val="24"/>
        </w:rPr>
        <w:t>Таблица 1</w:t>
      </w:r>
      <w:r>
        <w:rPr>
          <w:sz w:val="24"/>
        </w:rPr>
        <w:t xml:space="preserve"> – </w:t>
      </w:r>
      <w:r>
        <w:rPr>
          <w:b/>
          <w:sz w:val="24"/>
        </w:rPr>
        <w:t xml:space="preserve">Количество некоторых продуктов, которое можно приобрести на среднюю заработную плату в России, США и Бельгии </w:t>
      </w:r>
    </w:p>
    <w:tbl>
      <w:tblPr>
        <w:tblStyle w:val="TableGrid"/>
        <w:tblW w:w="10068" w:type="dxa"/>
        <w:tblInd w:w="780" w:type="dxa"/>
        <w:tblCellMar>
          <w:top w:w="14" w:type="dxa"/>
          <w:left w:w="108" w:type="dxa"/>
          <w:bottom w:w="0" w:type="dxa"/>
          <w:right w:w="115" w:type="dxa"/>
        </w:tblCellMar>
        <w:tblLook w:val="04A0" w:firstRow="1" w:lastRow="0" w:firstColumn="1" w:lastColumn="0" w:noHBand="0" w:noVBand="1"/>
      </w:tblPr>
      <w:tblGrid>
        <w:gridCol w:w="2552"/>
        <w:gridCol w:w="2410"/>
        <w:gridCol w:w="2552"/>
        <w:gridCol w:w="2554"/>
      </w:tblGrid>
      <w:tr w:rsidR="002C0F56">
        <w:trPr>
          <w:trHeight w:val="286"/>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Продукты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Москва </w:t>
            </w:r>
          </w:p>
        </w:tc>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Вашингтон </w:t>
            </w:r>
          </w:p>
        </w:tc>
        <w:tc>
          <w:tcPr>
            <w:tcW w:w="255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center"/>
            </w:pPr>
            <w:r>
              <w:rPr>
                <w:sz w:val="24"/>
              </w:rPr>
              <w:t xml:space="preserve">Брюссель </w:t>
            </w:r>
          </w:p>
        </w:tc>
      </w:tr>
      <w:tr w:rsidR="002C0F56">
        <w:trPr>
          <w:trHeight w:val="286"/>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 xml:space="preserve">Молоко (1 л)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420,5 </w:t>
            </w:r>
          </w:p>
        </w:tc>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2170 </w:t>
            </w:r>
          </w:p>
        </w:tc>
        <w:tc>
          <w:tcPr>
            <w:tcW w:w="255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2465 </w:t>
            </w:r>
          </w:p>
        </w:tc>
      </w:tr>
      <w:tr w:rsidR="002C0F56">
        <w:trPr>
          <w:trHeight w:val="286"/>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Сахар (1 кг)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3" w:firstLine="0"/>
              <w:jc w:val="center"/>
            </w:pPr>
            <w:r>
              <w:rPr>
                <w:sz w:val="24"/>
              </w:rPr>
              <w:t xml:space="preserve">776 </w:t>
            </w:r>
          </w:p>
        </w:tc>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1546 </w:t>
            </w:r>
          </w:p>
        </w:tc>
        <w:tc>
          <w:tcPr>
            <w:tcW w:w="255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1711 </w:t>
            </w:r>
          </w:p>
        </w:tc>
      </w:tr>
      <w:tr w:rsidR="002C0F56">
        <w:trPr>
          <w:trHeight w:val="288"/>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Хлеб (1 кг)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3" w:firstLine="0"/>
              <w:jc w:val="center"/>
            </w:pPr>
            <w:r>
              <w:rPr>
                <w:sz w:val="24"/>
              </w:rPr>
              <w:t xml:space="preserve">1211 </w:t>
            </w:r>
          </w:p>
        </w:tc>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679 </w:t>
            </w:r>
          </w:p>
        </w:tc>
        <w:tc>
          <w:tcPr>
            <w:tcW w:w="255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1081 </w:t>
            </w:r>
          </w:p>
        </w:tc>
      </w:tr>
      <w:tr w:rsidR="002C0F56">
        <w:trPr>
          <w:trHeight w:val="286"/>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Картофель (1 кг)  </w:t>
            </w:r>
          </w:p>
        </w:tc>
        <w:tc>
          <w:tcPr>
            <w:tcW w:w="241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3" w:firstLine="0"/>
              <w:jc w:val="center"/>
            </w:pPr>
            <w:r>
              <w:rPr>
                <w:sz w:val="24"/>
              </w:rPr>
              <w:t xml:space="preserve">1044 </w:t>
            </w:r>
          </w:p>
        </w:tc>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1549 </w:t>
            </w:r>
          </w:p>
        </w:tc>
        <w:tc>
          <w:tcPr>
            <w:tcW w:w="255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1688 </w:t>
            </w:r>
          </w:p>
        </w:tc>
      </w:tr>
    </w:tbl>
    <w:p w:rsidR="002C0F56" w:rsidRDefault="00E67C6E">
      <w:pPr>
        <w:spacing w:after="0" w:line="259" w:lineRule="auto"/>
        <w:ind w:left="1558" w:firstLine="0"/>
        <w:jc w:val="left"/>
      </w:pPr>
      <w:r>
        <w:t xml:space="preserve"> </w:t>
      </w:r>
    </w:p>
    <w:p w:rsidR="002C0F56" w:rsidRDefault="00E67C6E">
      <w:pPr>
        <w:ind w:left="994" w:right="302"/>
      </w:pPr>
      <w:r>
        <w:t xml:space="preserve">Значительно влияет на величину реальной заработной платы повышение общего уровня потребительских цен, то есть инфляция. </w:t>
      </w:r>
    </w:p>
    <w:p w:rsidR="002C0F56" w:rsidRDefault="00E67C6E">
      <w:pPr>
        <w:spacing w:after="10"/>
        <w:ind w:left="994" w:right="302"/>
      </w:pPr>
      <w:r>
        <w:t xml:space="preserve">Естественно, инфляция дает больше выгод предпринимателям, которые расплачиваются за выполненную работу установленной в трудовом договоре суммой уже обесцененных денег, что снижает уровень жизни работников. </w:t>
      </w:r>
    </w:p>
    <w:p w:rsidR="002C0F56" w:rsidRDefault="00E67C6E">
      <w:pPr>
        <w:ind w:left="994" w:right="302"/>
      </w:pPr>
      <w:r>
        <w:t>На практике встречаются разные варианты изменения</w:t>
      </w:r>
      <w:r>
        <w:t xml:space="preserve"> уровня реального вознаграждения за труд. Это зависит от достигнутого соотношения темпов инфляции и темпов изменения номинальной зарплаты. Ученые-экономисты  выделяют 4 типа динамики (изменения) уровня реальной оплаты труда [2, С. </w:t>
      </w:r>
    </w:p>
    <w:p w:rsidR="002C0F56" w:rsidRDefault="00E67C6E">
      <w:pPr>
        <w:spacing w:after="12"/>
        <w:ind w:left="994" w:right="302" w:firstLine="0"/>
      </w:pPr>
      <w:r>
        <w:t xml:space="preserve">250-253].           </w:t>
      </w:r>
    </w:p>
    <w:p w:rsidR="002C0F56" w:rsidRDefault="00E67C6E">
      <w:pPr>
        <w:numPr>
          <w:ilvl w:val="0"/>
          <w:numId w:val="166"/>
        </w:numPr>
        <w:ind w:right="302"/>
      </w:pPr>
      <w:r>
        <w:t>Пер</w:t>
      </w:r>
      <w:r>
        <w:t xml:space="preserve">вый тип: темпы роста номинальной заработной платы равны темпам повышения общего уровня потребительских цен.  </w:t>
      </w:r>
    </w:p>
    <w:p w:rsidR="002C0F56" w:rsidRDefault="00E67C6E">
      <w:pPr>
        <w:ind w:left="994" w:right="302"/>
      </w:pPr>
      <w:r>
        <w:t xml:space="preserve">В этом случае уровень реальной заработной платы стабилен. Это возможно, если происходит «автоматическая» индексация номинальной зарплаты, то есть </w:t>
      </w:r>
      <w:r>
        <w:t xml:space="preserve">ее повышают в соответствии с ростом  официального индекса цен. Такое положение наблюдалось в Западной Европе в 70-е годы XX века, в период сильной инфляции. При заключении коллективных договоров с предпринимателями профессиональные союзы добивались, чтобы </w:t>
      </w:r>
      <w:r>
        <w:t>номинальная зарплата повышалась в соответствии с ростом официально установленного общего индекса цен на потребительские товары. К сожалению, этот вид довольно редок в настоящее время. Он защищает рабочих от инфляции, но выработка работников не сопровождает</w:t>
      </w:r>
      <w:r>
        <w:t xml:space="preserve">ся увеличением реальных заработков. </w:t>
      </w:r>
    </w:p>
    <w:p w:rsidR="002C0F56" w:rsidRDefault="00E67C6E">
      <w:pPr>
        <w:numPr>
          <w:ilvl w:val="0"/>
          <w:numId w:val="166"/>
        </w:numPr>
        <w:spacing w:after="12"/>
        <w:ind w:right="302"/>
      </w:pPr>
      <w:r>
        <w:t xml:space="preserve">Второй тип: номинальная зарплата растет быстрее инфляции.  </w:t>
      </w:r>
    </w:p>
    <w:p w:rsidR="002C0F56" w:rsidRDefault="00E67C6E">
      <w:pPr>
        <w:ind w:left="994" w:right="302"/>
      </w:pPr>
      <w:r>
        <w:t xml:space="preserve">Величина реальной заработной платы возрастает. Этот случай еще более редкий и касается привилегированных групп работников.  </w:t>
      </w:r>
    </w:p>
    <w:p w:rsidR="002C0F56" w:rsidRDefault="00E67C6E">
      <w:pPr>
        <w:ind w:left="994" w:right="302"/>
      </w:pPr>
      <w:r>
        <w:t xml:space="preserve">Если номинальная заработная плата </w:t>
      </w:r>
      <w:r>
        <w:t xml:space="preserve">возрастает быстрее увеличения потребительских цен, то в этом случае стимулируется более эффективный труд. </w:t>
      </w:r>
    </w:p>
    <w:p w:rsidR="002C0F56" w:rsidRDefault="00E67C6E">
      <w:pPr>
        <w:numPr>
          <w:ilvl w:val="0"/>
          <w:numId w:val="166"/>
        </w:numPr>
        <w:ind w:right="302"/>
      </w:pPr>
      <w:r>
        <w:t xml:space="preserve">Третий тип: при низких темпах инфляции обычно не проводится индексация номинальной зарплаты.  </w:t>
      </w:r>
    </w:p>
    <w:p w:rsidR="002C0F56" w:rsidRDefault="00E67C6E">
      <w:pPr>
        <w:ind w:left="994" w:right="302"/>
      </w:pPr>
      <w:r>
        <w:t>В данном случае величина реальной заработной платы понемногу уменьшается. Так происходило в Западной Европе в середине 80-х гг. прошлого века, когда были ликвидированы национальные системы индексация заработной платы. А в тоже время в США предприятия перес</w:t>
      </w:r>
      <w:r>
        <w:t xml:space="preserve">тали заключать с профсоюзами договора об автоматической индексации зарплаты. В итоге в 1990 году уровень реального вознаграждения за труд снизился на 4-5%, по сравнению с 1985. При </w:t>
      </w:r>
      <w:r>
        <w:lastRenderedPageBreak/>
        <w:t>этом предприниматели получили новое средство экономического принуждения к п</w:t>
      </w:r>
      <w:r>
        <w:t>овышению производительности труда (работники повышают выработку, чтобы возместить потери реальных доходов). С другой стороны, люди стремятся для предотвращения снижения уровня благосостояния увеличивать продолжительность времени труда или устраиваться на д</w:t>
      </w:r>
      <w:r>
        <w:t xml:space="preserve">ополнительную работу. </w:t>
      </w:r>
    </w:p>
    <w:p w:rsidR="002C0F56" w:rsidRDefault="00E67C6E">
      <w:pPr>
        <w:numPr>
          <w:ilvl w:val="0"/>
          <w:numId w:val="166"/>
        </w:numPr>
        <w:ind w:right="302"/>
      </w:pPr>
      <w:r>
        <w:t xml:space="preserve">Четвертый тип: инфляционная спираль.  </w:t>
      </w:r>
    </w:p>
    <w:p w:rsidR="002C0F56" w:rsidRDefault="00E67C6E">
      <w:pPr>
        <w:spacing w:after="0"/>
        <w:ind w:left="994" w:right="302"/>
      </w:pPr>
      <w:r>
        <w:t>Она происходит при высоких темпах инфляции, когда не проводится «автоматическая» индексация номинальной зарплаты, а работники все же добиваются соответствующего увеличения номинальных доходов. П</w:t>
      </w:r>
      <w:r>
        <w:t>равительство и предприниматели в таком случае устанавливают более высокие уровни денежных заработков. В результате  происходит удорожание продукции, что ведет к новому росту потребительских цен. И все повторяется на новом витке спирали. Данный вид опасен т</w:t>
      </w:r>
      <w:r>
        <w:t xml:space="preserve">ем, что ведет к гиперинфляции. При этом потери работников не возмещаются запоздалой надбавкой к зарплате и уровень жизни населения снижается [1].   </w:t>
      </w:r>
    </w:p>
    <w:p w:rsidR="002C0F56" w:rsidRDefault="00E67C6E">
      <w:pPr>
        <w:ind w:left="994" w:right="302"/>
      </w:pPr>
      <w:r>
        <w:t xml:space="preserve">Рассмотрим динамику средней реальной заработной платы в мировой экономике. </w:t>
      </w:r>
    </w:p>
    <w:p w:rsidR="002C0F56" w:rsidRDefault="00E67C6E">
      <w:pPr>
        <w:ind w:left="994" w:right="302"/>
      </w:pPr>
      <w:r>
        <w:t xml:space="preserve">Тенденции в области заработной </w:t>
      </w:r>
      <w:r>
        <w:t xml:space="preserve">платы по-разному проявляются в экономически развитых странах, развивающихся странах и странах с формирующимся рынком. </w:t>
      </w:r>
    </w:p>
    <w:p w:rsidR="002C0F56" w:rsidRDefault="00E67C6E">
      <w:pPr>
        <w:spacing w:after="0"/>
        <w:ind w:left="994" w:right="302"/>
      </w:pPr>
      <w:r>
        <w:t>С 2007-2009 гг. в мировой экономике проявлялся значительный спад, но затем произошло восстановление темпов роста в 2010-м году, а затем о</w:t>
      </w:r>
      <w:r>
        <w:t>ни снова медленно сокращаются, что видно на рис. 1. Хотя после 2010 года экономический спад значительно замедлился, все же, в развивающихся странах он более ощутим, чем в развитых. В ряде докладов МОТ отмечается, что рынки труда во многих странах все еще н</w:t>
      </w:r>
      <w:r>
        <w:t xml:space="preserve">е восстановились и глобальный дефицит рабочих мест сегодня обострился по сравнению с началом мирового финансового и экономического кризиса в 2008 году [3, 4].  </w:t>
      </w:r>
    </w:p>
    <w:p w:rsidR="002C0F56" w:rsidRDefault="00E67C6E">
      <w:pPr>
        <w:spacing w:after="0" w:line="259" w:lineRule="auto"/>
        <w:ind w:left="1558" w:firstLine="0"/>
        <w:jc w:val="left"/>
      </w:pPr>
      <w:r>
        <w:t xml:space="preserve"> </w:t>
      </w:r>
    </w:p>
    <w:p w:rsidR="002C0F56" w:rsidRDefault="00E67C6E">
      <w:pPr>
        <w:spacing w:after="157" w:line="259" w:lineRule="auto"/>
        <w:ind w:left="1556" w:firstLine="0"/>
        <w:jc w:val="left"/>
      </w:pPr>
      <w:r>
        <w:rPr>
          <w:rFonts w:ascii="Calibri" w:eastAsia="Calibri" w:hAnsi="Calibri" w:cs="Calibri"/>
          <w:noProof/>
          <w:sz w:val="22"/>
        </w:rPr>
        <mc:AlternateContent>
          <mc:Choice Requires="wpg">
            <w:drawing>
              <wp:inline distT="0" distB="0" distL="0" distR="0">
                <wp:extent cx="5889281" cy="1764214"/>
                <wp:effectExtent l="0" t="0" r="0" b="0"/>
                <wp:docPr id="632401" name="Group 632401"/>
                <wp:cNvGraphicFramePr/>
                <a:graphic xmlns:a="http://schemas.openxmlformats.org/drawingml/2006/main">
                  <a:graphicData uri="http://schemas.microsoft.com/office/word/2010/wordprocessingGroup">
                    <wpg:wgp>
                      <wpg:cNvGrpSpPr/>
                      <wpg:grpSpPr>
                        <a:xfrm>
                          <a:off x="0" y="0"/>
                          <a:ext cx="5889281" cy="1764214"/>
                          <a:chOff x="0" y="0"/>
                          <a:chExt cx="5889281" cy="1764214"/>
                        </a:xfrm>
                      </wpg:grpSpPr>
                      <wps:wsp>
                        <wps:cNvPr id="55235" name="Shape 55235"/>
                        <wps:cNvSpPr/>
                        <wps:spPr>
                          <a:xfrm>
                            <a:off x="0" y="0"/>
                            <a:ext cx="5889281" cy="1764214"/>
                          </a:xfrm>
                          <a:custGeom>
                            <a:avLst/>
                            <a:gdLst/>
                            <a:ahLst/>
                            <a:cxnLst/>
                            <a:rect l="0" t="0" r="0" b="0"/>
                            <a:pathLst>
                              <a:path w="5889281" h="1764214">
                                <a:moveTo>
                                  <a:pt x="0" y="0"/>
                                </a:moveTo>
                                <a:lnTo>
                                  <a:pt x="5889281" y="0"/>
                                </a:lnTo>
                                <a:lnTo>
                                  <a:pt x="5889281" y="1764214"/>
                                </a:lnTo>
                                <a:lnTo>
                                  <a:pt x="0" y="1764214"/>
                                </a:lnTo>
                                <a:lnTo>
                                  <a:pt x="0" y="0"/>
                                </a:lnTo>
                                <a:close/>
                              </a:path>
                            </a:pathLst>
                          </a:custGeom>
                          <a:ln w="1771" cap="flat">
                            <a:round/>
                          </a:ln>
                        </wps:spPr>
                        <wps:style>
                          <a:lnRef idx="1">
                            <a:srgbClr val="808080"/>
                          </a:lnRef>
                          <a:fillRef idx="0">
                            <a:srgbClr val="FFFFFF"/>
                          </a:fillRef>
                          <a:effectRef idx="0">
                            <a:scrgbClr r="0" g="0" b="0"/>
                          </a:effectRef>
                          <a:fontRef idx="none"/>
                        </wps:style>
                        <wps:bodyPr/>
                      </wps:wsp>
                      <wps:wsp>
                        <wps:cNvPr id="705167" name="Shape 705167"/>
                        <wps:cNvSpPr/>
                        <wps:spPr>
                          <a:xfrm>
                            <a:off x="350371" y="816821"/>
                            <a:ext cx="3512802" cy="787509"/>
                          </a:xfrm>
                          <a:custGeom>
                            <a:avLst/>
                            <a:gdLst/>
                            <a:ahLst/>
                            <a:cxnLst/>
                            <a:rect l="0" t="0" r="0" b="0"/>
                            <a:pathLst>
                              <a:path w="3512802" h="787509">
                                <a:moveTo>
                                  <a:pt x="0" y="0"/>
                                </a:moveTo>
                                <a:lnTo>
                                  <a:pt x="3512802" y="0"/>
                                </a:lnTo>
                                <a:lnTo>
                                  <a:pt x="3512802" y="787509"/>
                                </a:lnTo>
                                <a:lnTo>
                                  <a:pt x="0" y="787509"/>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5237" name="Shape 55237"/>
                        <wps:cNvSpPr/>
                        <wps:spPr>
                          <a:xfrm>
                            <a:off x="355125" y="1609061"/>
                            <a:ext cx="3508112" cy="0"/>
                          </a:xfrm>
                          <a:custGeom>
                            <a:avLst/>
                            <a:gdLst/>
                            <a:ahLst/>
                            <a:cxnLst/>
                            <a:rect l="0" t="0" r="0" b="0"/>
                            <a:pathLst>
                              <a:path w="3508112">
                                <a:moveTo>
                                  <a:pt x="3508112" y="0"/>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38" name="Shape 55238"/>
                        <wps:cNvSpPr/>
                        <wps:spPr>
                          <a:xfrm>
                            <a:off x="355125" y="1215313"/>
                            <a:ext cx="3508112" cy="0"/>
                          </a:xfrm>
                          <a:custGeom>
                            <a:avLst/>
                            <a:gdLst/>
                            <a:ahLst/>
                            <a:cxnLst/>
                            <a:rect l="0" t="0" r="0" b="0"/>
                            <a:pathLst>
                              <a:path w="3508112">
                                <a:moveTo>
                                  <a:pt x="3508112" y="0"/>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39" name="Shape 55239"/>
                        <wps:cNvSpPr/>
                        <wps:spPr>
                          <a:xfrm>
                            <a:off x="355125" y="1019046"/>
                            <a:ext cx="3508112" cy="0"/>
                          </a:xfrm>
                          <a:custGeom>
                            <a:avLst/>
                            <a:gdLst/>
                            <a:ahLst/>
                            <a:cxnLst/>
                            <a:rect l="0" t="0" r="0" b="0"/>
                            <a:pathLst>
                              <a:path w="3508112">
                                <a:moveTo>
                                  <a:pt x="3508112" y="0"/>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40" name="Shape 55240"/>
                        <wps:cNvSpPr/>
                        <wps:spPr>
                          <a:xfrm>
                            <a:off x="355125" y="821552"/>
                            <a:ext cx="3508112" cy="0"/>
                          </a:xfrm>
                          <a:custGeom>
                            <a:avLst/>
                            <a:gdLst/>
                            <a:ahLst/>
                            <a:cxnLst/>
                            <a:rect l="0" t="0" r="0" b="0"/>
                            <a:pathLst>
                              <a:path w="3508112">
                                <a:moveTo>
                                  <a:pt x="3508112" y="0"/>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705168" name="Shape 705168"/>
                        <wps:cNvSpPr/>
                        <wps:spPr>
                          <a:xfrm>
                            <a:off x="857501" y="895685"/>
                            <a:ext cx="155546" cy="512682"/>
                          </a:xfrm>
                          <a:custGeom>
                            <a:avLst/>
                            <a:gdLst/>
                            <a:ahLst/>
                            <a:cxnLst/>
                            <a:rect l="0" t="0" r="0" b="0"/>
                            <a:pathLst>
                              <a:path w="155546" h="512682">
                                <a:moveTo>
                                  <a:pt x="0" y="0"/>
                                </a:moveTo>
                                <a:lnTo>
                                  <a:pt x="155546" y="0"/>
                                </a:lnTo>
                                <a:lnTo>
                                  <a:pt x="155546" y="512682"/>
                                </a:lnTo>
                                <a:lnTo>
                                  <a:pt x="0" y="51268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69" name="Shape 705169"/>
                        <wps:cNvSpPr/>
                        <wps:spPr>
                          <a:xfrm>
                            <a:off x="1247399" y="884984"/>
                            <a:ext cx="157080" cy="523383"/>
                          </a:xfrm>
                          <a:custGeom>
                            <a:avLst/>
                            <a:gdLst/>
                            <a:ahLst/>
                            <a:cxnLst/>
                            <a:rect l="0" t="0" r="0" b="0"/>
                            <a:pathLst>
                              <a:path w="157080" h="523383">
                                <a:moveTo>
                                  <a:pt x="0" y="0"/>
                                </a:moveTo>
                                <a:lnTo>
                                  <a:pt x="157080" y="0"/>
                                </a:lnTo>
                                <a:lnTo>
                                  <a:pt x="157080" y="523383"/>
                                </a:lnTo>
                                <a:lnTo>
                                  <a:pt x="0" y="52338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70" name="Shape 705170"/>
                        <wps:cNvSpPr/>
                        <wps:spPr>
                          <a:xfrm>
                            <a:off x="1639274" y="1131390"/>
                            <a:ext cx="155241" cy="276977"/>
                          </a:xfrm>
                          <a:custGeom>
                            <a:avLst/>
                            <a:gdLst/>
                            <a:ahLst/>
                            <a:cxnLst/>
                            <a:rect l="0" t="0" r="0" b="0"/>
                            <a:pathLst>
                              <a:path w="155241" h="276977">
                                <a:moveTo>
                                  <a:pt x="0" y="0"/>
                                </a:moveTo>
                                <a:lnTo>
                                  <a:pt x="155241" y="0"/>
                                </a:lnTo>
                                <a:lnTo>
                                  <a:pt x="155241" y="276977"/>
                                </a:lnTo>
                                <a:lnTo>
                                  <a:pt x="0" y="27697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71" name="Shape 705171"/>
                        <wps:cNvSpPr/>
                        <wps:spPr>
                          <a:xfrm>
                            <a:off x="2029120" y="1408368"/>
                            <a:ext cx="155241" cy="28736"/>
                          </a:xfrm>
                          <a:custGeom>
                            <a:avLst/>
                            <a:gdLst/>
                            <a:ahLst/>
                            <a:cxnLst/>
                            <a:rect l="0" t="0" r="0" b="0"/>
                            <a:pathLst>
                              <a:path w="155241" h="28736">
                                <a:moveTo>
                                  <a:pt x="0" y="0"/>
                                </a:moveTo>
                                <a:lnTo>
                                  <a:pt x="155241" y="0"/>
                                </a:lnTo>
                                <a:lnTo>
                                  <a:pt x="155241" y="28736"/>
                                </a:lnTo>
                                <a:lnTo>
                                  <a:pt x="0" y="2873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72" name="Shape 705172"/>
                        <wps:cNvSpPr/>
                        <wps:spPr>
                          <a:xfrm>
                            <a:off x="2419094" y="904855"/>
                            <a:ext cx="155241" cy="503512"/>
                          </a:xfrm>
                          <a:custGeom>
                            <a:avLst/>
                            <a:gdLst/>
                            <a:ahLst/>
                            <a:cxnLst/>
                            <a:rect l="0" t="0" r="0" b="0"/>
                            <a:pathLst>
                              <a:path w="155241" h="503512">
                                <a:moveTo>
                                  <a:pt x="0" y="0"/>
                                </a:moveTo>
                                <a:lnTo>
                                  <a:pt x="155241" y="0"/>
                                </a:lnTo>
                                <a:lnTo>
                                  <a:pt x="155241" y="503512"/>
                                </a:lnTo>
                                <a:lnTo>
                                  <a:pt x="0" y="5035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73" name="Shape 705173"/>
                        <wps:cNvSpPr/>
                        <wps:spPr>
                          <a:xfrm>
                            <a:off x="2809067" y="1014302"/>
                            <a:ext cx="156775" cy="394064"/>
                          </a:xfrm>
                          <a:custGeom>
                            <a:avLst/>
                            <a:gdLst/>
                            <a:ahLst/>
                            <a:cxnLst/>
                            <a:rect l="0" t="0" r="0" b="0"/>
                            <a:pathLst>
                              <a:path w="156775" h="394064">
                                <a:moveTo>
                                  <a:pt x="0" y="0"/>
                                </a:moveTo>
                                <a:lnTo>
                                  <a:pt x="156775" y="0"/>
                                </a:lnTo>
                                <a:lnTo>
                                  <a:pt x="156775" y="394064"/>
                                </a:lnTo>
                                <a:lnTo>
                                  <a:pt x="0" y="3940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74" name="Shape 705174"/>
                        <wps:cNvSpPr/>
                        <wps:spPr>
                          <a:xfrm>
                            <a:off x="3200562" y="1111823"/>
                            <a:ext cx="155546" cy="296544"/>
                          </a:xfrm>
                          <a:custGeom>
                            <a:avLst/>
                            <a:gdLst/>
                            <a:ahLst/>
                            <a:cxnLst/>
                            <a:rect l="0" t="0" r="0" b="0"/>
                            <a:pathLst>
                              <a:path w="155546" h="296544">
                                <a:moveTo>
                                  <a:pt x="0" y="0"/>
                                </a:moveTo>
                                <a:lnTo>
                                  <a:pt x="155546" y="0"/>
                                </a:lnTo>
                                <a:lnTo>
                                  <a:pt x="155546" y="296544"/>
                                </a:lnTo>
                                <a:lnTo>
                                  <a:pt x="0" y="2965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05175" name="Shape 705175"/>
                        <wps:cNvSpPr/>
                        <wps:spPr>
                          <a:xfrm>
                            <a:off x="3590534" y="1122220"/>
                            <a:ext cx="155546" cy="286147"/>
                          </a:xfrm>
                          <a:custGeom>
                            <a:avLst/>
                            <a:gdLst/>
                            <a:ahLst/>
                            <a:cxnLst/>
                            <a:rect l="0" t="0" r="0" b="0"/>
                            <a:pathLst>
                              <a:path w="155546" h="286147">
                                <a:moveTo>
                                  <a:pt x="0" y="0"/>
                                </a:moveTo>
                                <a:lnTo>
                                  <a:pt x="155546" y="0"/>
                                </a:lnTo>
                                <a:lnTo>
                                  <a:pt x="155546" y="286147"/>
                                </a:lnTo>
                                <a:lnTo>
                                  <a:pt x="0" y="28614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249" name="Shape 55249"/>
                        <wps:cNvSpPr/>
                        <wps:spPr>
                          <a:xfrm>
                            <a:off x="355125" y="821552"/>
                            <a:ext cx="0" cy="785991"/>
                          </a:xfrm>
                          <a:custGeom>
                            <a:avLst/>
                            <a:gdLst/>
                            <a:ahLst/>
                            <a:cxnLst/>
                            <a:rect l="0" t="0" r="0" b="0"/>
                            <a:pathLst>
                              <a:path h="785991">
                                <a:moveTo>
                                  <a:pt x="0" y="0"/>
                                </a:moveTo>
                                <a:lnTo>
                                  <a:pt x="0" y="785991"/>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0" name="Shape 55250"/>
                        <wps:cNvSpPr/>
                        <wps:spPr>
                          <a:xfrm>
                            <a:off x="315545" y="1609061"/>
                            <a:ext cx="38046" cy="0"/>
                          </a:xfrm>
                          <a:custGeom>
                            <a:avLst/>
                            <a:gdLst/>
                            <a:ahLst/>
                            <a:cxnLst/>
                            <a:rect l="0" t="0" r="0" b="0"/>
                            <a:pathLst>
                              <a:path w="38046">
                                <a:moveTo>
                                  <a:pt x="0" y="0"/>
                                </a:moveTo>
                                <a:lnTo>
                                  <a:pt x="38046"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1" name="Shape 55251"/>
                        <wps:cNvSpPr/>
                        <wps:spPr>
                          <a:xfrm>
                            <a:off x="315545" y="1413110"/>
                            <a:ext cx="38046" cy="0"/>
                          </a:xfrm>
                          <a:custGeom>
                            <a:avLst/>
                            <a:gdLst/>
                            <a:ahLst/>
                            <a:cxnLst/>
                            <a:rect l="0" t="0" r="0" b="0"/>
                            <a:pathLst>
                              <a:path w="38046">
                                <a:moveTo>
                                  <a:pt x="0" y="0"/>
                                </a:moveTo>
                                <a:lnTo>
                                  <a:pt x="38046"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2" name="Shape 55252"/>
                        <wps:cNvSpPr/>
                        <wps:spPr>
                          <a:xfrm>
                            <a:off x="315545" y="1215313"/>
                            <a:ext cx="38046" cy="0"/>
                          </a:xfrm>
                          <a:custGeom>
                            <a:avLst/>
                            <a:gdLst/>
                            <a:ahLst/>
                            <a:cxnLst/>
                            <a:rect l="0" t="0" r="0" b="0"/>
                            <a:pathLst>
                              <a:path w="38046">
                                <a:moveTo>
                                  <a:pt x="0" y="0"/>
                                </a:moveTo>
                                <a:lnTo>
                                  <a:pt x="38046"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3" name="Shape 55253"/>
                        <wps:cNvSpPr/>
                        <wps:spPr>
                          <a:xfrm>
                            <a:off x="315545" y="1019046"/>
                            <a:ext cx="38046" cy="0"/>
                          </a:xfrm>
                          <a:custGeom>
                            <a:avLst/>
                            <a:gdLst/>
                            <a:ahLst/>
                            <a:cxnLst/>
                            <a:rect l="0" t="0" r="0" b="0"/>
                            <a:pathLst>
                              <a:path w="38046">
                                <a:moveTo>
                                  <a:pt x="0" y="0"/>
                                </a:moveTo>
                                <a:lnTo>
                                  <a:pt x="38046"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4" name="Shape 55254"/>
                        <wps:cNvSpPr/>
                        <wps:spPr>
                          <a:xfrm>
                            <a:off x="315545" y="821552"/>
                            <a:ext cx="38046" cy="0"/>
                          </a:xfrm>
                          <a:custGeom>
                            <a:avLst/>
                            <a:gdLst/>
                            <a:ahLst/>
                            <a:cxnLst/>
                            <a:rect l="0" t="0" r="0" b="0"/>
                            <a:pathLst>
                              <a:path w="38046">
                                <a:moveTo>
                                  <a:pt x="0" y="0"/>
                                </a:moveTo>
                                <a:lnTo>
                                  <a:pt x="38046"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5" name="Shape 55255"/>
                        <wps:cNvSpPr/>
                        <wps:spPr>
                          <a:xfrm>
                            <a:off x="355125" y="1413110"/>
                            <a:ext cx="3511282" cy="0"/>
                          </a:xfrm>
                          <a:custGeom>
                            <a:avLst/>
                            <a:gdLst/>
                            <a:ahLst/>
                            <a:cxnLst/>
                            <a:rect l="0" t="0" r="0" b="0"/>
                            <a:pathLst>
                              <a:path w="3511282">
                                <a:moveTo>
                                  <a:pt x="0" y="0"/>
                                </a:moveTo>
                                <a:lnTo>
                                  <a:pt x="3511282"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6" name="Shape 55256"/>
                        <wps:cNvSpPr/>
                        <wps:spPr>
                          <a:xfrm>
                            <a:off x="355125"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7" name="Shape 55257"/>
                        <wps:cNvSpPr/>
                        <wps:spPr>
                          <a:xfrm>
                            <a:off x="745061"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8" name="Shape 55258"/>
                        <wps:cNvSpPr/>
                        <wps:spPr>
                          <a:xfrm>
                            <a:off x="1135009"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59" name="Shape 55259"/>
                        <wps:cNvSpPr/>
                        <wps:spPr>
                          <a:xfrm>
                            <a:off x="1526440"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0" name="Shape 55260"/>
                        <wps:cNvSpPr/>
                        <wps:spPr>
                          <a:xfrm>
                            <a:off x="1916413"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1" name="Shape 55261"/>
                        <wps:cNvSpPr/>
                        <wps:spPr>
                          <a:xfrm>
                            <a:off x="2306386"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2" name="Shape 55262"/>
                        <wps:cNvSpPr/>
                        <wps:spPr>
                          <a:xfrm>
                            <a:off x="2696613"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3" name="Shape 55263"/>
                        <wps:cNvSpPr/>
                        <wps:spPr>
                          <a:xfrm>
                            <a:off x="3088108"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4" name="Shape 55264"/>
                        <wps:cNvSpPr/>
                        <wps:spPr>
                          <a:xfrm>
                            <a:off x="3478081"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5" name="Shape 55265"/>
                        <wps:cNvSpPr/>
                        <wps:spPr>
                          <a:xfrm>
                            <a:off x="3867928" y="1414628"/>
                            <a:ext cx="0" cy="37907"/>
                          </a:xfrm>
                          <a:custGeom>
                            <a:avLst/>
                            <a:gdLst/>
                            <a:ahLst/>
                            <a:cxnLst/>
                            <a:rect l="0" t="0" r="0" b="0"/>
                            <a:pathLst>
                              <a:path h="37907">
                                <a:moveTo>
                                  <a:pt x="0" y="37907"/>
                                </a:moveTo>
                                <a:lnTo>
                                  <a:pt x="0" y="0"/>
                                </a:lnTo>
                              </a:path>
                            </a:pathLst>
                          </a:custGeom>
                          <a:ln w="1771" cap="sq">
                            <a:round/>
                          </a:ln>
                        </wps:spPr>
                        <wps:style>
                          <a:lnRef idx="1">
                            <a:srgbClr val="808080"/>
                          </a:lnRef>
                          <a:fillRef idx="0">
                            <a:srgbClr val="000000">
                              <a:alpha val="0"/>
                            </a:srgbClr>
                          </a:fillRef>
                          <a:effectRef idx="0">
                            <a:scrgbClr r="0" g="0" b="0"/>
                          </a:effectRef>
                          <a:fontRef idx="none"/>
                        </wps:style>
                        <wps:bodyPr/>
                      </wps:wsp>
                      <wps:wsp>
                        <wps:cNvPr id="55266" name="Rectangle 55266"/>
                        <wps:cNvSpPr/>
                        <wps:spPr>
                          <a:xfrm>
                            <a:off x="632012" y="152753"/>
                            <a:ext cx="6228704" cy="30933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6"/>
                                </w:rPr>
                                <w:t xml:space="preserve">Среднегодовые темпы экономического роста, </w:t>
                              </w:r>
                            </w:p>
                          </w:txbxContent>
                        </wps:txbx>
                        <wps:bodyPr horzOverflow="overflow" vert="horz" lIns="0" tIns="0" rIns="0" bIns="0" rtlCol="0">
                          <a:noAutofit/>
                        </wps:bodyPr>
                      </wps:wsp>
                      <wps:wsp>
                        <wps:cNvPr id="107913" name="Rectangle 107913"/>
                        <wps:cNvSpPr/>
                        <wps:spPr>
                          <a:xfrm>
                            <a:off x="2292694" y="398592"/>
                            <a:ext cx="13443"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2</w:t>
                              </w:r>
                            </w:p>
                          </w:txbxContent>
                        </wps:txbx>
                        <wps:bodyPr horzOverflow="overflow" vert="horz" lIns="0" tIns="0" rIns="0" bIns="0" rtlCol="0">
                          <a:noAutofit/>
                        </wps:bodyPr>
                      </wps:wsp>
                      <wps:wsp>
                        <wps:cNvPr id="107914" name="Rectangle 107914"/>
                        <wps:cNvSpPr/>
                        <wps:spPr>
                          <a:xfrm>
                            <a:off x="2408375" y="398592"/>
                            <a:ext cx="13443"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0</w:t>
                              </w:r>
                            </w:p>
                          </w:txbxContent>
                        </wps:txbx>
                        <wps:bodyPr horzOverflow="overflow" vert="horz" lIns="0" tIns="0" rIns="0" bIns="0" rtlCol="0">
                          <a:noAutofit/>
                        </wps:bodyPr>
                      </wps:wsp>
                      <wps:wsp>
                        <wps:cNvPr id="107915" name="Rectangle 107915"/>
                        <wps:cNvSpPr/>
                        <wps:spPr>
                          <a:xfrm>
                            <a:off x="2524056" y="398592"/>
                            <a:ext cx="13443"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0</w:t>
                              </w:r>
                            </w:p>
                          </w:txbxContent>
                        </wps:txbx>
                        <wps:bodyPr horzOverflow="overflow" vert="horz" lIns="0" tIns="0" rIns="0" bIns="0" rtlCol="0">
                          <a:noAutofit/>
                        </wps:bodyPr>
                      </wps:wsp>
                      <wps:wsp>
                        <wps:cNvPr id="107916" name="Rectangle 107916"/>
                        <wps:cNvSpPr/>
                        <wps:spPr>
                          <a:xfrm>
                            <a:off x="2639737" y="398592"/>
                            <a:ext cx="13443"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5</w:t>
                              </w:r>
                            </w:p>
                          </w:txbxContent>
                        </wps:txbx>
                        <wps:bodyPr horzOverflow="overflow" vert="horz" lIns="0" tIns="0" rIns="0" bIns="0" rtlCol="0">
                          <a:noAutofit/>
                        </wps:bodyPr>
                      </wps:wsp>
                      <wps:wsp>
                        <wps:cNvPr id="107917" name="Rectangle 107917"/>
                        <wps:cNvSpPr/>
                        <wps:spPr>
                          <a:xfrm>
                            <a:off x="2755693" y="402113"/>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t>
                              </w:r>
                            </w:p>
                          </w:txbxContent>
                        </wps:txbx>
                        <wps:bodyPr horzOverflow="overflow" vert="horz" lIns="0" tIns="0" rIns="0" bIns="0" rtlCol="0">
                          <a:noAutofit/>
                        </wps:bodyPr>
                      </wps:wsp>
                      <wps:wsp>
                        <wps:cNvPr id="107918" name="Rectangle 107918"/>
                        <wps:cNvSpPr/>
                        <wps:spPr>
                          <a:xfrm>
                            <a:off x="2869803" y="402113"/>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2</w:t>
                              </w:r>
                            </w:p>
                          </w:txbxContent>
                        </wps:txbx>
                        <wps:bodyPr horzOverflow="overflow" vert="horz" lIns="0" tIns="0" rIns="0" bIns="0" rtlCol="0">
                          <a:noAutofit/>
                        </wps:bodyPr>
                      </wps:wsp>
                      <wps:wsp>
                        <wps:cNvPr id="107919" name="Rectangle 107919"/>
                        <wps:cNvSpPr/>
                        <wps:spPr>
                          <a:xfrm>
                            <a:off x="2985449" y="402113"/>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0</w:t>
                              </w:r>
                            </w:p>
                          </w:txbxContent>
                        </wps:txbx>
                        <wps:bodyPr horzOverflow="overflow" vert="horz" lIns="0" tIns="0" rIns="0" bIns="0" rtlCol="0">
                          <a:noAutofit/>
                        </wps:bodyPr>
                      </wps:wsp>
                      <wps:wsp>
                        <wps:cNvPr id="107920" name="Rectangle 107920"/>
                        <wps:cNvSpPr/>
                        <wps:spPr>
                          <a:xfrm>
                            <a:off x="3101095" y="402113"/>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1</w:t>
                              </w:r>
                            </w:p>
                          </w:txbxContent>
                        </wps:txbx>
                        <wps:bodyPr horzOverflow="overflow" vert="horz" lIns="0" tIns="0" rIns="0" bIns="0" rtlCol="0">
                          <a:noAutofit/>
                        </wps:bodyPr>
                      </wps:wsp>
                      <wps:wsp>
                        <wps:cNvPr id="107921" name="Rectangle 107921"/>
                        <wps:cNvSpPr/>
                        <wps:spPr>
                          <a:xfrm>
                            <a:off x="3216741" y="402113"/>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3</w:t>
                              </w:r>
                            </w:p>
                          </w:txbxContent>
                        </wps:txbx>
                        <wps:bodyPr horzOverflow="overflow" vert="horz" lIns="0" tIns="0" rIns="0" bIns="0" rtlCol="0">
                          <a:noAutofit/>
                        </wps:bodyPr>
                      </wps:wsp>
                      <wps:wsp>
                        <wps:cNvPr id="107922" name="Rectangle 107922"/>
                        <wps:cNvSpPr/>
                        <wps:spPr>
                          <a:xfrm>
                            <a:off x="3332387" y="402113"/>
                            <a:ext cx="7373"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 xml:space="preserve"> </w:t>
                              </w:r>
                            </w:p>
                          </w:txbxContent>
                        </wps:txbx>
                        <wps:bodyPr horzOverflow="overflow" vert="horz" lIns="0" tIns="0" rIns="0" bIns="0" rtlCol="0">
                          <a:noAutofit/>
                        </wps:bodyPr>
                      </wps:wsp>
                      <wps:wsp>
                        <wps:cNvPr id="107923" name="Rectangle 107923"/>
                        <wps:cNvSpPr/>
                        <wps:spPr>
                          <a:xfrm>
                            <a:off x="3384899" y="401675"/>
                            <a:ext cx="9416" cy="26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107924" name="Rectangle 107924"/>
                        <wps:cNvSpPr/>
                        <wps:spPr>
                          <a:xfrm>
                            <a:off x="3465637" y="401675"/>
                            <a:ext cx="9416" cy="2695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55270" name="Rectangle 55270"/>
                        <wps:cNvSpPr/>
                        <wps:spPr>
                          <a:xfrm>
                            <a:off x="3546289" y="398592"/>
                            <a:ext cx="7084"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t>
                              </w:r>
                            </w:p>
                          </w:txbxContent>
                        </wps:txbx>
                        <wps:bodyPr horzOverflow="overflow" vert="horz" lIns="0" tIns="0" rIns="0" bIns="0" rtlCol="0">
                          <a:noAutofit/>
                        </wps:bodyPr>
                      </wps:wsp>
                      <wps:wsp>
                        <wps:cNvPr id="55271" name="Rectangle 55271"/>
                        <wps:cNvSpPr/>
                        <wps:spPr>
                          <a:xfrm>
                            <a:off x="152177" y="1547731"/>
                            <a:ext cx="136039"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w:t>
                              </w:r>
                            </w:p>
                          </w:txbxContent>
                        </wps:txbx>
                        <wps:bodyPr horzOverflow="overflow" vert="horz" lIns="0" tIns="0" rIns="0" bIns="0" rtlCol="0">
                          <a:noAutofit/>
                        </wps:bodyPr>
                      </wps:wsp>
                      <wps:wsp>
                        <wps:cNvPr id="55272" name="Rectangle 55272"/>
                        <wps:cNvSpPr/>
                        <wps:spPr>
                          <a:xfrm>
                            <a:off x="190528" y="1351463"/>
                            <a:ext cx="85441" cy="17125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0</w:t>
                              </w:r>
                            </w:p>
                          </w:txbxContent>
                        </wps:txbx>
                        <wps:bodyPr horzOverflow="overflow" vert="horz" lIns="0" tIns="0" rIns="0" bIns="0" rtlCol="0">
                          <a:noAutofit/>
                        </wps:bodyPr>
                      </wps:wsp>
                      <wps:wsp>
                        <wps:cNvPr id="55273" name="Rectangle 55273"/>
                        <wps:cNvSpPr/>
                        <wps:spPr>
                          <a:xfrm>
                            <a:off x="190528" y="1153666"/>
                            <a:ext cx="85441" cy="17125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w:t>
                              </w:r>
                            </w:p>
                          </w:txbxContent>
                        </wps:txbx>
                        <wps:bodyPr horzOverflow="overflow" vert="horz" lIns="0" tIns="0" rIns="0" bIns="0" rtlCol="0">
                          <a:noAutofit/>
                        </wps:bodyPr>
                      </wps:wsp>
                      <wps:wsp>
                        <wps:cNvPr id="55274" name="Rectangle 55274"/>
                        <wps:cNvSpPr/>
                        <wps:spPr>
                          <a:xfrm>
                            <a:off x="190528" y="957703"/>
                            <a:ext cx="85441" cy="17125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4</w:t>
                              </w:r>
                            </w:p>
                          </w:txbxContent>
                        </wps:txbx>
                        <wps:bodyPr horzOverflow="overflow" vert="horz" lIns="0" tIns="0" rIns="0" bIns="0" rtlCol="0">
                          <a:noAutofit/>
                        </wps:bodyPr>
                      </wps:wsp>
                      <wps:wsp>
                        <wps:cNvPr id="55275" name="Rectangle 55275"/>
                        <wps:cNvSpPr/>
                        <wps:spPr>
                          <a:xfrm>
                            <a:off x="190528" y="759918"/>
                            <a:ext cx="85441" cy="17125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6</w:t>
                              </w:r>
                            </w:p>
                          </w:txbxContent>
                        </wps:txbx>
                        <wps:bodyPr horzOverflow="overflow" vert="horz" lIns="0" tIns="0" rIns="0" bIns="0" rtlCol="0">
                          <a:noAutofit/>
                        </wps:bodyPr>
                      </wps:wsp>
                      <wps:wsp>
                        <wps:cNvPr id="55276" name="Rectangle 55276"/>
                        <wps:cNvSpPr/>
                        <wps:spPr>
                          <a:xfrm>
                            <a:off x="417247" y="1546200"/>
                            <a:ext cx="341284"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2005</w:t>
                              </w:r>
                            </w:p>
                          </w:txbxContent>
                        </wps:txbx>
                        <wps:bodyPr horzOverflow="overflow" vert="horz" lIns="0" tIns="0" rIns="0" bIns="0" rtlCol="0">
                          <a:noAutofit/>
                        </wps:bodyPr>
                      </wps:wsp>
                      <wps:wsp>
                        <wps:cNvPr id="55277" name="Rectangle 55277"/>
                        <wps:cNvSpPr/>
                        <wps:spPr>
                          <a:xfrm>
                            <a:off x="807195"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2006</w:t>
                              </w:r>
                            </w:p>
                          </w:txbxContent>
                        </wps:txbx>
                        <wps:bodyPr horzOverflow="overflow" vert="horz" lIns="0" tIns="0" rIns="0" bIns="0" rtlCol="0">
                          <a:noAutofit/>
                        </wps:bodyPr>
                      </wps:wsp>
                      <wps:wsp>
                        <wps:cNvPr id="55278" name="Rectangle 55278"/>
                        <wps:cNvSpPr/>
                        <wps:spPr>
                          <a:xfrm>
                            <a:off x="1198969"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2007</w:t>
                              </w:r>
                            </w:p>
                          </w:txbxContent>
                        </wps:txbx>
                        <wps:bodyPr horzOverflow="overflow" vert="horz" lIns="0" tIns="0" rIns="0" bIns="0" rtlCol="0">
                          <a:noAutofit/>
                        </wps:bodyPr>
                      </wps:wsp>
                      <wps:wsp>
                        <wps:cNvPr id="55279" name="Rectangle 55279"/>
                        <wps:cNvSpPr/>
                        <wps:spPr>
                          <a:xfrm>
                            <a:off x="1588942"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2008</w:t>
                              </w:r>
                            </w:p>
                          </w:txbxContent>
                        </wps:txbx>
                        <wps:bodyPr horzOverflow="overflow" vert="horz" lIns="0" tIns="0" rIns="0" bIns="0" rtlCol="0">
                          <a:noAutofit/>
                        </wps:bodyPr>
                      </wps:wsp>
                      <wps:wsp>
                        <wps:cNvPr id="55280" name="Rectangle 55280"/>
                        <wps:cNvSpPr/>
                        <wps:spPr>
                          <a:xfrm>
                            <a:off x="1978915"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2009</w:t>
                              </w:r>
                            </w:p>
                          </w:txbxContent>
                        </wps:txbx>
                        <wps:bodyPr horzOverflow="overflow" vert="horz" lIns="0" tIns="0" rIns="0" bIns="0" rtlCol="0">
                          <a:noAutofit/>
                        </wps:bodyPr>
                      </wps:wsp>
                      <wps:wsp>
                        <wps:cNvPr id="55281" name="Rectangle 55281"/>
                        <wps:cNvSpPr/>
                        <wps:spPr>
                          <a:xfrm>
                            <a:off x="2368762"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2010</w:t>
                              </w:r>
                            </w:p>
                          </w:txbxContent>
                        </wps:txbx>
                        <wps:bodyPr horzOverflow="overflow" vert="horz" lIns="0" tIns="0" rIns="0" bIns="0" rtlCol="0">
                          <a:noAutofit/>
                        </wps:bodyPr>
                      </wps:wsp>
                      <wps:wsp>
                        <wps:cNvPr id="55282" name="Rectangle 55282"/>
                        <wps:cNvSpPr/>
                        <wps:spPr>
                          <a:xfrm>
                            <a:off x="2758736"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2011</w:t>
                              </w:r>
                            </w:p>
                          </w:txbxContent>
                        </wps:txbx>
                        <wps:bodyPr horzOverflow="overflow" vert="horz" lIns="0" tIns="0" rIns="0" bIns="0" rtlCol="0">
                          <a:noAutofit/>
                        </wps:bodyPr>
                      </wps:wsp>
                      <wps:wsp>
                        <wps:cNvPr id="55283" name="Rectangle 55283"/>
                        <wps:cNvSpPr/>
                        <wps:spPr>
                          <a:xfrm>
                            <a:off x="3150230"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2012</w:t>
                              </w:r>
                            </w:p>
                          </w:txbxContent>
                        </wps:txbx>
                        <wps:bodyPr horzOverflow="overflow" vert="horz" lIns="0" tIns="0" rIns="0" bIns="0" rtlCol="0">
                          <a:noAutofit/>
                        </wps:bodyPr>
                      </wps:wsp>
                      <wps:wsp>
                        <wps:cNvPr id="55284" name="Rectangle 55284"/>
                        <wps:cNvSpPr/>
                        <wps:spPr>
                          <a:xfrm>
                            <a:off x="3540203" y="1546200"/>
                            <a:ext cx="341285" cy="17125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2013</w:t>
                              </w:r>
                            </w:p>
                          </w:txbxContent>
                        </wps:txbx>
                        <wps:bodyPr horzOverflow="overflow" vert="horz" lIns="0" tIns="0" rIns="0" bIns="0" rtlCol="0">
                          <a:noAutofit/>
                        </wps:bodyPr>
                      </wps:wsp>
                      <wps:wsp>
                        <wps:cNvPr id="705176" name="Shape 705176"/>
                        <wps:cNvSpPr/>
                        <wps:spPr>
                          <a:xfrm>
                            <a:off x="4251689" y="1025007"/>
                            <a:ext cx="71484" cy="71536"/>
                          </a:xfrm>
                          <a:custGeom>
                            <a:avLst/>
                            <a:gdLst/>
                            <a:ahLst/>
                            <a:cxnLst/>
                            <a:rect l="0" t="0" r="0" b="0"/>
                            <a:pathLst>
                              <a:path w="71484" h="71536">
                                <a:moveTo>
                                  <a:pt x="0" y="0"/>
                                </a:moveTo>
                                <a:lnTo>
                                  <a:pt x="71484" y="0"/>
                                </a:lnTo>
                                <a:lnTo>
                                  <a:pt x="71484" y="71536"/>
                                </a:lnTo>
                                <a:lnTo>
                                  <a:pt x="0" y="7153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286" name="Rectangle 55286"/>
                        <wps:cNvSpPr/>
                        <wps:spPr>
                          <a:xfrm>
                            <a:off x="4361480" y="1009372"/>
                            <a:ext cx="1631294" cy="17125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Среднегодовые темпы</w:t>
                              </w:r>
                            </w:p>
                          </w:txbxContent>
                        </wps:txbx>
                        <wps:bodyPr horzOverflow="overflow" vert="horz" lIns="0" tIns="0" rIns="0" bIns="0" rtlCol="0">
                          <a:noAutofit/>
                        </wps:bodyPr>
                      </wps:wsp>
                      <wps:wsp>
                        <wps:cNvPr id="107925" name="Rectangle 107925"/>
                        <wps:cNvSpPr/>
                        <wps:spPr>
                          <a:xfrm>
                            <a:off x="4361480" y="1137869"/>
                            <a:ext cx="11591"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э</w:t>
                              </w:r>
                            </w:p>
                          </w:txbxContent>
                        </wps:txbx>
                        <wps:bodyPr horzOverflow="overflow" vert="horz" lIns="0" tIns="0" rIns="0" bIns="0" rtlCol="0">
                          <a:noAutofit/>
                        </wps:bodyPr>
                      </wps:wsp>
                      <wps:wsp>
                        <wps:cNvPr id="107926" name="Rectangle 107926"/>
                        <wps:cNvSpPr/>
                        <wps:spPr>
                          <a:xfrm>
                            <a:off x="4417917" y="1137869"/>
                            <a:ext cx="13129"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к</w:t>
                              </w:r>
                            </w:p>
                          </w:txbxContent>
                        </wps:txbx>
                        <wps:bodyPr horzOverflow="overflow" vert="horz" lIns="0" tIns="0" rIns="0" bIns="0" rtlCol="0">
                          <a:noAutofit/>
                        </wps:bodyPr>
                      </wps:wsp>
                      <wps:wsp>
                        <wps:cNvPr id="107927" name="Rectangle 107927"/>
                        <wps:cNvSpPr/>
                        <wps:spPr>
                          <a:xfrm>
                            <a:off x="4477425" y="1137869"/>
                            <a:ext cx="14269"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107928" name="Rectangle 107928"/>
                        <wps:cNvSpPr/>
                        <wps:spPr>
                          <a:xfrm>
                            <a:off x="4544292" y="1137869"/>
                            <a:ext cx="14455"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н</w:t>
                              </w:r>
                            </w:p>
                          </w:txbxContent>
                        </wps:txbx>
                        <wps:bodyPr horzOverflow="overflow" vert="horz" lIns="0" tIns="0" rIns="0" bIns="0" rtlCol="0">
                          <a:noAutofit/>
                        </wps:bodyPr>
                      </wps:wsp>
                      <wps:wsp>
                        <wps:cNvPr id="107929" name="Rectangle 107929"/>
                        <wps:cNvSpPr/>
                        <wps:spPr>
                          <a:xfrm>
                            <a:off x="4611159" y="1137869"/>
                            <a:ext cx="14269"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107930" name="Rectangle 107930"/>
                        <wps:cNvSpPr/>
                        <wps:spPr>
                          <a:xfrm>
                            <a:off x="4678026" y="1137869"/>
                            <a:ext cx="18911"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м</w:t>
                              </w:r>
                            </w:p>
                          </w:txbxContent>
                        </wps:txbx>
                        <wps:bodyPr horzOverflow="overflow" vert="horz" lIns="0" tIns="0" rIns="0" bIns="0" rtlCol="0">
                          <a:noAutofit/>
                        </wps:bodyPr>
                      </wps:wsp>
                      <wps:wsp>
                        <wps:cNvPr id="107931" name="Rectangle 107931"/>
                        <wps:cNvSpPr/>
                        <wps:spPr>
                          <a:xfrm>
                            <a:off x="4763299" y="1137869"/>
                            <a:ext cx="14773"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и</w:t>
                              </w:r>
                            </w:p>
                          </w:txbxContent>
                        </wps:txbx>
                        <wps:bodyPr horzOverflow="overflow" vert="horz" lIns="0" tIns="0" rIns="0" bIns="0" rtlCol="0">
                          <a:noAutofit/>
                        </wps:bodyPr>
                      </wps:wsp>
                      <wps:wsp>
                        <wps:cNvPr id="107932" name="Rectangle 107932"/>
                        <wps:cNvSpPr/>
                        <wps:spPr>
                          <a:xfrm>
                            <a:off x="4831702" y="1137869"/>
                            <a:ext cx="12944"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ч</w:t>
                              </w:r>
                            </w:p>
                          </w:txbxContent>
                        </wps:txbx>
                        <wps:bodyPr horzOverflow="overflow" vert="horz" lIns="0" tIns="0" rIns="0" bIns="0" rtlCol="0">
                          <a:noAutofit/>
                        </wps:bodyPr>
                      </wps:wsp>
                      <wps:wsp>
                        <wps:cNvPr id="107933" name="Rectangle 107933"/>
                        <wps:cNvSpPr/>
                        <wps:spPr>
                          <a:xfrm>
                            <a:off x="4891210" y="1137869"/>
                            <a:ext cx="13341"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е</w:t>
                              </w:r>
                            </w:p>
                          </w:txbxContent>
                        </wps:txbx>
                        <wps:bodyPr horzOverflow="overflow" vert="horz" lIns="0" tIns="0" rIns="0" bIns="0" rtlCol="0">
                          <a:noAutofit/>
                        </wps:bodyPr>
                      </wps:wsp>
                      <wps:wsp>
                        <wps:cNvPr id="107934" name="Rectangle 107934"/>
                        <wps:cNvSpPr/>
                        <wps:spPr>
                          <a:xfrm>
                            <a:off x="4953769" y="1137869"/>
                            <a:ext cx="11087"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с</w:t>
                              </w:r>
                            </w:p>
                          </w:txbxContent>
                        </wps:txbx>
                        <wps:bodyPr horzOverflow="overflow" vert="horz" lIns="0" tIns="0" rIns="0" bIns="0" rtlCol="0">
                          <a:noAutofit/>
                        </wps:bodyPr>
                      </wps:wsp>
                      <wps:wsp>
                        <wps:cNvPr id="107935" name="Rectangle 107935"/>
                        <wps:cNvSpPr/>
                        <wps:spPr>
                          <a:xfrm>
                            <a:off x="5007135" y="1137869"/>
                            <a:ext cx="13129"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к</w:t>
                              </w:r>
                            </w:p>
                          </w:txbxContent>
                        </wps:txbx>
                        <wps:bodyPr horzOverflow="overflow" vert="horz" lIns="0" tIns="0" rIns="0" bIns="0" rtlCol="0">
                          <a:noAutofit/>
                        </wps:bodyPr>
                      </wps:wsp>
                      <wps:wsp>
                        <wps:cNvPr id="107936" name="Rectangle 107936"/>
                        <wps:cNvSpPr/>
                        <wps:spPr>
                          <a:xfrm>
                            <a:off x="5066643" y="1137869"/>
                            <a:ext cx="14269"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107937" name="Rectangle 107937"/>
                        <wps:cNvSpPr/>
                        <wps:spPr>
                          <a:xfrm>
                            <a:off x="5133510" y="1137869"/>
                            <a:ext cx="9416"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107938" name="Rectangle 107938"/>
                        <wps:cNvSpPr/>
                        <wps:spPr>
                          <a:xfrm>
                            <a:off x="5177663" y="1137869"/>
                            <a:ext cx="14270"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55288" name="Rectangle 55288"/>
                        <wps:cNvSpPr/>
                        <wps:spPr>
                          <a:xfrm>
                            <a:off x="5245005" y="1134785"/>
                            <a:ext cx="5996"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 xml:space="preserve"> </w:t>
                              </w:r>
                            </w:p>
                          </w:txbxContent>
                        </wps:txbx>
                        <wps:bodyPr horzOverflow="overflow" vert="horz" lIns="0" tIns="0" rIns="0" bIns="0" rtlCol="0">
                          <a:noAutofit/>
                        </wps:bodyPr>
                      </wps:wsp>
                      <wps:wsp>
                        <wps:cNvPr id="107943" name="Rectangle 107943"/>
                        <wps:cNvSpPr/>
                        <wps:spPr>
                          <a:xfrm>
                            <a:off x="5509770" y="1137869"/>
                            <a:ext cx="13103"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а</w:t>
                              </w:r>
                            </w:p>
                          </w:txbxContent>
                        </wps:txbx>
                        <wps:bodyPr horzOverflow="overflow" vert="horz" lIns="0" tIns="0" rIns="0" bIns="0" rtlCol="0">
                          <a:noAutofit/>
                        </wps:bodyPr>
                      </wps:wsp>
                      <wps:wsp>
                        <wps:cNvPr id="107939" name="Rectangle 107939"/>
                        <wps:cNvSpPr/>
                        <wps:spPr>
                          <a:xfrm>
                            <a:off x="5273911" y="1137869"/>
                            <a:ext cx="14243"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р</w:t>
                              </w:r>
                            </w:p>
                          </w:txbxContent>
                        </wps:txbx>
                        <wps:bodyPr horzOverflow="overflow" vert="horz" lIns="0" tIns="0" rIns="0" bIns="0" rtlCol="0">
                          <a:noAutofit/>
                        </wps:bodyPr>
                      </wps:wsp>
                      <wps:wsp>
                        <wps:cNvPr id="107940" name="Rectangle 107940"/>
                        <wps:cNvSpPr/>
                        <wps:spPr>
                          <a:xfrm>
                            <a:off x="5340778" y="1137869"/>
                            <a:ext cx="14270"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о</w:t>
                              </w:r>
                            </w:p>
                          </w:txbxContent>
                        </wps:txbx>
                        <wps:bodyPr horzOverflow="overflow" vert="horz" lIns="0" tIns="0" rIns="0" bIns="0" rtlCol="0">
                          <a:noAutofit/>
                        </wps:bodyPr>
                      </wps:wsp>
                      <wps:wsp>
                        <wps:cNvPr id="107941" name="Rectangle 107941"/>
                        <wps:cNvSpPr/>
                        <wps:spPr>
                          <a:xfrm>
                            <a:off x="5407645" y="1137869"/>
                            <a:ext cx="11087"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с</w:t>
                              </w:r>
                            </w:p>
                          </w:txbxContent>
                        </wps:txbx>
                        <wps:bodyPr horzOverflow="overflow" vert="horz" lIns="0" tIns="0" rIns="0" bIns="0" rtlCol="0">
                          <a:noAutofit/>
                        </wps:bodyPr>
                      </wps:wsp>
                      <wps:wsp>
                        <wps:cNvPr id="107942" name="Rectangle 107942"/>
                        <wps:cNvSpPr/>
                        <wps:spPr>
                          <a:xfrm>
                            <a:off x="5461011" y="1137869"/>
                            <a:ext cx="10345"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т</w:t>
                              </w:r>
                            </w:p>
                          </w:txbxContent>
                        </wps:txbx>
                        <wps:bodyPr horzOverflow="overflow" vert="horz" lIns="0" tIns="0" rIns="0" bIns="0" rtlCol="0">
                          <a:noAutofit/>
                        </wps:bodyPr>
                      </wps:wsp>
                      <wps:wsp>
                        <wps:cNvPr id="55290" name="Rectangle 55290"/>
                        <wps:cNvSpPr/>
                        <wps:spPr>
                          <a:xfrm>
                            <a:off x="5570829" y="1134785"/>
                            <a:ext cx="6838"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t>
                              </w:r>
                            </w:p>
                          </w:txbxContent>
                        </wps:txbx>
                        <wps:bodyPr horzOverflow="overflow" vert="horz" lIns="0" tIns="0" rIns="0" bIns="0" rtlCol="0">
                          <a:noAutofit/>
                        </wps:bodyPr>
                      </wps:wsp>
                      <wps:wsp>
                        <wps:cNvPr id="107953" name="Rectangle 107953"/>
                        <wps:cNvSpPr/>
                        <wps:spPr>
                          <a:xfrm>
                            <a:off x="4936798" y="1287192"/>
                            <a:ext cx="7374"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 xml:space="preserve"> </w:t>
                              </w:r>
                            </w:p>
                          </w:txbxContent>
                        </wps:txbx>
                        <wps:bodyPr horzOverflow="overflow" vert="horz" lIns="0" tIns="0" rIns="0" bIns="0" rtlCol="0">
                          <a:noAutofit/>
                        </wps:bodyPr>
                      </wps:wsp>
                      <wps:wsp>
                        <wps:cNvPr id="107944" name="Rectangle 107944"/>
                        <wps:cNvSpPr/>
                        <wps:spPr>
                          <a:xfrm>
                            <a:off x="4361480"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1</w:t>
                              </w:r>
                            </w:p>
                          </w:txbxContent>
                        </wps:txbx>
                        <wps:bodyPr horzOverflow="overflow" vert="horz" lIns="0" tIns="0" rIns="0" bIns="0" rtlCol="0">
                          <a:noAutofit/>
                        </wps:bodyPr>
                      </wps:wsp>
                      <wps:wsp>
                        <wps:cNvPr id="107945" name="Rectangle 107945"/>
                        <wps:cNvSpPr/>
                        <wps:spPr>
                          <a:xfrm>
                            <a:off x="4425575"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9</w:t>
                              </w:r>
                            </w:p>
                          </w:txbxContent>
                        </wps:txbx>
                        <wps:bodyPr horzOverflow="overflow" vert="horz" lIns="0" tIns="0" rIns="0" bIns="0" rtlCol="0">
                          <a:noAutofit/>
                        </wps:bodyPr>
                      </wps:wsp>
                      <wps:wsp>
                        <wps:cNvPr id="107946" name="Rectangle 107946"/>
                        <wps:cNvSpPr/>
                        <wps:spPr>
                          <a:xfrm>
                            <a:off x="4489670"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9</w:t>
                              </w:r>
                            </w:p>
                          </w:txbxContent>
                        </wps:txbx>
                        <wps:bodyPr horzOverflow="overflow" vert="horz" lIns="0" tIns="0" rIns="0" bIns="0" rtlCol="0">
                          <a:noAutofit/>
                        </wps:bodyPr>
                      </wps:wsp>
                      <wps:wsp>
                        <wps:cNvPr id="107947" name="Rectangle 107947"/>
                        <wps:cNvSpPr/>
                        <wps:spPr>
                          <a:xfrm>
                            <a:off x="4553765"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5</w:t>
                              </w:r>
                            </w:p>
                          </w:txbxContent>
                        </wps:txbx>
                        <wps:bodyPr horzOverflow="overflow" vert="horz" lIns="0" tIns="0" rIns="0" bIns="0" rtlCol="0">
                          <a:noAutofit/>
                        </wps:bodyPr>
                      </wps:wsp>
                      <wps:wsp>
                        <wps:cNvPr id="107948" name="Rectangle 107948"/>
                        <wps:cNvSpPr/>
                        <wps:spPr>
                          <a:xfrm>
                            <a:off x="4617859"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t>
                              </w:r>
                            </w:p>
                          </w:txbxContent>
                        </wps:txbx>
                        <wps:bodyPr horzOverflow="overflow" vert="horz" lIns="0" tIns="0" rIns="0" bIns="0" rtlCol="0">
                          <a:noAutofit/>
                        </wps:bodyPr>
                      </wps:wsp>
                      <wps:wsp>
                        <wps:cNvPr id="107949" name="Rectangle 107949"/>
                        <wps:cNvSpPr/>
                        <wps:spPr>
                          <a:xfrm>
                            <a:off x="4680419"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2</w:t>
                              </w:r>
                            </w:p>
                          </w:txbxContent>
                        </wps:txbx>
                        <wps:bodyPr horzOverflow="overflow" vert="horz" lIns="0" tIns="0" rIns="0" bIns="0" rtlCol="0">
                          <a:noAutofit/>
                        </wps:bodyPr>
                      </wps:wsp>
                      <wps:wsp>
                        <wps:cNvPr id="107950" name="Rectangle 107950"/>
                        <wps:cNvSpPr/>
                        <wps:spPr>
                          <a:xfrm>
                            <a:off x="4744514"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0</w:t>
                              </w:r>
                            </w:p>
                          </w:txbxContent>
                        </wps:txbx>
                        <wps:bodyPr horzOverflow="overflow" vert="horz" lIns="0" tIns="0" rIns="0" bIns="0" rtlCol="0">
                          <a:noAutofit/>
                        </wps:bodyPr>
                      </wps:wsp>
                      <wps:wsp>
                        <wps:cNvPr id="107951" name="Rectangle 107951"/>
                        <wps:cNvSpPr/>
                        <wps:spPr>
                          <a:xfrm>
                            <a:off x="4808609"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1</w:t>
                              </w:r>
                            </w:p>
                          </w:txbxContent>
                        </wps:txbx>
                        <wps:bodyPr horzOverflow="overflow" vert="horz" lIns="0" tIns="0" rIns="0" bIns="0" rtlCol="0">
                          <a:noAutofit/>
                        </wps:bodyPr>
                      </wps:wsp>
                      <wps:wsp>
                        <wps:cNvPr id="107952" name="Rectangle 107952"/>
                        <wps:cNvSpPr/>
                        <wps:spPr>
                          <a:xfrm>
                            <a:off x="4872703" y="1287192"/>
                            <a:ext cx="14747" cy="24873"/>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3</w:t>
                              </w:r>
                            </w:p>
                          </w:txbxContent>
                        </wps:txbx>
                        <wps:bodyPr horzOverflow="overflow" vert="horz" lIns="0" tIns="0" rIns="0" bIns="0" rtlCol="0">
                          <a:noAutofit/>
                        </wps:bodyPr>
                      </wps:wsp>
                      <wps:wsp>
                        <wps:cNvPr id="107955" name="Rectangle 107955"/>
                        <wps:cNvSpPr/>
                        <wps:spPr>
                          <a:xfrm>
                            <a:off x="5008922" y="1286755"/>
                            <a:ext cx="9416"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107954" name="Rectangle 107954"/>
                        <wps:cNvSpPr/>
                        <wps:spPr>
                          <a:xfrm>
                            <a:off x="4964696" y="1286755"/>
                            <a:ext cx="9416" cy="26952"/>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г</w:t>
                              </w:r>
                            </w:p>
                          </w:txbxContent>
                        </wps:txbx>
                        <wps:bodyPr horzOverflow="overflow" vert="horz" lIns="0" tIns="0" rIns="0" bIns="0" rtlCol="0">
                          <a:noAutofit/>
                        </wps:bodyPr>
                      </wps:wsp>
                      <wps:wsp>
                        <wps:cNvPr id="55293" name="Rectangle 55293"/>
                        <wps:cNvSpPr/>
                        <wps:spPr>
                          <a:xfrm>
                            <a:off x="5052935" y="1283671"/>
                            <a:ext cx="7084" cy="29505"/>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3"/>
                                </w:rPr>
                                <w:t>.</w:t>
                              </w:r>
                            </w:p>
                          </w:txbxContent>
                        </wps:txbx>
                        <wps:bodyPr horzOverflow="overflow" vert="horz" lIns="0" tIns="0" rIns="0" bIns="0" rtlCol="0">
                          <a:noAutofit/>
                        </wps:bodyPr>
                      </wps:wsp>
                      <wps:wsp>
                        <wps:cNvPr id="55294" name="Shape 55294"/>
                        <wps:cNvSpPr/>
                        <wps:spPr>
                          <a:xfrm>
                            <a:off x="0" y="0"/>
                            <a:ext cx="5889281" cy="1764214"/>
                          </a:xfrm>
                          <a:custGeom>
                            <a:avLst/>
                            <a:gdLst/>
                            <a:ahLst/>
                            <a:cxnLst/>
                            <a:rect l="0" t="0" r="0" b="0"/>
                            <a:pathLst>
                              <a:path w="5889281" h="1764214">
                                <a:moveTo>
                                  <a:pt x="0" y="1764214"/>
                                </a:moveTo>
                                <a:lnTo>
                                  <a:pt x="5889281" y="1764214"/>
                                </a:lnTo>
                                <a:lnTo>
                                  <a:pt x="5889281" y="0"/>
                                </a:lnTo>
                                <a:lnTo>
                                  <a:pt x="0" y="0"/>
                                </a:lnTo>
                                <a:close/>
                              </a:path>
                            </a:pathLst>
                          </a:custGeom>
                          <a:ln w="1771" cap="flat">
                            <a:round/>
                          </a:ln>
                        </wps:spPr>
                        <wps:style>
                          <a:lnRef idx="1">
                            <a:srgbClr val="80808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32401" style="width:463.723pt;height:138.914pt;mso-position-horizontal-relative:char;mso-position-vertical-relative:line" coordsize="58892,17642">
                <v:shape id="Shape 55235" style="position:absolute;width:58892;height:17642;left:0;top:0;" coordsize="5889281,1764214" path="m0,0l5889281,0l5889281,1764214l0,1764214l0,0x">
                  <v:stroke weight="0.139432pt" endcap="flat" joinstyle="round" on="true" color="#808080"/>
                  <v:fill on="false" color="#ffffff"/>
                </v:shape>
                <v:shape id="Shape 705177" style="position:absolute;width:35128;height:7875;left:3503;top:8168;" coordsize="3512802,787509" path="m0,0l3512802,0l3512802,787509l0,787509l0,0">
                  <v:stroke weight="0pt" endcap="flat" joinstyle="miter" miterlimit="10" on="false" color="#000000" opacity="0"/>
                  <v:fill on="true" color="#ffffff"/>
                </v:shape>
                <v:shape id="Shape 55237" style="position:absolute;width:35081;height:0;left:3551;top:16090;" coordsize="3508112,0" path="m3508112,0l0,0">
                  <v:stroke weight="0.139432pt" endcap="square" joinstyle="round" on="true" color="#808080"/>
                  <v:fill on="false" color="#000000" opacity="0"/>
                </v:shape>
                <v:shape id="Shape 55238" style="position:absolute;width:35081;height:0;left:3551;top:12153;" coordsize="3508112,0" path="m3508112,0l0,0">
                  <v:stroke weight="0.139432pt" endcap="square" joinstyle="round" on="true" color="#808080"/>
                  <v:fill on="false" color="#000000" opacity="0"/>
                </v:shape>
                <v:shape id="Shape 55239" style="position:absolute;width:35081;height:0;left:3551;top:10190;" coordsize="3508112,0" path="m3508112,0l0,0">
                  <v:stroke weight="0.139432pt" endcap="square" joinstyle="round" on="true" color="#808080"/>
                  <v:fill on="false" color="#000000" opacity="0"/>
                </v:shape>
                <v:shape id="Shape 55240" style="position:absolute;width:35081;height:0;left:3551;top:8215;" coordsize="3508112,0" path="m3508112,0l0,0">
                  <v:stroke weight="0.139432pt" endcap="square" joinstyle="round" on="true" color="#808080"/>
                  <v:fill on="false" color="#000000" opacity="0"/>
                </v:shape>
                <v:shape id="Shape 705178" style="position:absolute;width:1555;height:5126;left:8575;top:8956;" coordsize="155546,512682" path="m0,0l155546,0l155546,512682l0,512682l0,0">
                  <v:stroke weight="0pt" endcap="flat" joinstyle="miter" miterlimit="10" on="false" color="#000000" opacity="0"/>
                  <v:fill on="true" color="#000000"/>
                </v:shape>
                <v:shape id="Shape 705179" style="position:absolute;width:1570;height:5233;left:12473;top:8849;" coordsize="157080,523383" path="m0,0l157080,0l157080,523383l0,523383l0,0">
                  <v:stroke weight="0pt" endcap="flat" joinstyle="miter" miterlimit="10" on="false" color="#000000" opacity="0"/>
                  <v:fill on="true" color="#000000"/>
                </v:shape>
                <v:shape id="Shape 705180" style="position:absolute;width:1552;height:2769;left:16392;top:11313;" coordsize="155241,276977" path="m0,0l155241,0l155241,276977l0,276977l0,0">
                  <v:stroke weight="0pt" endcap="flat" joinstyle="miter" miterlimit="10" on="false" color="#000000" opacity="0"/>
                  <v:fill on="true" color="#000000"/>
                </v:shape>
                <v:shape id="Shape 705181" style="position:absolute;width:1552;height:287;left:20291;top:14083;" coordsize="155241,28736" path="m0,0l155241,0l155241,28736l0,28736l0,0">
                  <v:stroke weight="0pt" endcap="flat" joinstyle="miter" miterlimit="10" on="false" color="#000000" opacity="0"/>
                  <v:fill on="true" color="#000000"/>
                </v:shape>
                <v:shape id="Shape 705182" style="position:absolute;width:1552;height:5035;left:24190;top:9048;" coordsize="155241,503512" path="m0,0l155241,0l155241,503512l0,503512l0,0">
                  <v:stroke weight="0pt" endcap="flat" joinstyle="miter" miterlimit="10" on="false" color="#000000" opacity="0"/>
                  <v:fill on="true" color="#000000"/>
                </v:shape>
                <v:shape id="Shape 705183" style="position:absolute;width:1567;height:3940;left:28090;top:10143;" coordsize="156775,394064" path="m0,0l156775,0l156775,394064l0,394064l0,0">
                  <v:stroke weight="0pt" endcap="flat" joinstyle="miter" miterlimit="10" on="false" color="#000000" opacity="0"/>
                  <v:fill on="true" color="#000000"/>
                </v:shape>
                <v:shape id="Shape 705184" style="position:absolute;width:1555;height:2965;left:32005;top:11118;" coordsize="155546,296544" path="m0,0l155546,0l155546,296544l0,296544l0,0">
                  <v:stroke weight="0pt" endcap="flat" joinstyle="miter" miterlimit="10" on="false" color="#000000" opacity="0"/>
                  <v:fill on="true" color="#000000"/>
                </v:shape>
                <v:shape id="Shape 705185" style="position:absolute;width:1555;height:2861;left:35905;top:11222;" coordsize="155546,286147" path="m0,0l155546,0l155546,286147l0,286147l0,0">
                  <v:stroke weight="0pt" endcap="flat" joinstyle="miter" miterlimit="10" on="false" color="#000000" opacity="0"/>
                  <v:fill on="true" color="#000000"/>
                </v:shape>
                <v:shape id="Shape 55249" style="position:absolute;width:0;height:7859;left:3551;top:8215;" coordsize="0,785991" path="m0,0l0,785991">
                  <v:stroke weight="0.139432pt" endcap="square" joinstyle="round" on="true" color="#808080"/>
                  <v:fill on="false" color="#000000" opacity="0"/>
                </v:shape>
                <v:shape id="Shape 55250" style="position:absolute;width:380;height:0;left:3155;top:16090;" coordsize="38046,0" path="m0,0l38046,0">
                  <v:stroke weight="0.139432pt" endcap="square" joinstyle="round" on="true" color="#808080"/>
                  <v:fill on="false" color="#000000" opacity="0"/>
                </v:shape>
                <v:shape id="Shape 55251" style="position:absolute;width:380;height:0;left:3155;top:14131;" coordsize="38046,0" path="m0,0l38046,0">
                  <v:stroke weight="0.139432pt" endcap="square" joinstyle="round" on="true" color="#808080"/>
                  <v:fill on="false" color="#000000" opacity="0"/>
                </v:shape>
                <v:shape id="Shape 55252" style="position:absolute;width:380;height:0;left:3155;top:12153;" coordsize="38046,0" path="m0,0l38046,0">
                  <v:stroke weight="0.139432pt" endcap="square" joinstyle="round" on="true" color="#808080"/>
                  <v:fill on="false" color="#000000" opacity="0"/>
                </v:shape>
                <v:shape id="Shape 55253" style="position:absolute;width:380;height:0;left:3155;top:10190;" coordsize="38046,0" path="m0,0l38046,0">
                  <v:stroke weight="0.139432pt" endcap="square" joinstyle="round" on="true" color="#808080"/>
                  <v:fill on="false" color="#000000" opacity="0"/>
                </v:shape>
                <v:shape id="Shape 55254" style="position:absolute;width:380;height:0;left:3155;top:8215;" coordsize="38046,0" path="m0,0l38046,0">
                  <v:stroke weight="0.139432pt" endcap="square" joinstyle="round" on="true" color="#808080"/>
                  <v:fill on="false" color="#000000" opacity="0"/>
                </v:shape>
                <v:shape id="Shape 55255" style="position:absolute;width:35112;height:0;left:3551;top:14131;" coordsize="3511282,0" path="m0,0l3511282,0">
                  <v:stroke weight="0.139432pt" endcap="square" joinstyle="round" on="true" color="#808080"/>
                  <v:fill on="false" color="#000000" opacity="0"/>
                </v:shape>
                <v:shape id="Shape 55256" style="position:absolute;width:0;height:379;left:3551;top:14146;" coordsize="0,37907" path="m0,37907l0,0">
                  <v:stroke weight="0.139432pt" endcap="square" joinstyle="round" on="true" color="#808080"/>
                  <v:fill on="false" color="#000000" opacity="0"/>
                </v:shape>
                <v:shape id="Shape 55257" style="position:absolute;width:0;height:379;left:7450;top:14146;" coordsize="0,37907" path="m0,37907l0,0">
                  <v:stroke weight="0.139432pt" endcap="square" joinstyle="round" on="true" color="#808080"/>
                  <v:fill on="false" color="#000000" opacity="0"/>
                </v:shape>
                <v:shape id="Shape 55258" style="position:absolute;width:0;height:379;left:11350;top:14146;" coordsize="0,37907" path="m0,37907l0,0">
                  <v:stroke weight="0.139432pt" endcap="square" joinstyle="round" on="true" color="#808080"/>
                  <v:fill on="false" color="#000000" opacity="0"/>
                </v:shape>
                <v:shape id="Shape 55259" style="position:absolute;width:0;height:379;left:15264;top:14146;" coordsize="0,37907" path="m0,37907l0,0">
                  <v:stroke weight="0.139432pt" endcap="square" joinstyle="round" on="true" color="#808080"/>
                  <v:fill on="false" color="#000000" opacity="0"/>
                </v:shape>
                <v:shape id="Shape 55260" style="position:absolute;width:0;height:379;left:19164;top:14146;" coordsize="0,37907" path="m0,37907l0,0">
                  <v:stroke weight="0.139432pt" endcap="square" joinstyle="round" on="true" color="#808080"/>
                  <v:fill on="false" color="#000000" opacity="0"/>
                </v:shape>
                <v:shape id="Shape 55261" style="position:absolute;width:0;height:379;left:23063;top:14146;" coordsize="0,37907" path="m0,37907l0,0">
                  <v:stroke weight="0.139432pt" endcap="square" joinstyle="round" on="true" color="#808080"/>
                  <v:fill on="false" color="#000000" opacity="0"/>
                </v:shape>
                <v:shape id="Shape 55262" style="position:absolute;width:0;height:379;left:26966;top:14146;" coordsize="0,37907" path="m0,37907l0,0">
                  <v:stroke weight="0.139432pt" endcap="square" joinstyle="round" on="true" color="#808080"/>
                  <v:fill on="false" color="#000000" opacity="0"/>
                </v:shape>
                <v:shape id="Shape 55263" style="position:absolute;width:0;height:379;left:30881;top:14146;" coordsize="0,37907" path="m0,37907l0,0">
                  <v:stroke weight="0.139432pt" endcap="square" joinstyle="round" on="true" color="#808080"/>
                  <v:fill on="false" color="#000000" opacity="0"/>
                </v:shape>
                <v:shape id="Shape 55264" style="position:absolute;width:0;height:379;left:34780;top:14146;" coordsize="0,37907" path="m0,37907l0,0">
                  <v:stroke weight="0.139432pt" endcap="square" joinstyle="round" on="true" color="#808080"/>
                  <v:fill on="false" color="#000000" opacity="0"/>
                </v:shape>
                <v:shape id="Shape 55265" style="position:absolute;width:0;height:379;left:38679;top:14146;" coordsize="0,37907" path="m0,37907l0,0">
                  <v:stroke weight="0.139432pt" endcap="square" joinstyle="round" on="true" color="#808080"/>
                  <v:fill on="false" color="#000000" opacity="0"/>
                </v:shape>
                <v:rect id="Rectangle 55266" style="position:absolute;width:62287;height:3093;left:6320;top:1527;" filled="f" stroked="f">
                  <v:textbox inset="0,0,0,0">
                    <w:txbxContent>
                      <w:p>
                        <w:pPr>
                          <w:spacing w:before="0" w:after="160" w:line="259" w:lineRule="auto"/>
                          <w:ind w:left="0" w:firstLine="0"/>
                          <w:jc w:val="left"/>
                        </w:pPr>
                        <w:r>
                          <w:rPr>
                            <w:rFonts w:cs="Calibri" w:hAnsi="Calibri" w:eastAsia="Calibri" w:ascii="Calibri"/>
                            <w:b w:val="1"/>
                            <w:sz w:val="36"/>
                          </w:rPr>
                          <w:t xml:space="preserve">Среднегодовые темпы экономического роста, </w:t>
                        </w:r>
                      </w:p>
                    </w:txbxContent>
                  </v:textbox>
                </v:rect>
                <v:rect id="Rectangle 107913" style="position:absolute;width:134;height:295;left:22926;top:3985;" filled="f" stroked="f">
                  <v:textbox inset="0,0,0,0">
                    <w:txbxContent>
                      <w:p>
                        <w:pPr>
                          <w:spacing w:before="0" w:after="160" w:line="259" w:lineRule="auto"/>
                          <w:ind w:left="0" w:firstLine="0"/>
                          <w:jc w:val="left"/>
                        </w:pPr>
                        <w:r>
                          <w:rPr>
                            <w:rFonts w:cs="Calibri" w:hAnsi="Calibri" w:eastAsia="Calibri" w:ascii="Calibri"/>
                            <w:b w:val="1"/>
                            <w:sz w:val="3"/>
                          </w:rPr>
                          <w:t xml:space="preserve">2</w:t>
                        </w:r>
                      </w:p>
                    </w:txbxContent>
                  </v:textbox>
                </v:rect>
                <v:rect id="Rectangle 107914" style="position:absolute;width:134;height:295;left:24083;top:3985;" filled="f" stroked="f">
                  <v:textbox inset="0,0,0,0">
                    <w:txbxContent>
                      <w:p>
                        <w:pPr>
                          <w:spacing w:before="0" w:after="160" w:line="259" w:lineRule="auto"/>
                          <w:ind w:left="0" w:firstLine="0"/>
                          <w:jc w:val="left"/>
                        </w:pPr>
                        <w:r>
                          <w:rPr>
                            <w:rFonts w:cs="Calibri" w:hAnsi="Calibri" w:eastAsia="Calibri" w:ascii="Calibri"/>
                            <w:b w:val="1"/>
                            <w:sz w:val="3"/>
                          </w:rPr>
                          <w:t xml:space="preserve">0</w:t>
                        </w:r>
                      </w:p>
                    </w:txbxContent>
                  </v:textbox>
                </v:rect>
                <v:rect id="Rectangle 107915" style="position:absolute;width:134;height:295;left:25240;top:3985;" filled="f" stroked="f">
                  <v:textbox inset="0,0,0,0">
                    <w:txbxContent>
                      <w:p>
                        <w:pPr>
                          <w:spacing w:before="0" w:after="160" w:line="259" w:lineRule="auto"/>
                          <w:ind w:left="0" w:firstLine="0"/>
                          <w:jc w:val="left"/>
                        </w:pPr>
                        <w:r>
                          <w:rPr>
                            <w:rFonts w:cs="Calibri" w:hAnsi="Calibri" w:eastAsia="Calibri" w:ascii="Calibri"/>
                            <w:b w:val="1"/>
                            <w:sz w:val="3"/>
                          </w:rPr>
                          <w:t xml:space="preserve">0</w:t>
                        </w:r>
                      </w:p>
                    </w:txbxContent>
                  </v:textbox>
                </v:rect>
                <v:rect id="Rectangle 107916" style="position:absolute;width:134;height:295;left:26397;top:3985;" filled="f" stroked="f">
                  <v:textbox inset="0,0,0,0">
                    <w:txbxContent>
                      <w:p>
                        <w:pPr>
                          <w:spacing w:before="0" w:after="160" w:line="259" w:lineRule="auto"/>
                          <w:ind w:left="0" w:firstLine="0"/>
                          <w:jc w:val="left"/>
                        </w:pPr>
                        <w:r>
                          <w:rPr>
                            <w:rFonts w:cs="Calibri" w:hAnsi="Calibri" w:eastAsia="Calibri" w:ascii="Calibri"/>
                            <w:b w:val="1"/>
                            <w:sz w:val="3"/>
                          </w:rPr>
                          <w:t xml:space="preserve">5</w:t>
                        </w:r>
                      </w:p>
                    </w:txbxContent>
                  </v:textbox>
                </v:rect>
                <v:rect id="Rectangle 107917" style="position:absolute;width:147;height:248;left:27556;top:4021;" filled="f" stroked="f">
                  <v:textbox inset="0,0,0,0">
                    <w:txbxContent>
                      <w:p>
                        <w:pPr>
                          <w:spacing w:before="0" w:after="160" w:line="259" w:lineRule="auto"/>
                          <w:ind w:left="0" w:firstLine="0"/>
                          <w:jc w:val="left"/>
                        </w:pPr>
                        <w:r>
                          <w:rPr>
                            <w:rFonts w:cs="Calibri" w:hAnsi="Calibri" w:eastAsia="Calibri" w:ascii="Calibri"/>
                            <w:b w:val="1"/>
                            <w:sz w:val="3"/>
                          </w:rPr>
                          <w:t xml:space="preserve">–</w:t>
                        </w:r>
                      </w:p>
                    </w:txbxContent>
                  </v:textbox>
                </v:rect>
                <v:rect id="Rectangle 107918" style="position:absolute;width:147;height:248;left:28698;top:4021;" filled="f" stroked="f">
                  <v:textbox inset="0,0,0,0">
                    <w:txbxContent>
                      <w:p>
                        <w:pPr>
                          <w:spacing w:before="0" w:after="160" w:line="259" w:lineRule="auto"/>
                          <w:ind w:left="0" w:firstLine="0"/>
                          <w:jc w:val="left"/>
                        </w:pPr>
                        <w:r>
                          <w:rPr>
                            <w:rFonts w:cs="Calibri" w:hAnsi="Calibri" w:eastAsia="Calibri" w:ascii="Calibri"/>
                            <w:b w:val="1"/>
                            <w:sz w:val="3"/>
                          </w:rPr>
                          <w:t xml:space="preserve">2</w:t>
                        </w:r>
                      </w:p>
                    </w:txbxContent>
                  </v:textbox>
                </v:rect>
                <v:rect id="Rectangle 107919" style="position:absolute;width:147;height:248;left:29854;top:4021;" filled="f" stroked="f">
                  <v:textbox inset="0,0,0,0">
                    <w:txbxContent>
                      <w:p>
                        <w:pPr>
                          <w:spacing w:before="0" w:after="160" w:line="259" w:lineRule="auto"/>
                          <w:ind w:left="0" w:firstLine="0"/>
                          <w:jc w:val="left"/>
                        </w:pPr>
                        <w:r>
                          <w:rPr>
                            <w:rFonts w:cs="Calibri" w:hAnsi="Calibri" w:eastAsia="Calibri" w:ascii="Calibri"/>
                            <w:b w:val="1"/>
                            <w:sz w:val="3"/>
                          </w:rPr>
                          <w:t xml:space="preserve">0</w:t>
                        </w:r>
                      </w:p>
                    </w:txbxContent>
                  </v:textbox>
                </v:rect>
                <v:rect id="Rectangle 107920" style="position:absolute;width:147;height:248;left:31010;top:4021;" filled="f" stroked="f">
                  <v:textbox inset="0,0,0,0">
                    <w:txbxContent>
                      <w:p>
                        <w:pPr>
                          <w:spacing w:before="0" w:after="160" w:line="259" w:lineRule="auto"/>
                          <w:ind w:left="0" w:firstLine="0"/>
                          <w:jc w:val="left"/>
                        </w:pPr>
                        <w:r>
                          <w:rPr>
                            <w:rFonts w:cs="Calibri" w:hAnsi="Calibri" w:eastAsia="Calibri" w:ascii="Calibri"/>
                            <w:b w:val="1"/>
                            <w:sz w:val="3"/>
                          </w:rPr>
                          <w:t xml:space="preserve">1</w:t>
                        </w:r>
                      </w:p>
                    </w:txbxContent>
                  </v:textbox>
                </v:rect>
                <v:rect id="Rectangle 107921" style="position:absolute;width:147;height:248;left:32167;top:4021;" filled="f" stroked="f">
                  <v:textbox inset="0,0,0,0">
                    <w:txbxContent>
                      <w:p>
                        <w:pPr>
                          <w:spacing w:before="0" w:after="160" w:line="259" w:lineRule="auto"/>
                          <w:ind w:left="0" w:firstLine="0"/>
                          <w:jc w:val="left"/>
                        </w:pPr>
                        <w:r>
                          <w:rPr>
                            <w:rFonts w:cs="Calibri" w:hAnsi="Calibri" w:eastAsia="Calibri" w:ascii="Calibri"/>
                            <w:b w:val="1"/>
                            <w:sz w:val="3"/>
                          </w:rPr>
                          <w:t xml:space="preserve">3</w:t>
                        </w:r>
                      </w:p>
                    </w:txbxContent>
                  </v:textbox>
                </v:rect>
                <v:rect id="Rectangle 107922" style="position:absolute;width:73;height:248;left:33323;top:4021;" filled="f" stroked="f">
                  <v:textbox inset="0,0,0,0">
                    <w:txbxContent>
                      <w:p>
                        <w:pPr>
                          <w:spacing w:before="0" w:after="160" w:line="259" w:lineRule="auto"/>
                          <w:ind w:left="0" w:firstLine="0"/>
                          <w:jc w:val="left"/>
                        </w:pPr>
                        <w:r>
                          <w:rPr>
                            <w:rFonts w:cs="Calibri" w:hAnsi="Calibri" w:eastAsia="Calibri" w:ascii="Calibri"/>
                            <w:b w:val="1"/>
                            <w:sz w:val="3"/>
                          </w:rPr>
                          <w:t xml:space="preserve"> </w:t>
                        </w:r>
                      </w:p>
                    </w:txbxContent>
                  </v:textbox>
                </v:rect>
                <v:rect id="Rectangle 107923" style="position:absolute;width:94;height:269;left:33848;top:4016;"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107924" style="position:absolute;width:94;height:269;left:34656;top:4016;"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55270" style="position:absolute;width:70;height:295;left:35462;top:3985;" filled="f" stroked="f">
                  <v:textbox inset="0,0,0,0">
                    <w:txbxContent>
                      <w:p>
                        <w:pPr>
                          <w:spacing w:before="0" w:after="160" w:line="259" w:lineRule="auto"/>
                          <w:ind w:left="0" w:firstLine="0"/>
                          <w:jc w:val="left"/>
                        </w:pPr>
                        <w:r>
                          <w:rPr>
                            <w:rFonts w:cs="Calibri" w:hAnsi="Calibri" w:eastAsia="Calibri" w:ascii="Calibri"/>
                            <w:b w:val="1"/>
                            <w:sz w:val="3"/>
                          </w:rPr>
                          <w:t xml:space="preserve">.</w:t>
                        </w:r>
                      </w:p>
                    </w:txbxContent>
                  </v:textbox>
                </v:rect>
                <v:rect id="Rectangle 55271" style="position:absolute;width:1360;height:1712;left:1521;top:15477;" filled="f" stroked="f">
                  <v:textbox inset="0,0,0,0">
                    <w:txbxContent>
                      <w:p>
                        <w:pPr>
                          <w:spacing w:before="0" w:after="160" w:line="259" w:lineRule="auto"/>
                          <w:ind w:left="0" w:firstLine="0"/>
                          <w:jc w:val="left"/>
                        </w:pPr>
                        <w:r>
                          <w:rPr>
                            <w:rFonts w:cs="Calibri" w:hAnsi="Calibri" w:eastAsia="Calibri" w:ascii="Calibri"/>
                            <w:sz w:val="20"/>
                          </w:rPr>
                          <w:t xml:space="preserve">-2</w:t>
                        </w:r>
                      </w:p>
                    </w:txbxContent>
                  </v:textbox>
                </v:rect>
                <v:rect id="Rectangle 55272" style="position:absolute;width:854;height:1712;left:1905;top:13514;" filled="f" stroked="f">
                  <v:textbox inset="0,0,0,0">
                    <w:txbxContent>
                      <w:p>
                        <w:pPr>
                          <w:spacing w:before="0" w:after="160" w:line="259" w:lineRule="auto"/>
                          <w:ind w:left="0" w:firstLine="0"/>
                          <w:jc w:val="left"/>
                        </w:pPr>
                        <w:r>
                          <w:rPr>
                            <w:rFonts w:cs="Calibri" w:hAnsi="Calibri" w:eastAsia="Calibri" w:ascii="Calibri"/>
                            <w:sz w:val="20"/>
                          </w:rPr>
                          <w:t xml:space="preserve">0</w:t>
                        </w:r>
                      </w:p>
                    </w:txbxContent>
                  </v:textbox>
                </v:rect>
                <v:rect id="Rectangle 55273" style="position:absolute;width:854;height:1712;left:1905;top:11536;" filled="f" stroked="f">
                  <v:textbox inset="0,0,0,0">
                    <w:txbxContent>
                      <w:p>
                        <w:pPr>
                          <w:spacing w:before="0" w:after="160" w:line="259" w:lineRule="auto"/>
                          <w:ind w:left="0" w:firstLine="0"/>
                          <w:jc w:val="left"/>
                        </w:pPr>
                        <w:r>
                          <w:rPr>
                            <w:rFonts w:cs="Calibri" w:hAnsi="Calibri" w:eastAsia="Calibri" w:ascii="Calibri"/>
                            <w:sz w:val="20"/>
                          </w:rPr>
                          <w:t xml:space="preserve">2</w:t>
                        </w:r>
                      </w:p>
                    </w:txbxContent>
                  </v:textbox>
                </v:rect>
                <v:rect id="Rectangle 55274" style="position:absolute;width:854;height:1712;left:1905;top:9577;" filled="f" stroked="f">
                  <v:textbox inset="0,0,0,0">
                    <w:txbxContent>
                      <w:p>
                        <w:pPr>
                          <w:spacing w:before="0" w:after="160" w:line="259" w:lineRule="auto"/>
                          <w:ind w:left="0" w:firstLine="0"/>
                          <w:jc w:val="left"/>
                        </w:pPr>
                        <w:r>
                          <w:rPr>
                            <w:rFonts w:cs="Calibri" w:hAnsi="Calibri" w:eastAsia="Calibri" w:ascii="Calibri"/>
                            <w:sz w:val="20"/>
                          </w:rPr>
                          <w:t xml:space="preserve">4</w:t>
                        </w:r>
                      </w:p>
                    </w:txbxContent>
                  </v:textbox>
                </v:rect>
                <v:rect id="Rectangle 55275" style="position:absolute;width:854;height:1712;left:1905;top:7599;" filled="f" stroked="f">
                  <v:textbox inset="0,0,0,0">
                    <w:txbxContent>
                      <w:p>
                        <w:pPr>
                          <w:spacing w:before="0" w:after="160" w:line="259" w:lineRule="auto"/>
                          <w:ind w:left="0" w:firstLine="0"/>
                          <w:jc w:val="left"/>
                        </w:pPr>
                        <w:r>
                          <w:rPr>
                            <w:rFonts w:cs="Calibri" w:hAnsi="Calibri" w:eastAsia="Calibri" w:ascii="Calibri"/>
                            <w:sz w:val="20"/>
                          </w:rPr>
                          <w:t xml:space="preserve">6</w:t>
                        </w:r>
                      </w:p>
                    </w:txbxContent>
                  </v:textbox>
                </v:rect>
                <v:rect id="Rectangle 55276" style="position:absolute;width:3412;height:1712;left:4172;top:15462;" filled="f" stroked="f">
                  <v:textbox inset="0,0,0,0">
                    <w:txbxContent>
                      <w:p>
                        <w:pPr>
                          <w:spacing w:before="0" w:after="160" w:line="259" w:lineRule="auto"/>
                          <w:ind w:left="0" w:firstLine="0"/>
                          <w:jc w:val="left"/>
                        </w:pPr>
                        <w:r>
                          <w:rPr>
                            <w:rFonts w:cs="Calibri" w:hAnsi="Calibri" w:eastAsia="Calibri" w:ascii="Calibri"/>
                            <w:sz w:val="20"/>
                          </w:rPr>
                          <w:t xml:space="preserve">2005</w:t>
                        </w:r>
                      </w:p>
                    </w:txbxContent>
                  </v:textbox>
                </v:rect>
                <v:rect id="Rectangle 55277" style="position:absolute;width:3412;height:1712;left:8071;top:15462;" filled="f" stroked="f">
                  <v:textbox inset="0,0,0,0">
                    <w:txbxContent>
                      <w:p>
                        <w:pPr>
                          <w:spacing w:before="0" w:after="160" w:line="259" w:lineRule="auto"/>
                          <w:ind w:left="0" w:firstLine="0"/>
                          <w:jc w:val="left"/>
                        </w:pPr>
                        <w:r>
                          <w:rPr>
                            <w:rFonts w:cs="Calibri" w:hAnsi="Calibri" w:eastAsia="Calibri" w:ascii="Calibri"/>
                            <w:sz w:val="20"/>
                          </w:rPr>
                          <w:t xml:space="preserve">2006</w:t>
                        </w:r>
                      </w:p>
                    </w:txbxContent>
                  </v:textbox>
                </v:rect>
                <v:rect id="Rectangle 55278" style="position:absolute;width:3412;height:1712;left:11989;top:15462;" filled="f" stroked="f">
                  <v:textbox inset="0,0,0,0">
                    <w:txbxContent>
                      <w:p>
                        <w:pPr>
                          <w:spacing w:before="0" w:after="160" w:line="259" w:lineRule="auto"/>
                          <w:ind w:left="0" w:firstLine="0"/>
                          <w:jc w:val="left"/>
                        </w:pPr>
                        <w:r>
                          <w:rPr>
                            <w:rFonts w:cs="Calibri" w:hAnsi="Calibri" w:eastAsia="Calibri" w:ascii="Calibri"/>
                            <w:sz w:val="20"/>
                          </w:rPr>
                          <w:t xml:space="preserve">2007</w:t>
                        </w:r>
                      </w:p>
                    </w:txbxContent>
                  </v:textbox>
                </v:rect>
                <v:rect id="Rectangle 55279" style="position:absolute;width:3412;height:1712;left:15889;top:15462;" filled="f" stroked="f">
                  <v:textbox inset="0,0,0,0">
                    <w:txbxContent>
                      <w:p>
                        <w:pPr>
                          <w:spacing w:before="0" w:after="160" w:line="259" w:lineRule="auto"/>
                          <w:ind w:left="0" w:firstLine="0"/>
                          <w:jc w:val="left"/>
                        </w:pPr>
                        <w:r>
                          <w:rPr>
                            <w:rFonts w:cs="Calibri" w:hAnsi="Calibri" w:eastAsia="Calibri" w:ascii="Calibri"/>
                            <w:sz w:val="20"/>
                          </w:rPr>
                          <w:t xml:space="preserve">2008</w:t>
                        </w:r>
                      </w:p>
                    </w:txbxContent>
                  </v:textbox>
                </v:rect>
                <v:rect id="Rectangle 55280" style="position:absolute;width:3412;height:1712;left:19789;top:15462;" filled="f" stroked="f">
                  <v:textbox inset="0,0,0,0">
                    <w:txbxContent>
                      <w:p>
                        <w:pPr>
                          <w:spacing w:before="0" w:after="160" w:line="259" w:lineRule="auto"/>
                          <w:ind w:left="0" w:firstLine="0"/>
                          <w:jc w:val="left"/>
                        </w:pPr>
                        <w:r>
                          <w:rPr>
                            <w:rFonts w:cs="Calibri" w:hAnsi="Calibri" w:eastAsia="Calibri" w:ascii="Calibri"/>
                            <w:sz w:val="20"/>
                          </w:rPr>
                          <w:t xml:space="preserve">2009</w:t>
                        </w:r>
                      </w:p>
                    </w:txbxContent>
                  </v:textbox>
                </v:rect>
                <v:rect id="Rectangle 55281" style="position:absolute;width:3412;height:1712;left:23687;top:15462;" filled="f" stroked="f">
                  <v:textbox inset="0,0,0,0">
                    <w:txbxContent>
                      <w:p>
                        <w:pPr>
                          <w:spacing w:before="0" w:after="160" w:line="259" w:lineRule="auto"/>
                          <w:ind w:left="0" w:firstLine="0"/>
                          <w:jc w:val="left"/>
                        </w:pPr>
                        <w:r>
                          <w:rPr>
                            <w:rFonts w:cs="Calibri" w:hAnsi="Calibri" w:eastAsia="Calibri" w:ascii="Calibri"/>
                            <w:sz w:val="20"/>
                          </w:rPr>
                          <w:t xml:space="preserve">2010</w:t>
                        </w:r>
                      </w:p>
                    </w:txbxContent>
                  </v:textbox>
                </v:rect>
                <v:rect id="Rectangle 55282" style="position:absolute;width:3412;height:1712;left:27587;top:15462;" filled="f" stroked="f">
                  <v:textbox inset="0,0,0,0">
                    <w:txbxContent>
                      <w:p>
                        <w:pPr>
                          <w:spacing w:before="0" w:after="160" w:line="259" w:lineRule="auto"/>
                          <w:ind w:left="0" w:firstLine="0"/>
                          <w:jc w:val="left"/>
                        </w:pPr>
                        <w:r>
                          <w:rPr>
                            <w:rFonts w:cs="Calibri" w:hAnsi="Calibri" w:eastAsia="Calibri" w:ascii="Calibri"/>
                            <w:sz w:val="20"/>
                          </w:rPr>
                          <w:t xml:space="preserve">2011</w:t>
                        </w:r>
                      </w:p>
                    </w:txbxContent>
                  </v:textbox>
                </v:rect>
                <v:rect id="Rectangle 55283" style="position:absolute;width:3412;height:1712;left:31502;top:15462;" filled="f" stroked="f">
                  <v:textbox inset="0,0,0,0">
                    <w:txbxContent>
                      <w:p>
                        <w:pPr>
                          <w:spacing w:before="0" w:after="160" w:line="259" w:lineRule="auto"/>
                          <w:ind w:left="0" w:firstLine="0"/>
                          <w:jc w:val="left"/>
                        </w:pPr>
                        <w:r>
                          <w:rPr>
                            <w:rFonts w:cs="Calibri" w:hAnsi="Calibri" w:eastAsia="Calibri" w:ascii="Calibri"/>
                            <w:sz w:val="20"/>
                          </w:rPr>
                          <w:t xml:space="preserve">2012</w:t>
                        </w:r>
                      </w:p>
                    </w:txbxContent>
                  </v:textbox>
                </v:rect>
                <v:rect id="Rectangle 55284" style="position:absolute;width:3412;height:1712;left:35402;top:15462;" filled="f" stroked="f">
                  <v:textbox inset="0,0,0,0">
                    <w:txbxContent>
                      <w:p>
                        <w:pPr>
                          <w:spacing w:before="0" w:after="160" w:line="259" w:lineRule="auto"/>
                          <w:ind w:left="0" w:firstLine="0"/>
                          <w:jc w:val="left"/>
                        </w:pPr>
                        <w:r>
                          <w:rPr>
                            <w:rFonts w:cs="Calibri" w:hAnsi="Calibri" w:eastAsia="Calibri" w:ascii="Calibri"/>
                            <w:sz w:val="20"/>
                          </w:rPr>
                          <w:t xml:space="preserve">2013</w:t>
                        </w:r>
                      </w:p>
                    </w:txbxContent>
                  </v:textbox>
                </v:rect>
                <v:shape id="Shape 705186" style="position:absolute;width:714;height:715;left:42516;top:10250;" coordsize="71484,71536" path="m0,0l71484,0l71484,71536l0,71536l0,0">
                  <v:stroke weight="0pt" endcap="flat" joinstyle="miter" miterlimit="10" on="false" color="#000000" opacity="0"/>
                  <v:fill on="true" color="#000000"/>
                </v:shape>
                <v:rect id="Rectangle 55286" style="position:absolute;width:16312;height:1712;left:43614;top:10093;" filled="f" stroked="f">
                  <v:textbox inset="0,0,0,0">
                    <w:txbxContent>
                      <w:p>
                        <w:pPr>
                          <w:spacing w:before="0" w:after="160" w:line="259" w:lineRule="auto"/>
                          <w:ind w:left="0" w:firstLine="0"/>
                          <w:jc w:val="left"/>
                        </w:pPr>
                        <w:r>
                          <w:rPr>
                            <w:rFonts w:cs="Calibri" w:hAnsi="Calibri" w:eastAsia="Calibri" w:ascii="Calibri"/>
                            <w:sz w:val="20"/>
                          </w:rPr>
                          <w:t xml:space="preserve">Среднегодовые темпы</w:t>
                        </w:r>
                      </w:p>
                    </w:txbxContent>
                  </v:textbox>
                </v:rect>
                <v:rect id="Rectangle 107925" style="position:absolute;width:115;height:269;left:43614;top:11378;" filled="f" stroked="f">
                  <v:textbox inset="0,0,0,0">
                    <w:txbxContent>
                      <w:p>
                        <w:pPr>
                          <w:spacing w:before="0" w:after="160" w:line="259" w:lineRule="auto"/>
                          <w:ind w:left="0" w:firstLine="0"/>
                          <w:jc w:val="left"/>
                        </w:pPr>
                        <w:r>
                          <w:rPr>
                            <w:rFonts w:cs="Calibri" w:hAnsi="Calibri" w:eastAsia="Calibri" w:ascii="Calibri"/>
                            <w:b w:val="1"/>
                            <w:sz w:val="3"/>
                          </w:rPr>
                          <w:t xml:space="preserve">э</w:t>
                        </w:r>
                      </w:p>
                    </w:txbxContent>
                  </v:textbox>
                </v:rect>
                <v:rect id="Rectangle 107926" style="position:absolute;width:131;height:269;left:44179;top:11378;" filled="f" stroked="f">
                  <v:textbox inset="0,0,0,0">
                    <w:txbxContent>
                      <w:p>
                        <w:pPr>
                          <w:spacing w:before="0" w:after="160" w:line="259" w:lineRule="auto"/>
                          <w:ind w:left="0" w:firstLine="0"/>
                          <w:jc w:val="left"/>
                        </w:pPr>
                        <w:r>
                          <w:rPr>
                            <w:rFonts w:cs="Calibri" w:hAnsi="Calibri" w:eastAsia="Calibri" w:ascii="Calibri"/>
                            <w:b w:val="1"/>
                            <w:sz w:val="3"/>
                          </w:rPr>
                          <w:t xml:space="preserve">к</w:t>
                        </w:r>
                      </w:p>
                    </w:txbxContent>
                  </v:textbox>
                </v:rect>
                <v:rect id="Rectangle 107927" style="position:absolute;width:142;height:269;left:44774;top:11378;"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107928" style="position:absolute;width:144;height:269;left:45442;top:11378;" filled="f" stroked="f">
                  <v:textbox inset="0,0,0,0">
                    <w:txbxContent>
                      <w:p>
                        <w:pPr>
                          <w:spacing w:before="0" w:after="160" w:line="259" w:lineRule="auto"/>
                          <w:ind w:left="0" w:firstLine="0"/>
                          <w:jc w:val="left"/>
                        </w:pPr>
                        <w:r>
                          <w:rPr>
                            <w:rFonts w:cs="Calibri" w:hAnsi="Calibri" w:eastAsia="Calibri" w:ascii="Calibri"/>
                            <w:b w:val="1"/>
                            <w:sz w:val="3"/>
                          </w:rPr>
                          <w:t xml:space="preserve">н</w:t>
                        </w:r>
                      </w:p>
                    </w:txbxContent>
                  </v:textbox>
                </v:rect>
                <v:rect id="Rectangle 107929" style="position:absolute;width:142;height:269;left:46111;top:11378;"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107930" style="position:absolute;width:189;height:269;left:46780;top:11378;" filled="f" stroked="f">
                  <v:textbox inset="0,0,0,0">
                    <w:txbxContent>
                      <w:p>
                        <w:pPr>
                          <w:spacing w:before="0" w:after="160" w:line="259" w:lineRule="auto"/>
                          <w:ind w:left="0" w:firstLine="0"/>
                          <w:jc w:val="left"/>
                        </w:pPr>
                        <w:r>
                          <w:rPr>
                            <w:rFonts w:cs="Calibri" w:hAnsi="Calibri" w:eastAsia="Calibri" w:ascii="Calibri"/>
                            <w:b w:val="1"/>
                            <w:sz w:val="3"/>
                          </w:rPr>
                          <w:t xml:space="preserve">м</w:t>
                        </w:r>
                      </w:p>
                    </w:txbxContent>
                  </v:textbox>
                </v:rect>
                <v:rect id="Rectangle 107931" style="position:absolute;width:147;height:269;left:47632;top:11378;" filled="f" stroked="f">
                  <v:textbox inset="0,0,0,0">
                    <w:txbxContent>
                      <w:p>
                        <w:pPr>
                          <w:spacing w:before="0" w:after="160" w:line="259" w:lineRule="auto"/>
                          <w:ind w:left="0" w:firstLine="0"/>
                          <w:jc w:val="left"/>
                        </w:pPr>
                        <w:r>
                          <w:rPr>
                            <w:rFonts w:cs="Calibri" w:hAnsi="Calibri" w:eastAsia="Calibri" w:ascii="Calibri"/>
                            <w:b w:val="1"/>
                            <w:sz w:val="3"/>
                          </w:rPr>
                          <w:t xml:space="preserve">и</w:t>
                        </w:r>
                      </w:p>
                    </w:txbxContent>
                  </v:textbox>
                </v:rect>
                <v:rect id="Rectangle 107932" style="position:absolute;width:129;height:269;left:48317;top:11378;" filled="f" stroked="f">
                  <v:textbox inset="0,0,0,0">
                    <w:txbxContent>
                      <w:p>
                        <w:pPr>
                          <w:spacing w:before="0" w:after="160" w:line="259" w:lineRule="auto"/>
                          <w:ind w:left="0" w:firstLine="0"/>
                          <w:jc w:val="left"/>
                        </w:pPr>
                        <w:r>
                          <w:rPr>
                            <w:rFonts w:cs="Calibri" w:hAnsi="Calibri" w:eastAsia="Calibri" w:ascii="Calibri"/>
                            <w:b w:val="1"/>
                            <w:sz w:val="3"/>
                          </w:rPr>
                          <w:t xml:space="preserve">ч</w:t>
                        </w:r>
                      </w:p>
                    </w:txbxContent>
                  </v:textbox>
                </v:rect>
                <v:rect id="Rectangle 107933" style="position:absolute;width:133;height:269;left:48912;top:11378;" filled="f" stroked="f">
                  <v:textbox inset="0,0,0,0">
                    <w:txbxContent>
                      <w:p>
                        <w:pPr>
                          <w:spacing w:before="0" w:after="160" w:line="259" w:lineRule="auto"/>
                          <w:ind w:left="0" w:firstLine="0"/>
                          <w:jc w:val="left"/>
                        </w:pPr>
                        <w:r>
                          <w:rPr>
                            <w:rFonts w:cs="Calibri" w:hAnsi="Calibri" w:eastAsia="Calibri" w:ascii="Calibri"/>
                            <w:b w:val="1"/>
                            <w:sz w:val="3"/>
                          </w:rPr>
                          <w:t xml:space="preserve">е</w:t>
                        </w:r>
                      </w:p>
                    </w:txbxContent>
                  </v:textbox>
                </v:rect>
                <v:rect id="Rectangle 107934" style="position:absolute;width:110;height:269;left:49537;top:11378;" filled="f" stroked="f">
                  <v:textbox inset="0,0,0,0">
                    <w:txbxContent>
                      <w:p>
                        <w:pPr>
                          <w:spacing w:before="0" w:after="160" w:line="259" w:lineRule="auto"/>
                          <w:ind w:left="0" w:firstLine="0"/>
                          <w:jc w:val="left"/>
                        </w:pPr>
                        <w:r>
                          <w:rPr>
                            <w:rFonts w:cs="Calibri" w:hAnsi="Calibri" w:eastAsia="Calibri" w:ascii="Calibri"/>
                            <w:b w:val="1"/>
                            <w:sz w:val="3"/>
                          </w:rPr>
                          <w:t xml:space="preserve">с</w:t>
                        </w:r>
                      </w:p>
                    </w:txbxContent>
                  </v:textbox>
                </v:rect>
                <v:rect id="Rectangle 107935" style="position:absolute;width:131;height:269;left:50071;top:11378;" filled="f" stroked="f">
                  <v:textbox inset="0,0,0,0">
                    <w:txbxContent>
                      <w:p>
                        <w:pPr>
                          <w:spacing w:before="0" w:after="160" w:line="259" w:lineRule="auto"/>
                          <w:ind w:left="0" w:firstLine="0"/>
                          <w:jc w:val="left"/>
                        </w:pPr>
                        <w:r>
                          <w:rPr>
                            <w:rFonts w:cs="Calibri" w:hAnsi="Calibri" w:eastAsia="Calibri" w:ascii="Calibri"/>
                            <w:b w:val="1"/>
                            <w:sz w:val="3"/>
                          </w:rPr>
                          <w:t xml:space="preserve">к</w:t>
                        </w:r>
                      </w:p>
                    </w:txbxContent>
                  </v:textbox>
                </v:rect>
                <v:rect id="Rectangle 107936" style="position:absolute;width:142;height:269;left:50666;top:11378;"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107937" style="position:absolute;width:94;height:269;left:51335;top:11378;"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107938" style="position:absolute;width:142;height:269;left:51776;top:11378;"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55288" style="position:absolute;width:59;height:295;left:52450;top:11347;" filled="f" stroked="f">
                  <v:textbox inset="0,0,0,0">
                    <w:txbxContent>
                      <w:p>
                        <w:pPr>
                          <w:spacing w:before="0" w:after="160" w:line="259" w:lineRule="auto"/>
                          <w:ind w:left="0" w:firstLine="0"/>
                          <w:jc w:val="left"/>
                        </w:pPr>
                        <w:r>
                          <w:rPr>
                            <w:rFonts w:cs="Calibri" w:hAnsi="Calibri" w:eastAsia="Calibri" w:ascii="Calibri"/>
                            <w:b w:val="1"/>
                            <w:sz w:val="3"/>
                          </w:rPr>
                          <w:t xml:space="preserve"> </w:t>
                        </w:r>
                      </w:p>
                    </w:txbxContent>
                  </v:textbox>
                </v:rect>
                <v:rect id="Rectangle 107943" style="position:absolute;width:131;height:269;left:55097;top:11378;" filled="f" stroked="f">
                  <v:textbox inset="0,0,0,0">
                    <w:txbxContent>
                      <w:p>
                        <w:pPr>
                          <w:spacing w:before="0" w:after="160" w:line="259" w:lineRule="auto"/>
                          <w:ind w:left="0" w:firstLine="0"/>
                          <w:jc w:val="left"/>
                        </w:pPr>
                        <w:r>
                          <w:rPr>
                            <w:rFonts w:cs="Calibri" w:hAnsi="Calibri" w:eastAsia="Calibri" w:ascii="Calibri"/>
                            <w:b w:val="1"/>
                            <w:sz w:val="3"/>
                          </w:rPr>
                          <w:t xml:space="preserve">а</w:t>
                        </w:r>
                      </w:p>
                    </w:txbxContent>
                  </v:textbox>
                </v:rect>
                <v:rect id="Rectangle 107939" style="position:absolute;width:142;height:269;left:52739;top:11378;" filled="f" stroked="f">
                  <v:textbox inset="0,0,0,0">
                    <w:txbxContent>
                      <w:p>
                        <w:pPr>
                          <w:spacing w:before="0" w:after="160" w:line="259" w:lineRule="auto"/>
                          <w:ind w:left="0" w:firstLine="0"/>
                          <w:jc w:val="left"/>
                        </w:pPr>
                        <w:r>
                          <w:rPr>
                            <w:rFonts w:cs="Calibri" w:hAnsi="Calibri" w:eastAsia="Calibri" w:ascii="Calibri"/>
                            <w:b w:val="1"/>
                            <w:sz w:val="3"/>
                          </w:rPr>
                          <w:t xml:space="preserve">р</w:t>
                        </w:r>
                      </w:p>
                    </w:txbxContent>
                  </v:textbox>
                </v:rect>
                <v:rect id="Rectangle 107940" style="position:absolute;width:142;height:269;left:53407;top:11378;" filled="f" stroked="f">
                  <v:textbox inset="0,0,0,0">
                    <w:txbxContent>
                      <w:p>
                        <w:pPr>
                          <w:spacing w:before="0" w:after="160" w:line="259" w:lineRule="auto"/>
                          <w:ind w:left="0" w:firstLine="0"/>
                          <w:jc w:val="left"/>
                        </w:pPr>
                        <w:r>
                          <w:rPr>
                            <w:rFonts w:cs="Calibri" w:hAnsi="Calibri" w:eastAsia="Calibri" w:ascii="Calibri"/>
                            <w:b w:val="1"/>
                            <w:sz w:val="3"/>
                          </w:rPr>
                          <w:t xml:space="preserve">о</w:t>
                        </w:r>
                      </w:p>
                    </w:txbxContent>
                  </v:textbox>
                </v:rect>
                <v:rect id="Rectangle 107941" style="position:absolute;width:110;height:269;left:54076;top:11378;" filled="f" stroked="f">
                  <v:textbox inset="0,0,0,0">
                    <w:txbxContent>
                      <w:p>
                        <w:pPr>
                          <w:spacing w:before="0" w:after="160" w:line="259" w:lineRule="auto"/>
                          <w:ind w:left="0" w:firstLine="0"/>
                          <w:jc w:val="left"/>
                        </w:pPr>
                        <w:r>
                          <w:rPr>
                            <w:rFonts w:cs="Calibri" w:hAnsi="Calibri" w:eastAsia="Calibri" w:ascii="Calibri"/>
                            <w:b w:val="1"/>
                            <w:sz w:val="3"/>
                          </w:rPr>
                          <w:t xml:space="preserve">с</w:t>
                        </w:r>
                      </w:p>
                    </w:txbxContent>
                  </v:textbox>
                </v:rect>
                <v:rect id="Rectangle 107942" style="position:absolute;width:103;height:269;left:54610;top:11378;" filled="f" stroked="f">
                  <v:textbox inset="0,0,0,0">
                    <w:txbxContent>
                      <w:p>
                        <w:pPr>
                          <w:spacing w:before="0" w:after="160" w:line="259" w:lineRule="auto"/>
                          <w:ind w:left="0" w:firstLine="0"/>
                          <w:jc w:val="left"/>
                        </w:pPr>
                        <w:r>
                          <w:rPr>
                            <w:rFonts w:cs="Calibri" w:hAnsi="Calibri" w:eastAsia="Calibri" w:ascii="Calibri"/>
                            <w:b w:val="1"/>
                            <w:sz w:val="3"/>
                          </w:rPr>
                          <w:t xml:space="preserve">т</w:t>
                        </w:r>
                      </w:p>
                    </w:txbxContent>
                  </v:textbox>
                </v:rect>
                <v:rect id="Rectangle 55290" style="position:absolute;width:68;height:295;left:55708;top:11347;" filled="f" stroked="f">
                  <v:textbox inset="0,0,0,0">
                    <w:txbxContent>
                      <w:p>
                        <w:pPr>
                          <w:spacing w:before="0" w:after="160" w:line="259" w:lineRule="auto"/>
                          <w:ind w:left="0" w:firstLine="0"/>
                          <w:jc w:val="left"/>
                        </w:pPr>
                        <w:r>
                          <w:rPr>
                            <w:rFonts w:cs="Calibri" w:hAnsi="Calibri" w:eastAsia="Calibri" w:ascii="Calibri"/>
                            <w:b w:val="1"/>
                            <w:sz w:val="3"/>
                          </w:rPr>
                          <w:t xml:space="preserve">,</w:t>
                        </w:r>
                      </w:p>
                    </w:txbxContent>
                  </v:textbox>
                </v:rect>
                <v:rect id="Rectangle 107953" style="position:absolute;width:73;height:248;left:49367;top:12871;" filled="f" stroked="f">
                  <v:textbox inset="0,0,0,0">
                    <w:txbxContent>
                      <w:p>
                        <w:pPr>
                          <w:spacing w:before="0" w:after="160" w:line="259" w:lineRule="auto"/>
                          <w:ind w:left="0" w:firstLine="0"/>
                          <w:jc w:val="left"/>
                        </w:pPr>
                        <w:r>
                          <w:rPr>
                            <w:rFonts w:cs="Calibri" w:hAnsi="Calibri" w:eastAsia="Calibri" w:ascii="Calibri"/>
                            <w:b w:val="1"/>
                            <w:sz w:val="3"/>
                          </w:rPr>
                          <w:t xml:space="preserve"> </w:t>
                        </w:r>
                      </w:p>
                    </w:txbxContent>
                  </v:textbox>
                </v:rect>
                <v:rect id="Rectangle 107944" style="position:absolute;width:147;height:248;left:43614;top:12871;" filled="f" stroked="f">
                  <v:textbox inset="0,0,0,0">
                    <w:txbxContent>
                      <w:p>
                        <w:pPr>
                          <w:spacing w:before="0" w:after="160" w:line="259" w:lineRule="auto"/>
                          <w:ind w:left="0" w:firstLine="0"/>
                          <w:jc w:val="left"/>
                        </w:pPr>
                        <w:r>
                          <w:rPr>
                            <w:rFonts w:cs="Calibri" w:hAnsi="Calibri" w:eastAsia="Calibri" w:ascii="Calibri"/>
                            <w:b w:val="1"/>
                            <w:sz w:val="3"/>
                          </w:rPr>
                          <w:t xml:space="preserve">1</w:t>
                        </w:r>
                      </w:p>
                    </w:txbxContent>
                  </v:textbox>
                </v:rect>
                <v:rect id="Rectangle 107945" style="position:absolute;width:147;height:248;left:44255;top:12871;" filled="f" stroked="f">
                  <v:textbox inset="0,0,0,0">
                    <w:txbxContent>
                      <w:p>
                        <w:pPr>
                          <w:spacing w:before="0" w:after="160" w:line="259" w:lineRule="auto"/>
                          <w:ind w:left="0" w:firstLine="0"/>
                          <w:jc w:val="left"/>
                        </w:pPr>
                        <w:r>
                          <w:rPr>
                            <w:rFonts w:cs="Calibri" w:hAnsi="Calibri" w:eastAsia="Calibri" w:ascii="Calibri"/>
                            <w:b w:val="1"/>
                            <w:sz w:val="3"/>
                          </w:rPr>
                          <w:t xml:space="preserve">9</w:t>
                        </w:r>
                      </w:p>
                    </w:txbxContent>
                  </v:textbox>
                </v:rect>
                <v:rect id="Rectangle 107946" style="position:absolute;width:147;height:248;left:44896;top:12871;" filled="f" stroked="f">
                  <v:textbox inset="0,0,0,0">
                    <w:txbxContent>
                      <w:p>
                        <w:pPr>
                          <w:spacing w:before="0" w:after="160" w:line="259" w:lineRule="auto"/>
                          <w:ind w:left="0" w:firstLine="0"/>
                          <w:jc w:val="left"/>
                        </w:pPr>
                        <w:r>
                          <w:rPr>
                            <w:rFonts w:cs="Calibri" w:hAnsi="Calibri" w:eastAsia="Calibri" w:ascii="Calibri"/>
                            <w:b w:val="1"/>
                            <w:sz w:val="3"/>
                          </w:rPr>
                          <w:t xml:space="preserve">9</w:t>
                        </w:r>
                      </w:p>
                    </w:txbxContent>
                  </v:textbox>
                </v:rect>
                <v:rect id="Rectangle 107947" style="position:absolute;width:147;height:248;left:45537;top:12871;" filled="f" stroked="f">
                  <v:textbox inset="0,0,0,0">
                    <w:txbxContent>
                      <w:p>
                        <w:pPr>
                          <w:spacing w:before="0" w:after="160" w:line="259" w:lineRule="auto"/>
                          <w:ind w:left="0" w:firstLine="0"/>
                          <w:jc w:val="left"/>
                        </w:pPr>
                        <w:r>
                          <w:rPr>
                            <w:rFonts w:cs="Calibri" w:hAnsi="Calibri" w:eastAsia="Calibri" w:ascii="Calibri"/>
                            <w:b w:val="1"/>
                            <w:sz w:val="3"/>
                          </w:rPr>
                          <w:t xml:space="preserve">5</w:t>
                        </w:r>
                      </w:p>
                    </w:txbxContent>
                  </v:textbox>
                </v:rect>
                <v:rect id="Rectangle 107948" style="position:absolute;width:147;height:248;left:46178;top:12871;" filled="f" stroked="f">
                  <v:textbox inset="0,0,0,0">
                    <w:txbxContent>
                      <w:p>
                        <w:pPr>
                          <w:spacing w:before="0" w:after="160" w:line="259" w:lineRule="auto"/>
                          <w:ind w:left="0" w:firstLine="0"/>
                          <w:jc w:val="left"/>
                        </w:pPr>
                        <w:r>
                          <w:rPr>
                            <w:rFonts w:cs="Calibri" w:hAnsi="Calibri" w:eastAsia="Calibri" w:ascii="Calibri"/>
                            <w:b w:val="1"/>
                            <w:sz w:val="3"/>
                          </w:rPr>
                          <w:t xml:space="preserve">–</w:t>
                        </w:r>
                      </w:p>
                    </w:txbxContent>
                  </v:textbox>
                </v:rect>
                <v:rect id="Rectangle 107949" style="position:absolute;width:147;height:248;left:46804;top:12871;" filled="f" stroked="f">
                  <v:textbox inset="0,0,0,0">
                    <w:txbxContent>
                      <w:p>
                        <w:pPr>
                          <w:spacing w:before="0" w:after="160" w:line="259" w:lineRule="auto"/>
                          <w:ind w:left="0" w:firstLine="0"/>
                          <w:jc w:val="left"/>
                        </w:pPr>
                        <w:r>
                          <w:rPr>
                            <w:rFonts w:cs="Calibri" w:hAnsi="Calibri" w:eastAsia="Calibri" w:ascii="Calibri"/>
                            <w:b w:val="1"/>
                            <w:sz w:val="3"/>
                          </w:rPr>
                          <w:t xml:space="preserve">2</w:t>
                        </w:r>
                      </w:p>
                    </w:txbxContent>
                  </v:textbox>
                </v:rect>
                <v:rect id="Rectangle 107950" style="position:absolute;width:147;height:248;left:47445;top:12871;" filled="f" stroked="f">
                  <v:textbox inset="0,0,0,0">
                    <w:txbxContent>
                      <w:p>
                        <w:pPr>
                          <w:spacing w:before="0" w:after="160" w:line="259" w:lineRule="auto"/>
                          <w:ind w:left="0" w:firstLine="0"/>
                          <w:jc w:val="left"/>
                        </w:pPr>
                        <w:r>
                          <w:rPr>
                            <w:rFonts w:cs="Calibri" w:hAnsi="Calibri" w:eastAsia="Calibri" w:ascii="Calibri"/>
                            <w:b w:val="1"/>
                            <w:sz w:val="3"/>
                          </w:rPr>
                          <w:t xml:space="preserve">0</w:t>
                        </w:r>
                      </w:p>
                    </w:txbxContent>
                  </v:textbox>
                </v:rect>
                <v:rect id="Rectangle 107951" style="position:absolute;width:147;height:248;left:48086;top:12871;" filled="f" stroked="f">
                  <v:textbox inset="0,0,0,0">
                    <w:txbxContent>
                      <w:p>
                        <w:pPr>
                          <w:spacing w:before="0" w:after="160" w:line="259" w:lineRule="auto"/>
                          <w:ind w:left="0" w:firstLine="0"/>
                          <w:jc w:val="left"/>
                        </w:pPr>
                        <w:r>
                          <w:rPr>
                            <w:rFonts w:cs="Calibri" w:hAnsi="Calibri" w:eastAsia="Calibri" w:ascii="Calibri"/>
                            <w:b w:val="1"/>
                            <w:sz w:val="3"/>
                          </w:rPr>
                          <w:t xml:space="preserve">1</w:t>
                        </w:r>
                      </w:p>
                    </w:txbxContent>
                  </v:textbox>
                </v:rect>
                <v:rect id="Rectangle 107952" style="position:absolute;width:147;height:248;left:48727;top:12871;" filled="f" stroked="f">
                  <v:textbox inset="0,0,0,0">
                    <w:txbxContent>
                      <w:p>
                        <w:pPr>
                          <w:spacing w:before="0" w:after="160" w:line="259" w:lineRule="auto"/>
                          <w:ind w:left="0" w:firstLine="0"/>
                          <w:jc w:val="left"/>
                        </w:pPr>
                        <w:r>
                          <w:rPr>
                            <w:rFonts w:cs="Calibri" w:hAnsi="Calibri" w:eastAsia="Calibri" w:ascii="Calibri"/>
                            <w:b w:val="1"/>
                            <w:sz w:val="3"/>
                          </w:rPr>
                          <w:t xml:space="preserve">3</w:t>
                        </w:r>
                      </w:p>
                    </w:txbxContent>
                  </v:textbox>
                </v:rect>
                <v:rect id="Rectangle 107955" style="position:absolute;width:94;height:269;left:50089;top:12867;"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107954" style="position:absolute;width:94;height:269;left:49646;top:12867;" filled="f" stroked="f">
                  <v:textbox inset="0,0,0,0">
                    <w:txbxContent>
                      <w:p>
                        <w:pPr>
                          <w:spacing w:before="0" w:after="160" w:line="259" w:lineRule="auto"/>
                          <w:ind w:left="0" w:firstLine="0"/>
                          <w:jc w:val="left"/>
                        </w:pPr>
                        <w:r>
                          <w:rPr>
                            <w:rFonts w:cs="Calibri" w:hAnsi="Calibri" w:eastAsia="Calibri" w:ascii="Calibri"/>
                            <w:b w:val="1"/>
                            <w:sz w:val="3"/>
                          </w:rPr>
                          <w:t xml:space="preserve">г</w:t>
                        </w:r>
                      </w:p>
                    </w:txbxContent>
                  </v:textbox>
                </v:rect>
                <v:rect id="Rectangle 55293" style="position:absolute;width:70;height:295;left:50529;top:12836;" filled="f" stroked="f">
                  <v:textbox inset="0,0,0,0">
                    <w:txbxContent>
                      <w:p>
                        <w:pPr>
                          <w:spacing w:before="0" w:after="160" w:line="259" w:lineRule="auto"/>
                          <w:ind w:left="0" w:firstLine="0"/>
                          <w:jc w:val="left"/>
                        </w:pPr>
                        <w:r>
                          <w:rPr>
                            <w:rFonts w:cs="Calibri" w:hAnsi="Calibri" w:eastAsia="Calibri" w:ascii="Calibri"/>
                            <w:b w:val="1"/>
                            <w:sz w:val="3"/>
                          </w:rPr>
                          <w:t xml:space="preserve">.</w:t>
                        </w:r>
                      </w:p>
                    </w:txbxContent>
                  </v:textbox>
                </v:rect>
                <v:shape id="Shape 55294" style="position:absolute;width:58892;height:17642;left:0;top:0;" coordsize="5889281,1764214" path="m0,1764214l5889281,1764214l5889281,0l0,0x">
                  <v:stroke weight="0.139432pt" endcap="flat" joinstyle="round" on="true" color="#808080"/>
                  <v:fill on="false" color="#000000" opacity="0"/>
                </v:shape>
              </v:group>
            </w:pict>
          </mc:Fallback>
        </mc:AlternateContent>
      </w:r>
    </w:p>
    <w:p w:rsidR="002C0F56" w:rsidRDefault="00E67C6E">
      <w:pPr>
        <w:spacing w:after="5" w:line="270" w:lineRule="auto"/>
        <w:ind w:left="1181" w:right="488" w:hanging="10"/>
        <w:jc w:val="center"/>
      </w:pPr>
      <w:r>
        <w:rPr>
          <w:b/>
          <w:sz w:val="24"/>
        </w:rPr>
        <w:t xml:space="preserve">Рис.1. Среднегодовые темпы экономического роста, 2005-2013 гг. </w:t>
      </w:r>
    </w:p>
    <w:p w:rsidR="002C0F56" w:rsidRDefault="00E67C6E">
      <w:pPr>
        <w:spacing w:after="0" w:line="259" w:lineRule="auto"/>
        <w:ind w:left="1558" w:firstLine="0"/>
        <w:jc w:val="left"/>
      </w:pPr>
      <w:r>
        <w:t xml:space="preserve"> </w:t>
      </w:r>
    </w:p>
    <w:p w:rsidR="002C0F56" w:rsidRDefault="00E67C6E">
      <w:pPr>
        <w:spacing w:after="0"/>
        <w:ind w:left="994" w:right="302"/>
      </w:pPr>
      <w:r>
        <w:lastRenderedPageBreak/>
        <w:t>Если проанализировать динамику средней реальной заработной платы в экономически развитых странах, то из данных таблицы 2 можно увидеть, что темпы роста средней реальной заработной платы с 20</w:t>
      </w:r>
      <w:r>
        <w:t>08 года колеблются в пределах низкого и узкого диапазона. Такая картина особенно характерна для 2012 и 2013 года, когда уровень заработной платы практически не менялся. Это способствовало формированию экономической среды с низкой инфляцией. В таблице 2 ото</w:t>
      </w:r>
      <w:r>
        <w:t>бражена общая тенденция. В таких странах, как Франция и США, динамика средней реальной заработной платы соответствует этой тенденции. А, например, Канада демонстрируют более значительные темпы роста средней реальной заработной платы, что можно объяснить вс</w:t>
      </w:r>
      <w:r>
        <w:t xml:space="preserve">плеском цен на сырьевые товары, производимые в этой стране. И, напротив, заметное снижение наблюдается в Италии и Великобритании, где глубокая рецессия сопровождалась периодом беспрецендентного падения реальной заработной платы. Так, по данным Комиссии по </w:t>
      </w:r>
      <w:r>
        <w:t xml:space="preserve">минимальным выплатам, падение заработной платы в Великобритании оказалось самым резким со времени начала наблюдений в 1964 году [3, С. 6].   </w:t>
      </w:r>
    </w:p>
    <w:p w:rsidR="002C0F56" w:rsidRDefault="00E67C6E">
      <w:pPr>
        <w:spacing w:after="0" w:line="259" w:lineRule="auto"/>
        <w:ind w:left="1558" w:firstLine="0"/>
        <w:jc w:val="left"/>
      </w:pPr>
      <w:r>
        <w:t xml:space="preserve"> </w:t>
      </w:r>
    </w:p>
    <w:p w:rsidR="002C0F56" w:rsidRDefault="00E67C6E">
      <w:pPr>
        <w:spacing w:after="5" w:line="271" w:lineRule="auto"/>
        <w:ind w:left="4385" w:right="396" w:hanging="2705"/>
        <w:jc w:val="left"/>
      </w:pPr>
      <w:r>
        <w:rPr>
          <w:i/>
          <w:sz w:val="24"/>
        </w:rPr>
        <w:t>Таблица 2</w:t>
      </w:r>
      <w:r>
        <w:rPr>
          <w:sz w:val="24"/>
        </w:rPr>
        <w:t xml:space="preserve"> – </w:t>
      </w:r>
      <w:r>
        <w:rPr>
          <w:b/>
          <w:sz w:val="24"/>
        </w:rPr>
        <w:t xml:space="preserve">Рост средней реальной заработной платы в  экономически развитых странах, входящих в «G7» </w:t>
      </w:r>
    </w:p>
    <w:tbl>
      <w:tblPr>
        <w:tblStyle w:val="TableGrid"/>
        <w:tblW w:w="9739" w:type="dxa"/>
        <w:tblInd w:w="994" w:type="dxa"/>
        <w:tblCellMar>
          <w:top w:w="14" w:type="dxa"/>
          <w:left w:w="108" w:type="dxa"/>
          <w:bottom w:w="0" w:type="dxa"/>
          <w:right w:w="115" w:type="dxa"/>
        </w:tblCellMar>
        <w:tblLook w:val="04A0" w:firstRow="1" w:lastRow="0" w:firstColumn="1" w:lastColumn="0" w:noHBand="0" w:noVBand="1"/>
      </w:tblPr>
      <w:tblGrid>
        <w:gridCol w:w="980"/>
        <w:gridCol w:w="1924"/>
        <w:gridCol w:w="1155"/>
        <w:gridCol w:w="939"/>
        <w:gridCol w:w="1321"/>
        <w:gridCol w:w="1058"/>
        <w:gridCol w:w="1198"/>
        <w:gridCol w:w="1164"/>
      </w:tblGrid>
      <w:tr w:rsidR="002C0F56">
        <w:trPr>
          <w:trHeight w:val="864"/>
        </w:trPr>
        <w:tc>
          <w:tcPr>
            <w:tcW w:w="107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8" w:firstLine="0"/>
              <w:jc w:val="center"/>
            </w:pPr>
            <w:r>
              <w:rPr>
                <w:sz w:val="24"/>
              </w:rPr>
              <w:t xml:space="preserve">Годы </w:t>
            </w:r>
          </w:p>
        </w:tc>
        <w:tc>
          <w:tcPr>
            <w:tcW w:w="133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Великобритания </w:t>
            </w:r>
          </w:p>
        </w:tc>
        <w:tc>
          <w:tcPr>
            <w:tcW w:w="124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2" w:firstLine="0"/>
              <w:jc w:val="center"/>
            </w:pPr>
            <w:r>
              <w:rPr>
                <w:sz w:val="24"/>
              </w:rPr>
              <w:t xml:space="preserve">Канада </w:t>
            </w:r>
          </w:p>
        </w:tc>
        <w:tc>
          <w:tcPr>
            <w:tcW w:w="103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9" w:firstLine="0"/>
              <w:jc w:val="center"/>
            </w:pPr>
            <w:r>
              <w:rPr>
                <w:sz w:val="24"/>
              </w:rPr>
              <w:t xml:space="preserve">ФРГ </w:t>
            </w:r>
          </w:p>
        </w:tc>
        <w:tc>
          <w:tcPr>
            <w:tcW w:w="140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1" w:firstLine="0"/>
              <w:jc w:val="center"/>
            </w:pPr>
            <w:r>
              <w:rPr>
                <w:sz w:val="24"/>
              </w:rPr>
              <w:t xml:space="preserve">Франция </w:t>
            </w:r>
          </w:p>
        </w:tc>
        <w:tc>
          <w:tcPr>
            <w:tcW w:w="110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58" w:firstLine="0"/>
              <w:jc w:val="left"/>
            </w:pPr>
            <w:r>
              <w:rPr>
                <w:sz w:val="24"/>
              </w:rPr>
              <w:t xml:space="preserve">США </w:t>
            </w:r>
          </w:p>
        </w:tc>
        <w:tc>
          <w:tcPr>
            <w:tcW w:w="128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13" w:firstLine="0"/>
              <w:jc w:val="center"/>
            </w:pPr>
            <w:r>
              <w:rPr>
                <w:sz w:val="24"/>
              </w:rPr>
              <w:t xml:space="preserve">Япония </w:t>
            </w:r>
          </w:p>
        </w:tc>
        <w:tc>
          <w:tcPr>
            <w:tcW w:w="125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sz w:val="24"/>
              </w:rPr>
              <w:t xml:space="preserve">Италия </w:t>
            </w:r>
          </w:p>
        </w:tc>
      </w:tr>
      <w:tr w:rsidR="002C0F56">
        <w:trPr>
          <w:trHeight w:val="291"/>
        </w:trPr>
        <w:tc>
          <w:tcPr>
            <w:tcW w:w="107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2008 </w:t>
            </w:r>
          </w:p>
        </w:tc>
        <w:tc>
          <w:tcPr>
            <w:tcW w:w="133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center"/>
            </w:pPr>
            <w:r>
              <w:rPr>
                <w:sz w:val="24"/>
              </w:rPr>
              <w:t xml:space="preserve">1,4% </w:t>
            </w:r>
          </w:p>
        </w:tc>
        <w:tc>
          <w:tcPr>
            <w:tcW w:w="12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-0,3% </w:t>
            </w:r>
          </w:p>
        </w:tc>
        <w:tc>
          <w:tcPr>
            <w:tcW w:w="10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center"/>
            </w:pPr>
            <w:r>
              <w:rPr>
                <w:sz w:val="24"/>
              </w:rPr>
              <w:t xml:space="preserve">-0,5% </w:t>
            </w:r>
          </w:p>
        </w:tc>
        <w:tc>
          <w:tcPr>
            <w:tcW w:w="14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1,3% </w:t>
            </w:r>
          </w:p>
        </w:tc>
        <w:tc>
          <w:tcPr>
            <w:tcW w:w="11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-0,7% </w:t>
            </w:r>
          </w:p>
        </w:tc>
        <w:tc>
          <w:tcPr>
            <w:tcW w:w="12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-2,0% </w:t>
            </w:r>
          </w:p>
        </w:tc>
        <w:tc>
          <w:tcPr>
            <w:tcW w:w="125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-0,3% </w:t>
            </w:r>
          </w:p>
        </w:tc>
      </w:tr>
      <w:tr w:rsidR="002C0F56">
        <w:trPr>
          <w:trHeight w:val="290"/>
        </w:trPr>
        <w:tc>
          <w:tcPr>
            <w:tcW w:w="107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2009 </w:t>
            </w:r>
          </w:p>
        </w:tc>
        <w:tc>
          <w:tcPr>
            <w:tcW w:w="133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center"/>
            </w:pPr>
            <w:r>
              <w:rPr>
                <w:sz w:val="24"/>
              </w:rPr>
              <w:t xml:space="preserve">0,2% </w:t>
            </w:r>
          </w:p>
        </w:tc>
        <w:tc>
          <w:tcPr>
            <w:tcW w:w="12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1,9% </w:t>
            </w:r>
          </w:p>
        </w:tc>
        <w:tc>
          <w:tcPr>
            <w:tcW w:w="10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6" w:firstLine="0"/>
              <w:jc w:val="center"/>
            </w:pPr>
            <w:r>
              <w:rPr>
                <w:sz w:val="24"/>
              </w:rPr>
              <w:t xml:space="preserve">-0,6% </w:t>
            </w:r>
          </w:p>
        </w:tc>
        <w:tc>
          <w:tcPr>
            <w:tcW w:w="14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1,9% </w:t>
            </w:r>
          </w:p>
        </w:tc>
        <w:tc>
          <w:tcPr>
            <w:tcW w:w="11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0,2% </w:t>
            </w:r>
          </w:p>
        </w:tc>
        <w:tc>
          <w:tcPr>
            <w:tcW w:w="12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-3,0% </w:t>
            </w:r>
          </w:p>
        </w:tc>
        <w:tc>
          <w:tcPr>
            <w:tcW w:w="125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-1,6% </w:t>
            </w:r>
          </w:p>
        </w:tc>
      </w:tr>
      <w:tr w:rsidR="002C0F56">
        <w:trPr>
          <w:trHeight w:val="290"/>
        </w:trPr>
        <w:tc>
          <w:tcPr>
            <w:tcW w:w="107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2010 </w:t>
            </w:r>
          </w:p>
        </w:tc>
        <w:tc>
          <w:tcPr>
            <w:tcW w:w="133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-1,8% </w:t>
            </w:r>
          </w:p>
        </w:tc>
        <w:tc>
          <w:tcPr>
            <w:tcW w:w="12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2,8% </w:t>
            </w:r>
          </w:p>
        </w:tc>
        <w:tc>
          <w:tcPr>
            <w:tcW w:w="10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1,2% </w:t>
            </w:r>
          </w:p>
        </w:tc>
        <w:tc>
          <w:tcPr>
            <w:tcW w:w="14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1,9% </w:t>
            </w:r>
          </w:p>
        </w:tc>
        <w:tc>
          <w:tcPr>
            <w:tcW w:w="11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1,0% </w:t>
            </w:r>
          </w:p>
        </w:tc>
        <w:tc>
          <w:tcPr>
            <w:tcW w:w="12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-1,8% </w:t>
            </w:r>
          </w:p>
        </w:tc>
        <w:tc>
          <w:tcPr>
            <w:tcW w:w="125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-0,4% </w:t>
            </w:r>
          </w:p>
        </w:tc>
      </w:tr>
      <w:tr w:rsidR="002C0F56">
        <w:trPr>
          <w:trHeight w:val="288"/>
        </w:trPr>
        <w:tc>
          <w:tcPr>
            <w:tcW w:w="107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2011 </w:t>
            </w:r>
          </w:p>
        </w:tc>
        <w:tc>
          <w:tcPr>
            <w:tcW w:w="133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-5,2% </w:t>
            </w:r>
          </w:p>
        </w:tc>
        <w:tc>
          <w:tcPr>
            <w:tcW w:w="12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2,7% </w:t>
            </w:r>
          </w:p>
        </w:tc>
        <w:tc>
          <w:tcPr>
            <w:tcW w:w="10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1,8% </w:t>
            </w:r>
          </w:p>
        </w:tc>
        <w:tc>
          <w:tcPr>
            <w:tcW w:w="14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1,8% </w:t>
            </w:r>
          </w:p>
        </w:tc>
        <w:tc>
          <w:tcPr>
            <w:tcW w:w="11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0,7% </w:t>
            </w:r>
          </w:p>
        </w:tc>
        <w:tc>
          <w:tcPr>
            <w:tcW w:w="12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w:t>
            </w:r>
            <w:r>
              <w:rPr>
                <w:sz w:val="24"/>
              </w:rPr>
              <w:t xml:space="preserve">1,6% </w:t>
            </w:r>
          </w:p>
        </w:tc>
        <w:tc>
          <w:tcPr>
            <w:tcW w:w="125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-2,8% </w:t>
            </w:r>
          </w:p>
        </w:tc>
      </w:tr>
      <w:tr w:rsidR="002C0F56">
        <w:trPr>
          <w:trHeight w:val="290"/>
        </w:trPr>
        <w:tc>
          <w:tcPr>
            <w:tcW w:w="107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2012 </w:t>
            </w:r>
          </w:p>
        </w:tc>
        <w:tc>
          <w:tcPr>
            <w:tcW w:w="133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-6,9% </w:t>
            </w:r>
          </w:p>
        </w:tc>
        <w:tc>
          <w:tcPr>
            <w:tcW w:w="12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4,5% </w:t>
            </w:r>
          </w:p>
        </w:tc>
        <w:tc>
          <w:tcPr>
            <w:tcW w:w="10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2,1% </w:t>
            </w:r>
          </w:p>
        </w:tc>
        <w:tc>
          <w:tcPr>
            <w:tcW w:w="14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1,7% </w:t>
            </w:r>
          </w:p>
        </w:tc>
        <w:tc>
          <w:tcPr>
            <w:tcW w:w="11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1,2% </w:t>
            </w:r>
          </w:p>
        </w:tc>
        <w:tc>
          <w:tcPr>
            <w:tcW w:w="12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-1,0% </w:t>
            </w:r>
          </w:p>
        </w:tc>
        <w:tc>
          <w:tcPr>
            <w:tcW w:w="125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-5,7% </w:t>
            </w:r>
          </w:p>
        </w:tc>
      </w:tr>
      <w:tr w:rsidR="002C0F56">
        <w:trPr>
          <w:trHeight w:val="288"/>
        </w:trPr>
        <w:tc>
          <w:tcPr>
            <w:tcW w:w="107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2013 </w:t>
            </w:r>
          </w:p>
        </w:tc>
        <w:tc>
          <w:tcPr>
            <w:tcW w:w="133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-7,1% </w:t>
            </w:r>
          </w:p>
        </w:tc>
        <w:tc>
          <w:tcPr>
            <w:tcW w:w="124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5,0% </w:t>
            </w:r>
          </w:p>
        </w:tc>
        <w:tc>
          <w:tcPr>
            <w:tcW w:w="10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2,7% </w:t>
            </w:r>
          </w:p>
        </w:tc>
        <w:tc>
          <w:tcPr>
            <w:tcW w:w="140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2,3% </w:t>
            </w:r>
          </w:p>
        </w:tc>
        <w:tc>
          <w:tcPr>
            <w:tcW w:w="110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1,4% </w:t>
            </w:r>
          </w:p>
        </w:tc>
        <w:tc>
          <w:tcPr>
            <w:tcW w:w="128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-1,3% </w:t>
            </w:r>
          </w:p>
        </w:tc>
        <w:tc>
          <w:tcPr>
            <w:tcW w:w="125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-5,7% </w:t>
            </w:r>
          </w:p>
        </w:tc>
      </w:tr>
    </w:tbl>
    <w:p w:rsidR="002C0F56" w:rsidRDefault="00E67C6E">
      <w:pPr>
        <w:spacing w:after="23" w:line="259" w:lineRule="auto"/>
        <w:ind w:left="1558" w:firstLine="0"/>
        <w:jc w:val="left"/>
      </w:pPr>
      <w:r>
        <w:t xml:space="preserve"> </w:t>
      </w:r>
    </w:p>
    <w:p w:rsidR="002C0F56" w:rsidRDefault="00E67C6E">
      <w:pPr>
        <w:ind w:left="994" w:right="302"/>
      </w:pPr>
      <w:r>
        <w:t xml:space="preserve">       Во многих развивающихся странах и странах с формирующимся рынком </w:t>
      </w:r>
      <w:r>
        <w:t>средняя реальная заработная плата росла быстрее, чем в экономически развитых странах. В таблице 3 показаны годовые темпы роста средней реальной заработной платы по регионам мира. Сравнивая данные таблицы 2 и таблицы 3, можно с уверенностью сделать вывод, ч</w:t>
      </w:r>
      <w:r>
        <w:t xml:space="preserve">то практически во все годы рассматриваемого периода сохранялась такая тенденция. </w:t>
      </w:r>
    </w:p>
    <w:p w:rsidR="002C0F56" w:rsidRDefault="00E67C6E">
      <w:pPr>
        <w:spacing w:after="0" w:line="259" w:lineRule="auto"/>
        <w:ind w:left="1558" w:firstLine="0"/>
        <w:jc w:val="left"/>
      </w:pPr>
      <w:r>
        <w:rPr>
          <w:i/>
        </w:rPr>
        <w:t xml:space="preserve"> </w:t>
      </w:r>
    </w:p>
    <w:p w:rsidR="002C0F56" w:rsidRDefault="00E67C6E">
      <w:pPr>
        <w:spacing w:after="5" w:line="271" w:lineRule="auto"/>
        <w:ind w:left="2770" w:right="396" w:hanging="1195"/>
        <w:jc w:val="left"/>
      </w:pPr>
      <w:r>
        <w:rPr>
          <w:i/>
          <w:sz w:val="24"/>
        </w:rPr>
        <w:t>Таблица 3</w:t>
      </w:r>
      <w:r>
        <w:rPr>
          <w:sz w:val="24"/>
        </w:rPr>
        <w:t xml:space="preserve"> – </w:t>
      </w:r>
      <w:r>
        <w:rPr>
          <w:b/>
          <w:sz w:val="24"/>
        </w:rPr>
        <w:t xml:space="preserve">Рост средней реальной заработной платы в  развивающихся странах и странах с формирующимся рынком по регионами мира </w:t>
      </w:r>
    </w:p>
    <w:p w:rsidR="002C0F56" w:rsidRDefault="00E67C6E">
      <w:pPr>
        <w:spacing w:after="0" w:line="259" w:lineRule="auto"/>
        <w:ind w:left="1558" w:firstLine="0"/>
        <w:jc w:val="left"/>
      </w:pPr>
      <w:r>
        <w:t xml:space="preserve"> </w:t>
      </w:r>
    </w:p>
    <w:tbl>
      <w:tblPr>
        <w:tblStyle w:val="TableGrid"/>
        <w:tblW w:w="9758" w:type="dxa"/>
        <w:tblInd w:w="994" w:type="dxa"/>
        <w:tblCellMar>
          <w:top w:w="14" w:type="dxa"/>
          <w:left w:w="115" w:type="dxa"/>
          <w:bottom w:w="0" w:type="dxa"/>
          <w:right w:w="101" w:type="dxa"/>
        </w:tblCellMar>
        <w:tblLook w:val="04A0" w:firstRow="1" w:lastRow="0" w:firstColumn="1" w:lastColumn="0" w:noHBand="0" w:noVBand="1"/>
      </w:tblPr>
      <w:tblGrid>
        <w:gridCol w:w="1540"/>
        <w:gridCol w:w="1642"/>
        <w:gridCol w:w="1646"/>
        <w:gridCol w:w="1636"/>
        <w:gridCol w:w="1645"/>
        <w:gridCol w:w="1649"/>
      </w:tblGrid>
      <w:tr w:rsidR="002C0F56">
        <w:trPr>
          <w:trHeight w:val="1114"/>
        </w:trPr>
        <w:tc>
          <w:tcPr>
            <w:tcW w:w="153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18" w:line="259" w:lineRule="auto"/>
              <w:ind w:left="44" w:firstLine="0"/>
              <w:jc w:val="center"/>
            </w:pPr>
            <w:r>
              <w:rPr>
                <w:sz w:val="24"/>
              </w:rPr>
              <w:lastRenderedPageBreak/>
              <w:t xml:space="preserve"> </w:t>
            </w:r>
          </w:p>
          <w:p w:rsidR="002C0F56" w:rsidRDefault="00E67C6E">
            <w:pPr>
              <w:spacing w:after="0" w:line="259" w:lineRule="auto"/>
              <w:ind w:left="0" w:right="17" w:firstLine="0"/>
              <w:jc w:val="center"/>
            </w:pPr>
            <w:r>
              <w:rPr>
                <w:sz w:val="24"/>
              </w:rPr>
              <w:t xml:space="preserve">Годы </w:t>
            </w:r>
          </w:p>
        </w:tc>
        <w:tc>
          <w:tcPr>
            <w:tcW w:w="164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20" w:line="259" w:lineRule="auto"/>
              <w:ind w:left="45" w:firstLine="0"/>
              <w:jc w:val="center"/>
            </w:pPr>
            <w:r>
              <w:rPr>
                <w:sz w:val="24"/>
              </w:rPr>
              <w:t xml:space="preserve"> </w:t>
            </w:r>
          </w:p>
          <w:p w:rsidR="002C0F56" w:rsidRDefault="00E67C6E">
            <w:pPr>
              <w:spacing w:after="0" w:line="259" w:lineRule="auto"/>
              <w:ind w:left="0" w:right="15" w:firstLine="0"/>
              <w:jc w:val="center"/>
            </w:pPr>
            <w:r>
              <w:rPr>
                <w:sz w:val="24"/>
              </w:rPr>
              <w:t xml:space="preserve">Африка </w:t>
            </w:r>
          </w:p>
        </w:tc>
        <w:tc>
          <w:tcPr>
            <w:tcW w:w="164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18" w:line="259" w:lineRule="auto"/>
              <w:ind w:left="46" w:firstLine="0"/>
              <w:jc w:val="center"/>
            </w:pPr>
            <w:r>
              <w:rPr>
                <w:sz w:val="24"/>
              </w:rPr>
              <w:t xml:space="preserve"> </w:t>
            </w:r>
          </w:p>
          <w:p w:rsidR="002C0F56" w:rsidRDefault="00E67C6E">
            <w:pPr>
              <w:spacing w:after="0" w:line="259" w:lineRule="auto"/>
              <w:ind w:left="0" w:right="15" w:firstLine="0"/>
              <w:jc w:val="center"/>
            </w:pPr>
            <w:r>
              <w:rPr>
                <w:sz w:val="24"/>
              </w:rPr>
              <w:t xml:space="preserve">Азия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4" w:firstLine="0"/>
              <w:jc w:val="center"/>
            </w:pPr>
            <w:r>
              <w:rPr>
                <w:sz w:val="24"/>
              </w:rPr>
              <w:t xml:space="preserve">Восточная </w:t>
            </w:r>
          </w:p>
          <w:p w:rsidR="002C0F56" w:rsidRDefault="00E67C6E">
            <w:pPr>
              <w:spacing w:after="42" w:line="238" w:lineRule="auto"/>
              <w:ind w:left="0" w:firstLine="0"/>
              <w:jc w:val="center"/>
            </w:pPr>
            <w:r>
              <w:rPr>
                <w:sz w:val="24"/>
              </w:rPr>
              <w:t xml:space="preserve">Европа и Центральная </w:t>
            </w:r>
          </w:p>
          <w:p w:rsidR="002C0F56" w:rsidRDefault="00E67C6E">
            <w:pPr>
              <w:spacing w:after="0" w:line="259" w:lineRule="auto"/>
              <w:ind w:left="0" w:right="9" w:firstLine="0"/>
              <w:jc w:val="center"/>
            </w:pPr>
            <w:r>
              <w:rPr>
                <w:sz w:val="24"/>
              </w:rPr>
              <w:t xml:space="preserve">Азия </w:t>
            </w:r>
          </w:p>
        </w:tc>
        <w:tc>
          <w:tcPr>
            <w:tcW w:w="1645" w:type="dxa"/>
            <w:tcBorders>
              <w:top w:val="single" w:sz="4" w:space="0" w:color="000000"/>
              <w:left w:val="single" w:sz="7"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Латинская Америка </w:t>
            </w:r>
          </w:p>
        </w:tc>
        <w:tc>
          <w:tcPr>
            <w:tcW w:w="164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Ближний Восток </w:t>
            </w:r>
          </w:p>
        </w:tc>
      </w:tr>
      <w:tr w:rsidR="002C0F56">
        <w:trPr>
          <w:trHeight w:val="286"/>
        </w:trPr>
        <w:tc>
          <w:tcPr>
            <w:tcW w:w="15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2008 </w:t>
            </w:r>
          </w:p>
        </w:tc>
        <w:tc>
          <w:tcPr>
            <w:tcW w:w="16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3,7% </w:t>
            </w:r>
          </w:p>
        </w:tc>
        <w:tc>
          <w:tcPr>
            <w:tcW w:w="16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5,1%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3" w:firstLine="0"/>
              <w:jc w:val="center"/>
            </w:pPr>
            <w:r>
              <w:rPr>
                <w:sz w:val="24"/>
              </w:rPr>
              <w:t xml:space="preserve">8,3% </w:t>
            </w:r>
          </w:p>
        </w:tc>
        <w:tc>
          <w:tcPr>
            <w:tcW w:w="1645" w:type="dxa"/>
            <w:tcBorders>
              <w:top w:val="single" w:sz="4" w:space="0" w:color="000000"/>
              <w:left w:val="single" w:sz="7" w:space="0" w:color="000000"/>
              <w:bottom w:val="single" w:sz="4" w:space="0" w:color="000000"/>
              <w:right w:val="single" w:sz="4" w:space="0" w:color="000000"/>
            </w:tcBorders>
          </w:tcPr>
          <w:p w:rsidR="002C0F56" w:rsidRDefault="00E67C6E">
            <w:pPr>
              <w:spacing w:after="0" w:line="259" w:lineRule="auto"/>
              <w:ind w:left="0" w:right="5" w:firstLine="0"/>
              <w:jc w:val="center"/>
            </w:pPr>
            <w:r>
              <w:rPr>
                <w:sz w:val="24"/>
              </w:rPr>
              <w:t xml:space="preserve">0,2% </w:t>
            </w:r>
          </w:p>
        </w:tc>
        <w:tc>
          <w:tcPr>
            <w:tcW w:w="16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8" w:firstLine="0"/>
              <w:jc w:val="center"/>
            </w:pPr>
            <w:r>
              <w:rPr>
                <w:sz w:val="24"/>
              </w:rPr>
              <w:t xml:space="preserve">-1,5% </w:t>
            </w:r>
          </w:p>
        </w:tc>
      </w:tr>
      <w:tr w:rsidR="002C0F56">
        <w:trPr>
          <w:trHeight w:val="286"/>
        </w:trPr>
        <w:tc>
          <w:tcPr>
            <w:tcW w:w="15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2009 </w:t>
            </w:r>
          </w:p>
        </w:tc>
        <w:tc>
          <w:tcPr>
            <w:tcW w:w="16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1,9% </w:t>
            </w:r>
          </w:p>
        </w:tc>
        <w:tc>
          <w:tcPr>
            <w:tcW w:w="16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6,5%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5" w:firstLine="0"/>
              <w:jc w:val="center"/>
            </w:pPr>
            <w:r>
              <w:rPr>
                <w:sz w:val="24"/>
              </w:rPr>
              <w:t xml:space="preserve">-3,4% </w:t>
            </w:r>
          </w:p>
        </w:tc>
        <w:tc>
          <w:tcPr>
            <w:tcW w:w="1645" w:type="dxa"/>
            <w:tcBorders>
              <w:top w:val="single" w:sz="4" w:space="0" w:color="000000"/>
              <w:left w:val="single" w:sz="7" w:space="0" w:color="000000"/>
              <w:bottom w:val="single" w:sz="4" w:space="0" w:color="000000"/>
              <w:right w:val="single" w:sz="4" w:space="0" w:color="000000"/>
            </w:tcBorders>
          </w:tcPr>
          <w:p w:rsidR="002C0F56" w:rsidRDefault="00E67C6E">
            <w:pPr>
              <w:spacing w:after="0" w:line="259" w:lineRule="auto"/>
              <w:ind w:left="0" w:right="5" w:firstLine="0"/>
              <w:jc w:val="center"/>
            </w:pPr>
            <w:r>
              <w:rPr>
                <w:sz w:val="24"/>
              </w:rPr>
              <w:t xml:space="preserve">0,8% </w:t>
            </w:r>
          </w:p>
        </w:tc>
        <w:tc>
          <w:tcPr>
            <w:tcW w:w="16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1,1% </w:t>
            </w:r>
          </w:p>
        </w:tc>
      </w:tr>
      <w:tr w:rsidR="002C0F56">
        <w:trPr>
          <w:trHeight w:val="286"/>
        </w:trPr>
        <w:tc>
          <w:tcPr>
            <w:tcW w:w="15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2010 </w:t>
            </w:r>
          </w:p>
        </w:tc>
        <w:tc>
          <w:tcPr>
            <w:tcW w:w="16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5,8% </w:t>
            </w:r>
          </w:p>
        </w:tc>
        <w:tc>
          <w:tcPr>
            <w:tcW w:w="16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6,3%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3" w:firstLine="0"/>
              <w:jc w:val="center"/>
            </w:pPr>
            <w:r>
              <w:rPr>
                <w:sz w:val="24"/>
              </w:rPr>
              <w:t xml:space="preserve">6,0% </w:t>
            </w:r>
          </w:p>
        </w:tc>
        <w:tc>
          <w:tcPr>
            <w:tcW w:w="1645" w:type="dxa"/>
            <w:tcBorders>
              <w:top w:val="single" w:sz="4" w:space="0" w:color="000000"/>
              <w:left w:val="single" w:sz="7" w:space="0" w:color="000000"/>
              <w:bottom w:val="single" w:sz="4" w:space="0" w:color="000000"/>
              <w:right w:val="single" w:sz="4" w:space="0" w:color="000000"/>
            </w:tcBorders>
          </w:tcPr>
          <w:p w:rsidR="002C0F56" w:rsidRDefault="00E67C6E">
            <w:pPr>
              <w:spacing w:after="0" w:line="259" w:lineRule="auto"/>
              <w:ind w:left="0" w:right="5" w:firstLine="0"/>
              <w:jc w:val="center"/>
            </w:pPr>
            <w:r>
              <w:rPr>
                <w:sz w:val="24"/>
              </w:rPr>
              <w:t xml:space="preserve">0,9% </w:t>
            </w:r>
          </w:p>
        </w:tc>
        <w:tc>
          <w:tcPr>
            <w:tcW w:w="16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1,1% </w:t>
            </w:r>
          </w:p>
        </w:tc>
      </w:tr>
      <w:tr w:rsidR="002C0F56">
        <w:trPr>
          <w:trHeight w:val="288"/>
        </w:trPr>
        <w:tc>
          <w:tcPr>
            <w:tcW w:w="15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2011 </w:t>
            </w:r>
          </w:p>
        </w:tc>
        <w:tc>
          <w:tcPr>
            <w:tcW w:w="16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7" w:firstLine="0"/>
              <w:jc w:val="center"/>
            </w:pPr>
            <w:r>
              <w:rPr>
                <w:sz w:val="24"/>
              </w:rPr>
              <w:t xml:space="preserve">-5,5% </w:t>
            </w:r>
          </w:p>
        </w:tc>
        <w:tc>
          <w:tcPr>
            <w:tcW w:w="16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5,4%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3" w:firstLine="0"/>
              <w:jc w:val="center"/>
            </w:pPr>
            <w:r>
              <w:rPr>
                <w:sz w:val="24"/>
              </w:rPr>
              <w:t xml:space="preserve">4,5% </w:t>
            </w:r>
          </w:p>
        </w:tc>
        <w:tc>
          <w:tcPr>
            <w:tcW w:w="1645" w:type="dxa"/>
            <w:tcBorders>
              <w:top w:val="single" w:sz="4" w:space="0" w:color="000000"/>
              <w:left w:val="single" w:sz="7" w:space="0" w:color="000000"/>
              <w:bottom w:val="single" w:sz="4" w:space="0" w:color="000000"/>
              <w:right w:val="single" w:sz="4" w:space="0" w:color="000000"/>
            </w:tcBorders>
          </w:tcPr>
          <w:p w:rsidR="002C0F56" w:rsidRDefault="00E67C6E">
            <w:pPr>
              <w:spacing w:after="0" w:line="259" w:lineRule="auto"/>
              <w:ind w:left="0" w:right="5" w:firstLine="0"/>
              <w:jc w:val="center"/>
            </w:pPr>
            <w:r>
              <w:rPr>
                <w:sz w:val="24"/>
              </w:rPr>
              <w:t xml:space="preserve">1,1% </w:t>
            </w:r>
          </w:p>
        </w:tc>
        <w:tc>
          <w:tcPr>
            <w:tcW w:w="16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0,1% </w:t>
            </w:r>
          </w:p>
        </w:tc>
      </w:tr>
      <w:tr w:rsidR="002C0F56">
        <w:trPr>
          <w:trHeight w:val="286"/>
        </w:trPr>
        <w:tc>
          <w:tcPr>
            <w:tcW w:w="15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2012 </w:t>
            </w:r>
          </w:p>
        </w:tc>
        <w:tc>
          <w:tcPr>
            <w:tcW w:w="16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1,2% </w:t>
            </w:r>
          </w:p>
        </w:tc>
        <w:tc>
          <w:tcPr>
            <w:tcW w:w="16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5,9%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3" w:firstLine="0"/>
              <w:jc w:val="center"/>
            </w:pPr>
            <w:r>
              <w:rPr>
                <w:sz w:val="24"/>
              </w:rPr>
              <w:t xml:space="preserve">8,4% </w:t>
            </w:r>
          </w:p>
        </w:tc>
        <w:tc>
          <w:tcPr>
            <w:tcW w:w="1645" w:type="dxa"/>
            <w:tcBorders>
              <w:top w:val="single" w:sz="4" w:space="0" w:color="000000"/>
              <w:left w:val="single" w:sz="7" w:space="0" w:color="000000"/>
              <w:bottom w:val="single" w:sz="4" w:space="0" w:color="000000"/>
              <w:right w:val="single" w:sz="4" w:space="0" w:color="000000"/>
            </w:tcBorders>
          </w:tcPr>
          <w:p w:rsidR="002C0F56" w:rsidRDefault="00E67C6E">
            <w:pPr>
              <w:spacing w:after="0" w:line="259" w:lineRule="auto"/>
              <w:ind w:left="0" w:right="5" w:firstLine="0"/>
              <w:jc w:val="center"/>
            </w:pPr>
            <w:r>
              <w:rPr>
                <w:sz w:val="24"/>
              </w:rPr>
              <w:t xml:space="preserve">2,3% </w:t>
            </w:r>
          </w:p>
        </w:tc>
        <w:tc>
          <w:tcPr>
            <w:tcW w:w="16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5,0% </w:t>
            </w:r>
          </w:p>
        </w:tc>
      </w:tr>
      <w:tr w:rsidR="002C0F56">
        <w:trPr>
          <w:trHeight w:val="286"/>
        </w:trPr>
        <w:tc>
          <w:tcPr>
            <w:tcW w:w="15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2013</w:t>
            </w:r>
            <w:r>
              <w:rPr>
                <w:sz w:val="24"/>
              </w:rPr>
              <w:t xml:space="preserve"> </w:t>
            </w:r>
          </w:p>
        </w:tc>
        <w:tc>
          <w:tcPr>
            <w:tcW w:w="16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0,9% </w:t>
            </w:r>
          </w:p>
        </w:tc>
        <w:tc>
          <w:tcPr>
            <w:tcW w:w="164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4" w:firstLine="0"/>
              <w:jc w:val="center"/>
            </w:pPr>
            <w:r>
              <w:rPr>
                <w:sz w:val="24"/>
              </w:rPr>
              <w:t xml:space="preserve">6,0% </w:t>
            </w:r>
          </w:p>
        </w:tc>
        <w:tc>
          <w:tcPr>
            <w:tcW w:w="1636" w:type="dxa"/>
            <w:tcBorders>
              <w:top w:val="single" w:sz="4" w:space="0" w:color="000000"/>
              <w:left w:val="single" w:sz="4" w:space="0" w:color="000000"/>
              <w:bottom w:val="single" w:sz="4" w:space="0" w:color="000000"/>
              <w:right w:val="single" w:sz="7" w:space="0" w:color="000000"/>
            </w:tcBorders>
          </w:tcPr>
          <w:p w:rsidR="002C0F56" w:rsidRDefault="00E67C6E">
            <w:pPr>
              <w:spacing w:after="0" w:line="259" w:lineRule="auto"/>
              <w:ind w:left="0" w:right="17" w:firstLine="0"/>
              <w:jc w:val="center"/>
            </w:pPr>
            <w:r>
              <w:rPr>
                <w:sz w:val="24"/>
              </w:rPr>
              <w:t xml:space="preserve">5,8% </w:t>
            </w:r>
          </w:p>
        </w:tc>
        <w:tc>
          <w:tcPr>
            <w:tcW w:w="1645" w:type="dxa"/>
            <w:tcBorders>
              <w:top w:val="single" w:sz="4" w:space="0" w:color="000000"/>
              <w:left w:val="single" w:sz="7" w:space="0" w:color="000000"/>
              <w:bottom w:val="single" w:sz="4" w:space="0" w:color="000000"/>
              <w:right w:val="single" w:sz="4" w:space="0" w:color="000000"/>
            </w:tcBorders>
          </w:tcPr>
          <w:p w:rsidR="002C0F56" w:rsidRDefault="00E67C6E">
            <w:pPr>
              <w:spacing w:after="0" w:line="259" w:lineRule="auto"/>
              <w:ind w:left="0" w:right="15" w:firstLine="0"/>
              <w:jc w:val="center"/>
            </w:pPr>
            <w:r>
              <w:rPr>
                <w:sz w:val="24"/>
              </w:rPr>
              <w:t xml:space="preserve">0,8% </w:t>
            </w:r>
          </w:p>
        </w:tc>
        <w:tc>
          <w:tcPr>
            <w:tcW w:w="164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6" w:firstLine="0"/>
              <w:jc w:val="center"/>
            </w:pPr>
            <w:r>
              <w:rPr>
                <w:sz w:val="24"/>
              </w:rPr>
              <w:t xml:space="preserve">3,9% </w:t>
            </w:r>
          </w:p>
        </w:tc>
      </w:tr>
    </w:tbl>
    <w:p w:rsidR="002C0F56" w:rsidRDefault="00E67C6E">
      <w:pPr>
        <w:spacing w:after="22" w:line="259" w:lineRule="auto"/>
        <w:ind w:left="1558" w:firstLine="0"/>
        <w:jc w:val="left"/>
      </w:pPr>
      <w:r>
        <w:t xml:space="preserve"> </w:t>
      </w:r>
    </w:p>
    <w:p w:rsidR="002C0F56" w:rsidRDefault="00E67C6E">
      <w:pPr>
        <w:ind w:left="994"/>
      </w:pPr>
      <w:r>
        <w:rPr>
          <w:b/>
        </w:rPr>
        <w:t xml:space="preserve">       </w:t>
      </w:r>
      <w:r>
        <w:t xml:space="preserve">Сопоставление </w:t>
      </w:r>
      <w:r>
        <w:tab/>
        <w:t xml:space="preserve">уровня </w:t>
      </w:r>
      <w:r>
        <w:tab/>
        <w:t xml:space="preserve">заработной </w:t>
      </w:r>
      <w:r>
        <w:tab/>
        <w:t xml:space="preserve">платы </w:t>
      </w:r>
      <w:r>
        <w:tab/>
        <w:t xml:space="preserve">затруднительно </w:t>
      </w:r>
      <w:r>
        <w:tab/>
        <w:t xml:space="preserve">из-за расхождений в  определениях и методиках, применяющихся в разных странах. </w:t>
      </w:r>
    </w:p>
    <w:p w:rsidR="002C0F56" w:rsidRDefault="00E67C6E">
      <w:pPr>
        <w:ind w:left="994" w:right="161"/>
      </w:pPr>
      <w:r>
        <w:t xml:space="preserve">       </w:t>
      </w:r>
      <w:r>
        <w:t>Если устранить различия между странами по статистике заработной платы и перевести размер заработной платы в каждой стране в доллары США по паритету покупательской способности (ППС), то разрыв в уровне заработной платы между развивающимися странами и страна</w:t>
      </w:r>
      <w:r>
        <w:t>ми с формирующимся рынком и экономически развитыми странами весьма значителен. Например, средняя заработная плата в США, измеренная по ППС в долларах США, в три с лишним раза выше, чем в Китае. В 2013 году средняя заработная плата в экономически развитых с</w:t>
      </w:r>
      <w:r>
        <w:t>транах составила около 3000 долларов США, в то время как в развивающихся странах и странах с формирующимся рынком она достигла примерно 1000 долларов США (по ППС). Согласно оценки Бюро статистики труда США среднемесячная заработная плата в мире достигла пр</w:t>
      </w:r>
      <w:r>
        <w:t xml:space="preserve">имерно 1600 долларов США (по ППС) [3, С. 19-20].     </w:t>
      </w:r>
    </w:p>
    <w:p w:rsidR="002C0F56" w:rsidRDefault="00E67C6E">
      <w:pPr>
        <w:spacing w:after="5" w:line="268" w:lineRule="auto"/>
        <w:ind w:left="994" w:firstLine="554"/>
        <w:jc w:val="left"/>
      </w:pPr>
      <w:r>
        <w:t xml:space="preserve">       Сегодня еще нельзя сделать вывод о сближении экономически развитых стран, развивающихся стран и стран с формирующимся рынком по уровню средней реальной заработной платы, но можно отметить, что ра</w:t>
      </w:r>
      <w:r>
        <w:t xml:space="preserve">зрыв в заработной плате постепенно сокращается.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67"/>
        </w:numPr>
        <w:ind w:right="302"/>
      </w:pPr>
      <w:r>
        <w:t xml:space="preserve">Агапова, Т. А. Макроэкономика для преподавателей: учеб.–метод. пособие.  Вып. 1 / Т. А. Агапова. –  М.: Дело и  Сервис, 2003. – 128 с.  </w:t>
      </w:r>
    </w:p>
    <w:p w:rsidR="002C0F56" w:rsidRDefault="00E67C6E">
      <w:pPr>
        <w:numPr>
          <w:ilvl w:val="0"/>
          <w:numId w:val="167"/>
        </w:numPr>
        <w:ind w:right="302"/>
      </w:pPr>
      <w:r>
        <w:t xml:space="preserve">Гукасьянц </w:t>
      </w:r>
      <w:r>
        <w:rPr>
          <w:i/>
        </w:rPr>
        <w:t xml:space="preserve"> </w:t>
      </w:r>
      <w:r>
        <w:t xml:space="preserve">Г.М. Экономическая теория. / Г. М. Гукасьянц  – СПб: Питер, 2016. – 460 с.  </w:t>
      </w:r>
    </w:p>
    <w:p w:rsidR="002C0F56" w:rsidRDefault="00E67C6E">
      <w:pPr>
        <w:numPr>
          <w:ilvl w:val="0"/>
          <w:numId w:val="167"/>
        </w:numPr>
        <w:ind w:right="302"/>
      </w:pPr>
      <w:r>
        <w:t xml:space="preserve">Доклад МОТ «Заработная плата в мире в 2014-2015 гг.». – Группа технической поддержки по вопросам достойного труда и Бюро МОТ для стран Восточной Европы и Центральной Азии.  – М., </w:t>
      </w:r>
      <w:r>
        <w:t xml:space="preserve">2015. </w:t>
      </w:r>
    </w:p>
    <w:p w:rsidR="002C0F56" w:rsidRDefault="00E67C6E">
      <w:pPr>
        <w:numPr>
          <w:ilvl w:val="0"/>
          <w:numId w:val="167"/>
        </w:numPr>
        <w:ind w:right="302"/>
      </w:pPr>
      <w:r>
        <w:lastRenderedPageBreak/>
        <w:t xml:space="preserve">Доклад «Заработная плата и неравенство доходов». – Группа технической поддержки по вопросам достойного труда и Бюро МОТ для стран Восточной Европы и Центральной Азии.  – М., 2015. </w:t>
      </w:r>
    </w:p>
    <w:p w:rsidR="002C0F56" w:rsidRDefault="00E67C6E">
      <w:pPr>
        <w:spacing w:after="0" w:line="259" w:lineRule="auto"/>
        <w:ind w:left="1558" w:firstLine="0"/>
        <w:jc w:val="left"/>
      </w:pPr>
      <w:r>
        <w:rPr>
          <w:b/>
        </w:rPr>
        <w:t xml:space="preserve"> </w:t>
      </w:r>
    </w:p>
    <w:p w:rsidR="002C0F56" w:rsidRDefault="00E67C6E">
      <w:pPr>
        <w:spacing w:after="30" w:line="259" w:lineRule="auto"/>
        <w:ind w:left="1558" w:firstLine="0"/>
        <w:jc w:val="left"/>
      </w:pPr>
      <w:r>
        <w:rPr>
          <w:b/>
        </w:rPr>
        <w:t xml:space="preserve"> </w:t>
      </w:r>
    </w:p>
    <w:p w:rsidR="002C0F56" w:rsidRDefault="00E67C6E">
      <w:pPr>
        <w:spacing w:after="25" w:line="259" w:lineRule="auto"/>
        <w:ind w:left="10" w:right="309" w:hanging="10"/>
        <w:jc w:val="right"/>
      </w:pPr>
      <w:r>
        <w:rPr>
          <w:b/>
        </w:rPr>
        <w:t xml:space="preserve">Никулина В.В., Май М.Е. </w:t>
      </w:r>
    </w:p>
    <w:p w:rsidR="002C0F56" w:rsidRDefault="00E67C6E">
      <w:pPr>
        <w:spacing w:after="0" w:line="267" w:lineRule="auto"/>
        <w:ind w:left="3430" w:right="23" w:hanging="10"/>
        <w:jc w:val="right"/>
      </w:pPr>
      <w:r>
        <w:t xml:space="preserve">Научный руководитель: Погорелая Т. А., </w:t>
      </w:r>
      <w:r>
        <w:t xml:space="preserve">к.э.н, доц.  </w:t>
      </w:r>
      <w:r>
        <w:rPr>
          <w:i/>
        </w:rPr>
        <w:t xml:space="preserve">Кузбасский государственный технический университет  имени Т.Ф. Горбачева </w:t>
      </w:r>
    </w:p>
    <w:p w:rsidR="002C0F56" w:rsidRDefault="00E67C6E">
      <w:pPr>
        <w:spacing w:after="30" w:line="259" w:lineRule="auto"/>
        <w:ind w:left="1558" w:firstLine="0"/>
        <w:jc w:val="left"/>
      </w:pPr>
      <w:r>
        <w:rPr>
          <w:b/>
        </w:rPr>
        <w:t xml:space="preserve"> </w:t>
      </w:r>
    </w:p>
    <w:p w:rsidR="002C0F56" w:rsidRDefault="00E67C6E">
      <w:pPr>
        <w:pStyle w:val="1"/>
        <w:ind w:left="700" w:right="4"/>
      </w:pPr>
      <w:r>
        <w:t xml:space="preserve">ФОНДЫ ПОДДЕРЖКИ МАЛОГО БИЗНЕСА В США  </w:t>
      </w:r>
    </w:p>
    <w:p w:rsidR="002C0F56" w:rsidRDefault="00E67C6E">
      <w:pPr>
        <w:pStyle w:val="1"/>
        <w:ind w:left="700" w:right="4"/>
      </w:pPr>
      <w:r>
        <w:t xml:space="preserve">(УРОКИ ДЛЯ РОССИИ) </w:t>
      </w:r>
    </w:p>
    <w:p w:rsidR="002C0F56" w:rsidRDefault="00E67C6E">
      <w:pPr>
        <w:spacing w:after="0" w:line="259" w:lineRule="auto"/>
        <w:ind w:left="1558" w:firstLine="0"/>
        <w:jc w:val="left"/>
      </w:pPr>
      <w:r>
        <w:t xml:space="preserve"> </w:t>
      </w:r>
    </w:p>
    <w:p w:rsidR="002C0F56" w:rsidRDefault="00E67C6E">
      <w:pPr>
        <w:spacing w:after="0"/>
        <w:ind w:left="994" w:right="302"/>
      </w:pPr>
      <w:r>
        <w:t>Мировой опыт говорит о том, что для стабильного развития малого бизнеса необходима его активная финансовая поддержка со стороны государства. С  помощью государства</w:t>
      </w:r>
      <w:r>
        <w:rPr>
          <w:b/>
        </w:rPr>
        <w:t xml:space="preserve"> </w:t>
      </w:r>
      <w:r>
        <w:t>определяются основные схемы и пути финансирования малого бизнеса. Общеизвестно, что при этом</w:t>
      </w:r>
      <w:r>
        <w:t xml:space="preserve"> требуются усилия не только со стороны федеральных и региональных органов власти, государственных финансовых структур, но и со стороны коммерческих банков и самих предпринимателей. Примером успешной модели развития сектора малого бизнеса может служить экон</w:t>
      </w:r>
      <w:r>
        <w:t>омика США, где доля МБ в ВВП страны достигает 40%. Столь существенная его роль в американской экономике связана с высокой эффективностью выполнения основных функций этого сектора. Малый бизнес в США является огромным полем вакансий (малый бизнес обеспечива</w:t>
      </w:r>
      <w:r>
        <w:t>ет 60% всех рабочих мест на рынке товаров и услуг) и идей. В сектор малого бизнеса входят предприятия самой различной направленности - от мелких кафешек до высокотехнологичных небольших фирм. Большую роль в развитии малого бизнеса играет государство, оно в</w:t>
      </w:r>
      <w:r>
        <w:t xml:space="preserve">ыявляет новые тенденции, формы и методы финансово-экономической, нормативно-правовой защиты интересов малых предприятий, усовершенствование и внедрение новых технологий [1].  </w:t>
      </w:r>
    </w:p>
    <w:p w:rsidR="002C0F56" w:rsidRDefault="00E67C6E">
      <w:pPr>
        <w:spacing w:after="0"/>
        <w:ind w:left="994" w:right="302"/>
      </w:pPr>
      <w:r>
        <w:t>Устойчивое развитие этого сегмента национальной экономики тесно связано с создан</w:t>
      </w:r>
      <w:r>
        <w:t>ием и функционирование специализированных фондов поддержки малого бизнеса, деятельность которых направлена исключительно на поддержку бизнеса и реализацию программ с участием государственных ведомств, определяющих важнейшие для экономики страны направления</w:t>
      </w:r>
      <w:r>
        <w:t xml:space="preserve">, которые нуждаются в поддержке и, соответственно целям, управляющих средствами, выделяющимися на реализацию этих программ.  </w:t>
      </w:r>
    </w:p>
    <w:p w:rsidR="002C0F56" w:rsidRDefault="00E67C6E">
      <w:pPr>
        <w:spacing w:after="0"/>
        <w:ind w:left="994" w:right="302"/>
      </w:pPr>
      <w:r>
        <w:t>Упомянутые программы включают в себя помощь бизнесу с помощью финансирования на начальном этапе, а также на наиболее рискованных э</w:t>
      </w:r>
      <w:r>
        <w:t xml:space="preserve">тапах производства товаров и услуг, одновременно подавая рынку сигналы о </w:t>
      </w:r>
      <w:r>
        <w:lastRenderedPageBreak/>
        <w:t>востребованных товарах и услуг. В свою очередь, для малого предприятия участие в программе фондов по поддержке малого бизнеса выступает гарантом высокого уровня продукта или услуги, ч</w:t>
      </w:r>
      <w:r>
        <w:t>то позволяет компаниям привлекать дополнительные средства для собственного развития. Следует отметить, что результаты деятельности таких фондов более успешны, чем в России, где доля малого бизнеса в национальном ВВП едва приближается к порядка 20%, или пор</w:t>
      </w:r>
      <w:r>
        <w:t>ядка 25% от общей численности занятости. Именно поэтому исследование американского опыта поддержки самого неустойчивого по определению сегмента экономики может послужить важным уроком для российских ведомств, курирующих различные формы поддержки бизнеса, в</w:t>
      </w:r>
      <w:r>
        <w:t xml:space="preserve"> процессе решения актуальных задач развития отечественного бизнеса и привлечения капитала, причем, не только в наукоёмкие высокотехнологичные проекты.  </w:t>
      </w:r>
    </w:p>
    <w:p w:rsidR="002C0F56" w:rsidRDefault="00E67C6E">
      <w:pPr>
        <w:ind w:left="994" w:right="302"/>
      </w:pPr>
      <w:r>
        <w:t>На сегодня в США действуют более 150 программ и более 5 фондов поддержки малого бизнеса, но основной фо</w:t>
      </w:r>
      <w:r>
        <w:t>рмой поддержки малого бизнеса в США является государственная поддержка малого бизнеса, осуществляющая свои действия через федеральную структуру – Администрацию малого бизнеса США (The U.S. Small Business Administration).  Именно поддержка этого фонда оказы</w:t>
      </w:r>
      <w:r>
        <w:t xml:space="preserve">вается важнейшей на всех стадиях жизненного цикла небольшой компании. Администрация Малого Бизнеса США была создана 64 года назад. </w:t>
      </w:r>
    </w:p>
    <w:p w:rsidR="002C0F56" w:rsidRDefault="00E67C6E">
      <w:pPr>
        <w:ind w:left="1558" w:right="4297" w:hanging="564"/>
      </w:pPr>
      <w:r>
        <w:t xml:space="preserve">Целью ее деятельности официально является: - Оказания помощи;  </w:t>
      </w:r>
    </w:p>
    <w:p w:rsidR="002C0F56" w:rsidRDefault="00E67C6E">
      <w:pPr>
        <w:numPr>
          <w:ilvl w:val="0"/>
          <w:numId w:val="168"/>
        </w:numPr>
        <w:ind w:right="302" w:hanging="163"/>
      </w:pPr>
      <w:r>
        <w:t xml:space="preserve">Поддержка на любом этапе бизнеса; </w:t>
      </w:r>
    </w:p>
    <w:p w:rsidR="002C0F56" w:rsidRDefault="00E67C6E">
      <w:pPr>
        <w:numPr>
          <w:ilvl w:val="0"/>
          <w:numId w:val="168"/>
        </w:numPr>
        <w:ind w:right="302" w:hanging="163"/>
      </w:pPr>
      <w:r>
        <w:t>Защита интересов малого п</w:t>
      </w:r>
      <w:r>
        <w:t xml:space="preserve">редпринимательства;  </w:t>
      </w:r>
    </w:p>
    <w:p w:rsidR="002C0F56" w:rsidRDefault="00E67C6E">
      <w:pPr>
        <w:numPr>
          <w:ilvl w:val="0"/>
          <w:numId w:val="168"/>
        </w:numPr>
        <w:spacing w:after="12"/>
        <w:ind w:right="302" w:hanging="163"/>
      </w:pPr>
      <w:r>
        <w:t xml:space="preserve">Сохранения свободной конкуренции [2]. </w:t>
      </w:r>
    </w:p>
    <w:p w:rsidR="002C0F56" w:rsidRDefault="00E67C6E">
      <w:pPr>
        <w:ind w:left="994" w:right="302"/>
      </w:pPr>
      <w:r>
        <w:t>Деятельность Администрации Малого Бизнеса США основана на двух основных подходах: ориентация на конкретного потребителя (клиента) и помощь управлении бизнеса. При формировании плана развития, Адм</w:t>
      </w:r>
      <w:r>
        <w:t>инистрация Малого Бизнеса США основывается определении приоритетов на будущий период. Решающим фактором в выборе форм помощи и поддержки бизнеса является опрос представителей малого бизнеса США, фонд был первым, кто провел такую работу. Вместе с изменением</w:t>
      </w:r>
      <w:r>
        <w:t xml:space="preserve"> условий хозяйствования происходили изменения организационной структуры, повышение квалификации сотрудников, что позволило создать современный мобильный и эффективный механизм деятельности Администрация Малого Бизнеса США. </w:t>
      </w:r>
    </w:p>
    <w:p w:rsidR="002C0F56" w:rsidRDefault="00E67C6E">
      <w:pPr>
        <w:spacing w:after="11"/>
        <w:ind w:left="994" w:right="302"/>
      </w:pPr>
      <w:r>
        <w:t>Фонд государственной поддержки м</w:t>
      </w:r>
      <w:r>
        <w:t xml:space="preserve">алого бизнеса введет несколько программ, из самых крупных и успешных программ наиболее результативными являются Программы «7а» и «504» (табл. 1) [7].  </w:t>
      </w:r>
    </w:p>
    <w:p w:rsidR="002C0F56" w:rsidRDefault="00E67C6E">
      <w:pPr>
        <w:spacing w:after="0" w:line="259" w:lineRule="auto"/>
        <w:ind w:left="1558" w:firstLine="0"/>
        <w:jc w:val="left"/>
      </w:pPr>
      <w:r>
        <w:t xml:space="preserve"> </w:t>
      </w:r>
    </w:p>
    <w:p w:rsidR="002C0F56" w:rsidRDefault="00E67C6E">
      <w:pPr>
        <w:spacing w:after="5" w:line="271" w:lineRule="auto"/>
        <w:ind w:left="3322" w:right="396" w:hanging="1697"/>
        <w:jc w:val="left"/>
      </w:pPr>
      <w:r>
        <w:rPr>
          <w:i/>
          <w:sz w:val="24"/>
        </w:rPr>
        <w:t>Таблица 1</w:t>
      </w:r>
      <w:r>
        <w:rPr>
          <w:sz w:val="24"/>
        </w:rPr>
        <w:t xml:space="preserve"> - </w:t>
      </w:r>
      <w:r>
        <w:rPr>
          <w:b/>
          <w:sz w:val="24"/>
        </w:rPr>
        <w:t>Общая численность фирм, участвующие в программе, при поддержке Фонда Государственной Подде</w:t>
      </w:r>
      <w:r>
        <w:rPr>
          <w:b/>
          <w:sz w:val="24"/>
        </w:rPr>
        <w:t xml:space="preserve">ржки за 2015 г. </w:t>
      </w:r>
    </w:p>
    <w:tbl>
      <w:tblPr>
        <w:tblStyle w:val="TableGrid"/>
        <w:tblW w:w="9631" w:type="dxa"/>
        <w:tblInd w:w="886" w:type="dxa"/>
        <w:tblCellMar>
          <w:top w:w="14" w:type="dxa"/>
          <w:left w:w="108" w:type="dxa"/>
          <w:bottom w:w="0" w:type="dxa"/>
          <w:right w:w="50" w:type="dxa"/>
        </w:tblCellMar>
        <w:tblLook w:val="04A0" w:firstRow="1" w:lastRow="0" w:firstColumn="1" w:lastColumn="0" w:noHBand="0" w:noVBand="1"/>
      </w:tblPr>
      <w:tblGrid>
        <w:gridCol w:w="2235"/>
        <w:gridCol w:w="3262"/>
        <w:gridCol w:w="4134"/>
      </w:tblGrid>
      <w:tr w:rsidR="002C0F56">
        <w:trPr>
          <w:trHeight w:val="286"/>
        </w:trPr>
        <w:tc>
          <w:tcPr>
            <w:tcW w:w="2235"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lastRenderedPageBreak/>
              <w:t xml:space="preserve">Название программ </w:t>
            </w:r>
          </w:p>
        </w:tc>
        <w:tc>
          <w:tcPr>
            <w:tcW w:w="7396"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Количество организаций </w:t>
            </w:r>
          </w:p>
        </w:tc>
      </w:tr>
      <w:tr w:rsidR="002C0F56">
        <w:trPr>
          <w:trHeight w:val="562"/>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32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Фактическое количество </w:t>
            </w:r>
          </w:p>
        </w:tc>
        <w:tc>
          <w:tcPr>
            <w:tcW w:w="4134"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693"/>
                <w:tab w:val="center" w:pos="1519"/>
                <w:tab w:val="center" w:pos="2575"/>
                <w:tab w:val="right" w:pos="3976"/>
              </w:tabs>
              <w:spacing w:after="29" w:line="259" w:lineRule="auto"/>
              <w:ind w:left="0" w:firstLine="0"/>
              <w:jc w:val="left"/>
            </w:pPr>
            <w:r>
              <w:rPr>
                <w:sz w:val="24"/>
              </w:rPr>
              <w:t xml:space="preserve">% </w:t>
            </w:r>
            <w:r>
              <w:rPr>
                <w:sz w:val="24"/>
              </w:rPr>
              <w:tab/>
              <w:t xml:space="preserve">от </w:t>
            </w:r>
            <w:r>
              <w:rPr>
                <w:sz w:val="24"/>
              </w:rPr>
              <w:tab/>
              <w:t xml:space="preserve">общей </w:t>
            </w:r>
            <w:r>
              <w:rPr>
                <w:sz w:val="24"/>
              </w:rPr>
              <w:tab/>
              <w:t xml:space="preserve">суммы </w:t>
            </w:r>
            <w:r>
              <w:rPr>
                <w:sz w:val="24"/>
              </w:rPr>
              <w:tab/>
              <w:t xml:space="preserve">фирм, </w:t>
            </w:r>
          </w:p>
          <w:p w:rsidR="002C0F56" w:rsidRDefault="00E67C6E">
            <w:pPr>
              <w:spacing w:after="0" w:line="259" w:lineRule="auto"/>
              <w:ind w:left="0" w:firstLine="0"/>
              <w:jc w:val="left"/>
            </w:pPr>
            <w:r>
              <w:rPr>
                <w:sz w:val="24"/>
              </w:rPr>
              <w:t xml:space="preserve">находящиеся на обеспечении фонда </w:t>
            </w:r>
          </w:p>
        </w:tc>
      </w:tr>
      <w:tr w:rsidR="002C0F56">
        <w:trPr>
          <w:trHeight w:val="432"/>
        </w:trPr>
        <w:tc>
          <w:tcPr>
            <w:tcW w:w="22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Программа «7а» </w:t>
            </w:r>
          </w:p>
        </w:tc>
        <w:tc>
          <w:tcPr>
            <w:tcW w:w="32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45 </w:t>
            </w:r>
          </w:p>
        </w:tc>
        <w:tc>
          <w:tcPr>
            <w:tcW w:w="41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42% </w:t>
            </w:r>
          </w:p>
        </w:tc>
      </w:tr>
      <w:tr w:rsidR="002C0F56">
        <w:trPr>
          <w:trHeight w:val="418"/>
        </w:trPr>
        <w:tc>
          <w:tcPr>
            <w:tcW w:w="22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Программа «504» </w:t>
            </w:r>
          </w:p>
        </w:tc>
        <w:tc>
          <w:tcPr>
            <w:tcW w:w="326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5" w:firstLine="0"/>
              <w:jc w:val="center"/>
            </w:pPr>
            <w:r>
              <w:rPr>
                <w:sz w:val="24"/>
              </w:rPr>
              <w:t xml:space="preserve">70 </w:t>
            </w:r>
          </w:p>
        </w:tc>
        <w:tc>
          <w:tcPr>
            <w:tcW w:w="413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68% </w:t>
            </w:r>
          </w:p>
        </w:tc>
      </w:tr>
    </w:tbl>
    <w:p w:rsidR="002C0F56" w:rsidRDefault="00E67C6E">
      <w:pPr>
        <w:spacing w:after="0" w:line="259" w:lineRule="auto"/>
        <w:ind w:left="1558" w:firstLine="0"/>
        <w:jc w:val="left"/>
      </w:pPr>
      <w:r>
        <w:t xml:space="preserve"> </w:t>
      </w:r>
    </w:p>
    <w:p w:rsidR="002C0F56" w:rsidRDefault="00E67C6E">
      <w:pPr>
        <w:spacing w:after="0"/>
        <w:ind w:left="994" w:right="302"/>
      </w:pPr>
      <w:r>
        <w:t xml:space="preserve">При этом, участие в Программе «7а» выступает гарантом выдачи кредита предпринимателю при обращении за в банк, если он не имеет требуемого обеспечения. Выгода такой поддержки является процентная ставка, которая не должна превышать 2,75 пункта ставки займа. </w:t>
      </w:r>
      <w:r>
        <w:t xml:space="preserve"> Но Программа «504» имеет еще больший успех, чем предыдущая программа. Фонд предлагает содействие в расширении и модернизации бизнеса. Организации предоставляется долгосрочный кредит для покупки элементов основного капитала при условии положительных резуль</w:t>
      </w:r>
      <w:r>
        <w:t>татов предварительной оценки. Гарантии предоставляются под 40% займа, но их сумма не может превышать 1 млн. долл. США. Также в США большое значение уделяется информационной поддержке и обучению начинающих предпринимателей.</w:t>
      </w:r>
      <w:r>
        <w:rPr>
          <w:b/>
        </w:rPr>
        <w:t xml:space="preserve"> </w:t>
      </w:r>
      <w:r>
        <w:t xml:space="preserve"> </w:t>
      </w:r>
    </w:p>
    <w:p w:rsidR="002C0F56" w:rsidRDefault="00E67C6E">
      <w:pPr>
        <w:ind w:left="994" w:right="302"/>
      </w:pPr>
      <w:r>
        <w:t>Поддержка малого бизнеса являет</w:t>
      </w:r>
      <w:r>
        <w:t>ся одним из ключевых направлений финансово-кредитной политики США и за счет вышеперечисленных мероприятий США добивается прироста ВВП (табл. 2) 3, 9 [3, 4] даже в условиях современного мирового финансового кризиса.</w:t>
      </w:r>
      <w:r>
        <w:rPr>
          <w:b/>
        </w:rPr>
        <w:t xml:space="preserve">   </w:t>
      </w:r>
    </w:p>
    <w:p w:rsidR="002C0F56" w:rsidRDefault="00E67C6E">
      <w:pPr>
        <w:spacing w:after="0"/>
        <w:ind w:left="994" w:right="302"/>
      </w:pPr>
      <w:r>
        <w:t>Другим крупнейшим в мире фондом по орг</w:t>
      </w:r>
      <w:r>
        <w:t xml:space="preserve">анизации и поддержке малого бизнеса является Фонд Кауфмана (Ewing Marion Kauffman Foundation). Более </w:t>
      </w:r>
    </w:p>
    <w:p w:rsidR="002C0F56" w:rsidRDefault="00E67C6E">
      <w:pPr>
        <w:ind w:left="994" w:right="302" w:firstLine="0"/>
      </w:pPr>
      <w:r>
        <w:t>500 успешных фирм, при поддержки данного фонда, входят в список Fortune 500, список формируется по объему выручки компаний мира, но также они были созданы</w:t>
      </w:r>
      <w:r>
        <w:t xml:space="preserve"> в периоды спада экономической активности в США [5]. </w:t>
      </w:r>
    </w:p>
    <w:p w:rsidR="002C0F56" w:rsidRDefault="00E67C6E">
      <w:pPr>
        <w:ind w:left="994" w:right="302"/>
      </w:pPr>
      <w:r>
        <w:t>Кроме названных фондов поддержки в современных условиях все большую роль играет фонд, нацеленный на поддержку малого бизнеса в области науки, содействующий эффективному переходу малого бизнеса к инновац</w:t>
      </w:r>
      <w:r>
        <w:t xml:space="preserve">ионной модели развития - Национальный научный фонд (National science foundation, NSF). Отметим, что в России существует аналог этого фонда </w:t>
      </w:r>
    </w:p>
    <w:p w:rsidR="002C0F56" w:rsidRDefault="00E67C6E">
      <w:pPr>
        <w:spacing w:after="12"/>
        <w:ind w:left="994" w:right="302" w:firstLine="0"/>
      </w:pPr>
      <w:r>
        <w:t xml:space="preserve">- Российский фонд фундаментальных исследований [6].  </w:t>
      </w:r>
    </w:p>
    <w:p w:rsidR="002C0F56" w:rsidRDefault="00E67C6E">
      <w:pPr>
        <w:spacing w:after="0" w:line="259" w:lineRule="auto"/>
        <w:ind w:left="1558" w:firstLine="0"/>
        <w:jc w:val="left"/>
      </w:pPr>
      <w:r>
        <w:t xml:space="preserve"> </w:t>
      </w:r>
    </w:p>
    <w:p w:rsidR="002C0F56" w:rsidRDefault="00E67C6E">
      <w:pPr>
        <w:spacing w:after="5" w:line="271" w:lineRule="auto"/>
        <w:ind w:left="3528" w:right="396" w:hanging="1687"/>
        <w:jc w:val="left"/>
      </w:pPr>
      <w:r>
        <w:rPr>
          <w:i/>
          <w:sz w:val="24"/>
        </w:rPr>
        <w:t>Таблица 2</w:t>
      </w:r>
      <w:r>
        <w:rPr>
          <w:sz w:val="24"/>
        </w:rPr>
        <w:t xml:space="preserve">  - </w:t>
      </w:r>
      <w:r>
        <w:rPr>
          <w:b/>
          <w:sz w:val="24"/>
        </w:rPr>
        <w:t xml:space="preserve">Динамика основных показателей, характеризующих </w:t>
      </w:r>
      <w:r>
        <w:rPr>
          <w:b/>
          <w:sz w:val="24"/>
        </w:rPr>
        <w:t xml:space="preserve">роль малого бизнеса в экономике США (2013- 2015 гг.) </w:t>
      </w:r>
    </w:p>
    <w:tbl>
      <w:tblPr>
        <w:tblStyle w:val="TableGrid"/>
        <w:tblW w:w="9856" w:type="dxa"/>
        <w:tblInd w:w="886" w:type="dxa"/>
        <w:tblCellMar>
          <w:top w:w="14" w:type="dxa"/>
          <w:left w:w="108" w:type="dxa"/>
          <w:bottom w:w="0" w:type="dxa"/>
          <w:right w:w="115" w:type="dxa"/>
        </w:tblCellMar>
        <w:tblLook w:val="04A0" w:firstRow="1" w:lastRow="0" w:firstColumn="1" w:lastColumn="0" w:noHBand="0" w:noVBand="1"/>
      </w:tblPr>
      <w:tblGrid>
        <w:gridCol w:w="5833"/>
        <w:gridCol w:w="1339"/>
        <w:gridCol w:w="1342"/>
        <w:gridCol w:w="1342"/>
      </w:tblGrid>
      <w:tr w:rsidR="002C0F56">
        <w:trPr>
          <w:trHeight w:val="286"/>
        </w:trPr>
        <w:tc>
          <w:tcPr>
            <w:tcW w:w="58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Значение показателя  </w:t>
            </w:r>
          </w:p>
        </w:tc>
        <w:tc>
          <w:tcPr>
            <w:tcW w:w="13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b/>
                <w:sz w:val="24"/>
              </w:rPr>
              <w:t xml:space="preserve">2013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b/>
                <w:sz w:val="24"/>
              </w:rPr>
              <w:t xml:space="preserve">2014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b/>
                <w:sz w:val="24"/>
              </w:rPr>
              <w:t xml:space="preserve">2015 </w:t>
            </w:r>
          </w:p>
        </w:tc>
      </w:tr>
      <w:tr w:rsidR="002C0F56">
        <w:trPr>
          <w:trHeight w:val="286"/>
        </w:trPr>
        <w:tc>
          <w:tcPr>
            <w:tcW w:w="58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Доля МП в ВВП страны,  в % </w:t>
            </w:r>
          </w:p>
        </w:tc>
        <w:tc>
          <w:tcPr>
            <w:tcW w:w="13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46,4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48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52 </w:t>
            </w:r>
          </w:p>
        </w:tc>
      </w:tr>
      <w:tr w:rsidR="002C0F56">
        <w:trPr>
          <w:trHeight w:val="286"/>
        </w:trPr>
        <w:tc>
          <w:tcPr>
            <w:tcW w:w="58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Доля МП в общей занятости, в % </w:t>
            </w:r>
          </w:p>
        </w:tc>
        <w:tc>
          <w:tcPr>
            <w:tcW w:w="13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44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1" w:firstLine="0"/>
              <w:jc w:val="center"/>
            </w:pPr>
            <w:r>
              <w:rPr>
                <w:sz w:val="24"/>
              </w:rPr>
              <w:t xml:space="preserve">47,7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50,1 </w:t>
            </w:r>
          </w:p>
        </w:tc>
      </w:tr>
      <w:tr w:rsidR="002C0F56">
        <w:trPr>
          <w:trHeight w:val="288"/>
        </w:trPr>
        <w:tc>
          <w:tcPr>
            <w:tcW w:w="583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Доля МП в общем кол-ве предприятий в стране, в % </w:t>
            </w:r>
          </w:p>
        </w:tc>
        <w:tc>
          <w:tcPr>
            <w:tcW w:w="13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0" w:firstLine="0"/>
              <w:jc w:val="center"/>
            </w:pPr>
            <w:r>
              <w:rPr>
                <w:sz w:val="24"/>
              </w:rPr>
              <w:t xml:space="preserve">91,5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9" w:firstLine="0"/>
              <w:jc w:val="center"/>
            </w:pPr>
            <w:r>
              <w:rPr>
                <w:sz w:val="24"/>
              </w:rPr>
              <w:t xml:space="preserve">95 </w:t>
            </w:r>
          </w:p>
        </w:tc>
        <w:tc>
          <w:tcPr>
            <w:tcW w:w="134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12" w:firstLine="0"/>
              <w:jc w:val="center"/>
            </w:pPr>
            <w:r>
              <w:rPr>
                <w:sz w:val="24"/>
              </w:rPr>
              <w:t xml:space="preserve">97,6 </w:t>
            </w:r>
          </w:p>
        </w:tc>
      </w:tr>
    </w:tbl>
    <w:p w:rsidR="002C0F56" w:rsidRDefault="00E67C6E">
      <w:pPr>
        <w:spacing w:after="0" w:line="259" w:lineRule="auto"/>
        <w:ind w:left="1558" w:firstLine="0"/>
        <w:jc w:val="left"/>
      </w:pPr>
      <w:r>
        <w:t xml:space="preserve"> </w:t>
      </w:r>
    </w:p>
    <w:p w:rsidR="002C0F56" w:rsidRDefault="00E67C6E">
      <w:pPr>
        <w:spacing w:after="0"/>
        <w:ind w:left="994" w:right="302"/>
      </w:pPr>
      <w:r>
        <w:lastRenderedPageBreak/>
        <w:t>Национальный научный фонд в основном поддерживает и помогает в развитии фундаментальных научных исследований. Однако при финансировании фундаментальной науки на рынке товаров и услуг являются прикладные исследования и извлечение прибыли всеми способами бла</w:t>
      </w:r>
      <w:r>
        <w:t>годаря результатам науки. В фонде также действуют программы, которые являются грантом поддержки исследований и разработок малыми фирмами. К сожалению таких фирм очень мало, в годовом отчете фонда указано, что в 2011 г. их количество было всего около 20 ком</w:t>
      </w:r>
      <w:r>
        <w:t>паний, в 2015 г. произошло увеличение всего на 10%, и их количество составило 22 [7].</w:t>
      </w:r>
      <w:r>
        <w:rPr>
          <w:b/>
        </w:rPr>
        <w:t xml:space="preserve">  </w:t>
      </w:r>
    </w:p>
    <w:p w:rsidR="002C0F56" w:rsidRDefault="00E67C6E">
      <w:pPr>
        <w:spacing w:after="0"/>
        <w:ind w:left="994" w:right="302"/>
      </w:pPr>
      <w:r>
        <w:t>Таким образом, экономика США во многих отношениях наработала опыт решения проблем функционирования и развития малого предпринимательства, полезный для многих стран. Под</w:t>
      </w:r>
      <w:r>
        <w:t>держка малого бизнеса в Российской Федерации пока еще недостаточно развита, поэтому необходимо обратиться к инструментам, которые ускорят процесс образования малых предприятий и усиливают их устойчивость. Тем более, что в условиях действия санкционного мех</w:t>
      </w:r>
      <w:r>
        <w:t>анизма возникают дополнительные преимущества для решения проблемы развития этого сегмента национальной экономики. Реализация программы импортозамещения должна быть тесно привязана к инструментам поддержки малого бизнеса. И следует отметить, что в этом напр</w:t>
      </w:r>
      <w:r>
        <w:t xml:space="preserve">авлении уже появились успехи.  </w:t>
      </w:r>
    </w:p>
    <w:p w:rsidR="002C0F56" w:rsidRDefault="00E67C6E">
      <w:pPr>
        <w:spacing w:after="0"/>
        <w:ind w:left="994" w:right="302"/>
      </w:pPr>
      <w:r>
        <w:t>Малый бизнес является сильным толчком для роста экономики США. Произошло серьезное изменение доли малых предприятий в некоторых отраслях экономики в  2016 г. в сравнении с 2013 г., что говорит об эффективной адаптации бизнес</w:t>
      </w:r>
      <w:r>
        <w:t xml:space="preserve">а к условиям хозяйствования в период мирового финансового кризиса (табл. 3) [8]. </w:t>
      </w:r>
    </w:p>
    <w:p w:rsidR="002C0F56" w:rsidRDefault="00E67C6E">
      <w:pPr>
        <w:spacing w:after="8"/>
        <w:ind w:left="994" w:right="302"/>
      </w:pPr>
      <w:r>
        <w:t>В 2013г. большинство малых предприятий сосредоточено в торговле и строительстве. В США на долю малых предприятий приходилось до 40% ВНП и 50% валового продукта частного секто</w:t>
      </w:r>
      <w:r>
        <w:t>ра, в том числе в строительстве - 80%, в оптовой торговле – 86%, в сфере обслуживания - 81%. На малых предприятиях США сосредоточено более половины занятых служащих. В 2016 г. мы видим, что незначительные изменения произошли в строительстве и самый высокий</w:t>
      </w:r>
      <w:r>
        <w:t xml:space="preserve"> скачок в оптовой торговле, такие  изменения в некоторой степени могут быть связанны с вводом санкций против России в 2014-2016гг. [9].Отметим, что в России совершенно иная структура национального малого бизнеса по объектам вложения капитала: «основная дол</w:t>
      </w:r>
      <w:r>
        <w:t xml:space="preserve">я малого бизнеса приходится на сферу торговли – 41%, затем идет малый бизнес в сфере операций с недвижимостью – 18%, промышленное производство – 10%, строительство – 6%. Остальные отрасли не превышают 2%» [10, 11].  </w:t>
      </w:r>
    </w:p>
    <w:p w:rsidR="002C0F56" w:rsidRDefault="00E67C6E">
      <w:pPr>
        <w:spacing w:after="0" w:line="259" w:lineRule="auto"/>
        <w:ind w:left="1558" w:firstLine="0"/>
        <w:jc w:val="left"/>
      </w:pPr>
      <w:r>
        <w:t xml:space="preserve"> </w:t>
      </w:r>
    </w:p>
    <w:p w:rsidR="002C0F56" w:rsidRDefault="00E67C6E">
      <w:pPr>
        <w:spacing w:after="5" w:line="271" w:lineRule="auto"/>
        <w:ind w:left="3094" w:right="396" w:hanging="1090"/>
        <w:jc w:val="left"/>
      </w:pPr>
      <w:r>
        <w:rPr>
          <w:i/>
          <w:sz w:val="24"/>
        </w:rPr>
        <w:t>Таблица 3</w:t>
      </w:r>
      <w:r>
        <w:rPr>
          <w:sz w:val="24"/>
        </w:rPr>
        <w:t xml:space="preserve"> – </w:t>
      </w:r>
      <w:r>
        <w:rPr>
          <w:b/>
          <w:sz w:val="24"/>
        </w:rPr>
        <w:t>Динамика доли малых предп</w:t>
      </w:r>
      <w:r>
        <w:rPr>
          <w:b/>
          <w:sz w:val="24"/>
        </w:rPr>
        <w:t xml:space="preserve">риятий по отраслям экономики и количеству работающих в США после 2013 г. (%) </w:t>
      </w:r>
    </w:p>
    <w:tbl>
      <w:tblPr>
        <w:tblStyle w:val="TableGrid"/>
        <w:tblW w:w="9631" w:type="dxa"/>
        <w:tblInd w:w="886" w:type="dxa"/>
        <w:tblCellMar>
          <w:top w:w="14" w:type="dxa"/>
          <w:left w:w="108" w:type="dxa"/>
          <w:bottom w:w="0" w:type="dxa"/>
          <w:right w:w="55" w:type="dxa"/>
        </w:tblCellMar>
        <w:tblLook w:val="04A0" w:firstRow="1" w:lastRow="0" w:firstColumn="1" w:lastColumn="0" w:noHBand="0" w:noVBand="1"/>
      </w:tblPr>
      <w:tblGrid>
        <w:gridCol w:w="2471"/>
        <w:gridCol w:w="877"/>
        <w:gridCol w:w="893"/>
        <w:gridCol w:w="859"/>
        <w:gridCol w:w="913"/>
        <w:gridCol w:w="859"/>
        <w:gridCol w:w="939"/>
        <w:gridCol w:w="860"/>
        <w:gridCol w:w="960"/>
      </w:tblGrid>
      <w:tr w:rsidR="002C0F56">
        <w:trPr>
          <w:trHeight w:val="476"/>
        </w:trPr>
        <w:tc>
          <w:tcPr>
            <w:tcW w:w="2472"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 xml:space="preserve">Отрасль </w:t>
            </w:r>
          </w:p>
        </w:tc>
        <w:tc>
          <w:tcPr>
            <w:tcW w:w="1769"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Менее 25 чел. </w:t>
            </w:r>
          </w:p>
        </w:tc>
        <w:tc>
          <w:tcPr>
            <w:tcW w:w="1772"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Менее 210 чел. </w:t>
            </w:r>
          </w:p>
        </w:tc>
        <w:tc>
          <w:tcPr>
            <w:tcW w:w="1798"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Менее 220 чел. </w:t>
            </w:r>
          </w:p>
        </w:tc>
        <w:tc>
          <w:tcPr>
            <w:tcW w:w="1820"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Менее 250 чел. </w:t>
            </w:r>
          </w:p>
        </w:tc>
      </w:tr>
      <w:tr w:rsidR="002C0F56">
        <w:trPr>
          <w:trHeight w:val="341"/>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2013г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2016г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b/>
                <w:sz w:val="24"/>
              </w:rPr>
              <w:t xml:space="preserve">2013г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2016г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b/>
                <w:sz w:val="24"/>
              </w:rPr>
              <w:t xml:space="preserve">2013г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b/>
                <w:sz w:val="24"/>
              </w:rPr>
              <w:t xml:space="preserve">2016г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b/>
                <w:sz w:val="24"/>
              </w:rPr>
              <w:t xml:space="preserve">2013г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2016г </w:t>
            </w:r>
          </w:p>
        </w:tc>
      </w:tr>
      <w:tr w:rsidR="002C0F56">
        <w:trPr>
          <w:trHeight w:val="562"/>
        </w:trPr>
        <w:tc>
          <w:tcPr>
            <w:tcW w:w="24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Добывающая промышленность </w:t>
            </w: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52,4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59,7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67,1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72,5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80,5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91,8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91,5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95,5 </w:t>
            </w:r>
          </w:p>
        </w:tc>
      </w:tr>
      <w:tr w:rsidR="002C0F56">
        <w:trPr>
          <w:trHeight w:val="562"/>
        </w:trPr>
        <w:tc>
          <w:tcPr>
            <w:tcW w:w="24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Перерабатывающая промышленность </w:t>
            </w: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37,0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38,9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52,5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60,8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67,5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70,4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82,6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88,4 </w:t>
            </w:r>
          </w:p>
        </w:tc>
      </w:tr>
      <w:tr w:rsidR="002C0F56">
        <w:trPr>
          <w:trHeight w:val="286"/>
        </w:trPr>
        <w:tc>
          <w:tcPr>
            <w:tcW w:w="24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Оптовая торговля </w:t>
            </w: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50,3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56,8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71,5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82,4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86,9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94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96,4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98,5 </w:t>
            </w:r>
          </w:p>
        </w:tc>
      </w:tr>
      <w:tr w:rsidR="002C0F56">
        <w:trPr>
          <w:trHeight w:val="286"/>
        </w:trPr>
        <w:tc>
          <w:tcPr>
            <w:tcW w:w="24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Розничная торговля </w:t>
            </w: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64,9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66,6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81,5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88,5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91,1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93,2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97,2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99 </w:t>
            </w:r>
          </w:p>
        </w:tc>
      </w:tr>
      <w:tr w:rsidR="002C0F56">
        <w:trPr>
          <w:trHeight w:val="286"/>
        </w:trPr>
        <w:tc>
          <w:tcPr>
            <w:tcW w:w="24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Строительство </w:t>
            </w: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64,5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66,7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81,7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82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91,8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92,7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97,6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98 </w:t>
            </w:r>
          </w:p>
        </w:tc>
      </w:tr>
      <w:tr w:rsidR="002C0F56">
        <w:trPr>
          <w:trHeight w:val="288"/>
        </w:trPr>
        <w:tc>
          <w:tcPr>
            <w:tcW w:w="24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Коммерческие услуги </w:t>
            </w:r>
          </w:p>
        </w:tc>
        <w:tc>
          <w:tcPr>
            <w:tcW w:w="87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76,4 </w:t>
            </w:r>
          </w:p>
        </w:tc>
        <w:tc>
          <w:tcPr>
            <w:tcW w:w="89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77,7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87,1 </w:t>
            </w:r>
          </w:p>
        </w:tc>
        <w:tc>
          <w:tcPr>
            <w:tcW w:w="91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92,1 </w:t>
            </w:r>
          </w:p>
        </w:tc>
        <w:tc>
          <w:tcPr>
            <w:tcW w:w="85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93,6 </w:t>
            </w:r>
          </w:p>
        </w:tc>
        <w:tc>
          <w:tcPr>
            <w:tcW w:w="93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95,8 </w:t>
            </w:r>
          </w:p>
        </w:tc>
        <w:tc>
          <w:tcPr>
            <w:tcW w:w="8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97,5 </w:t>
            </w:r>
          </w:p>
        </w:tc>
        <w:tc>
          <w:tcPr>
            <w:tcW w:w="96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99.1 </w:t>
            </w:r>
          </w:p>
        </w:tc>
      </w:tr>
    </w:tbl>
    <w:p w:rsidR="002C0F56" w:rsidRDefault="00E67C6E">
      <w:pPr>
        <w:spacing w:after="0" w:line="259" w:lineRule="auto"/>
        <w:ind w:left="1558" w:firstLine="0"/>
        <w:jc w:val="left"/>
      </w:pPr>
      <w:r>
        <w:t xml:space="preserve"> </w:t>
      </w:r>
    </w:p>
    <w:p w:rsidR="002C0F56" w:rsidRDefault="00E67C6E">
      <w:pPr>
        <w:spacing w:after="0"/>
        <w:ind w:left="994" w:right="302"/>
      </w:pPr>
      <w:r>
        <w:t>Таким образом, в условиях современного этапа НТП и роста уровня непредсказуемости развития малый бизнес сталкивается с очень сложными проблемами, которые не могут быть решены им самостоятельно. Поэтому государственное регулирование с использованием различн</w:t>
      </w:r>
      <w:r>
        <w:t xml:space="preserve">ых фондов поддержки взаимосвязано с решением некоторых проблемы, обусловленных функционированием налоговой системы и системой государственного регулирования.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69"/>
        </w:numPr>
        <w:ind w:right="302"/>
      </w:pPr>
      <w:r>
        <w:t xml:space="preserve">Особенности системы поддержки малого и среднего предпринимательства в США. </w:t>
      </w:r>
      <w:r>
        <w:t xml:space="preserve">[Электронный ресурс] – Режим доступа: </w:t>
      </w:r>
    </w:p>
    <w:p w:rsidR="002C0F56" w:rsidRDefault="00E67C6E">
      <w:pPr>
        <w:ind w:left="994" w:right="302" w:firstLine="0"/>
      </w:pPr>
      <w:r>
        <w:t xml:space="preserve">file:///C:/Users/User/Downloads/osobennosti-sistemy-podderzhki-malogo-isrednego-predprinimatelstva-v-ssha%20(1).pdf </w:t>
      </w:r>
    </w:p>
    <w:p w:rsidR="002C0F56" w:rsidRDefault="00E67C6E">
      <w:pPr>
        <w:numPr>
          <w:ilvl w:val="0"/>
          <w:numId w:val="169"/>
        </w:numPr>
        <w:ind w:right="302"/>
      </w:pPr>
      <w:r>
        <w:t xml:space="preserve">Развитие </w:t>
      </w:r>
      <w:r>
        <w:tab/>
        <w:t xml:space="preserve">малого </w:t>
      </w:r>
      <w:r>
        <w:tab/>
        <w:t xml:space="preserve">бизнеса </w:t>
      </w:r>
      <w:r>
        <w:tab/>
        <w:t xml:space="preserve">в </w:t>
      </w:r>
      <w:r>
        <w:tab/>
        <w:t xml:space="preserve">Соединенных </w:t>
      </w:r>
      <w:r>
        <w:tab/>
        <w:t xml:space="preserve">Штатах </w:t>
      </w:r>
      <w:r>
        <w:tab/>
        <w:t xml:space="preserve">Америки </w:t>
      </w:r>
    </w:p>
    <w:p w:rsidR="002C0F56" w:rsidRDefault="00E67C6E">
      <w:pPr>
        <w:tabs>
          <w:tab w:val="center" w:pos="1853"/>
          <w:tab w:val="center" w:pos="3512"/>
          <w:tab w:val="center" w:pos="4382"/>
          <w:tab w:val="center" w:pos="5213"/>
          <w:tab w:val="center" w:pos="6481"/>
          <w:tab w:val="center" w:pos="8992"/>
        </w:tabs>
        <w:spacing w:after="12"/>
        <w:ind w:left="0" w:firstLine="0"/>
        <w:jc w:val="left"/>
      </w:pPr>
      <w:r>
        <w:rPr>
          <w:rFonts w:ascii="Calibri" w:eastAsia="Calibri" w:hAnsi="Calibri" w:cs="Calibri"/>
          <w:sz w:val="22"/>
        </w:rPr>
        <w:tab/>
      </w:r>
      <w:r>
        <w:t xml:space="preserve">[Электронный </w:t>
      </w:r>
      <w:r>
        <w:tab/>
        <w:t xml:space="preserve">ресурс] </w:t>
      </w:r>
      <w:r>
        <w:tab/>
        <w:t xml:space="preserve">– </w:t>
      </w:r>
      <w:r>
        <w:tab/>
      </w:r>
      <w:r>
        <w:t xml:space="preserve">Режим </w:t>
      </w:r>
      <w:r>
        <w:tab/>
        <w:t xml:space="preserve">доступа: </w:t>
      </w:r>
      <w:r>
        <w:tab/>
      </w:r>
      <w:hyperlink r:id="rId1069">
        <w:r>
          <w:t>http://works.doklad.ru/view/</w:t>
        </w:r>
      </w:hyperlink>
      <w:hyperlink r:id="rId1070">
        <w:r>
          <w:t>-</w:t>
        </w:r>
      </w:hyperlink>
    </w:p>
    <w:p w:rsidR="002C0F56" w:rsidRDefault="00E67C6E">
      <w:pPr>
        <w:ind w:left="994" w:right="302" w:firstLine="0"/>
      </w:pPr>
      <w:hyperlink r:id="rId1071">
        <w:r>
          <w:t>HnnOdfnLYo.html</w:t>
        </w:r>
      </w:hyperlink>
      <w:hyperlink r:id="rId1072">
        <w:r>
          <w:t xml:space="preserve"> </w:t>
        </w:r>
      </w:hyperlink>
      <w:r>
        <w:t xml:space="preserve"> </w:t>
      </w:r>
    </w:p>
    <w:p w:rsidR="002C0F56" w:rsidRDefault="00E67C6E">
      <w:pPr>
        <w:numPr>
          <w:ilvl w:val="0"/>
          <w:numId w:val="169"/>
        </w:numPr>
        <w:ind w:right="302"/>
      </w:pPr>
      <w:r>
        <w:t xml:space="preserve">Малый бизнес в зарубежной практике. [Электронный ресурс] – Режим доступа: </w:t>
      </w:r>
      <w:hyperlink r:id="rId1073">
        <w:r>
          <w:t>http://novainfo.ru/article/10107/pdf</w:t>
        </w:r>
      </w:hyperlink>
      <w:hyperlink r:id="rId1074">
        <w:r>
          <w:t xml:space="preserve"> </w:t>
        </w:r>
      </w:hyperlink>
    </w:p>
    <w:p w:rsidR="002C0F56" w:rsidRDefault="00E67C6E">
      <w:pPr>
        <w:numPr>
          <w:ilvl w:val="0"/>
          <w:numId w:val="169"/>
        </w:numPr>
        <w:ind w:right="302"/>
      </w:pPr>
      <w:r>
        <w:t xml:space="preserve">Россия и США: лидеры или нет? [Электронный ресурс] – Режим </w:t>
      </w:r>
    </w:p>
    <w:p w:rsidR="002C0F56" w:rsidRDefault="00E67C6E">
      <w:pPr>
        <w:ind w:left="994" w:right="302" w:firstLine="0"/>
      </w:pPr>
      <w:r>
        <w:t xml:space="preserve">доступа: http:// infoКраm.ru  </w:t>
      </w:r>
    </w:p>
    <w:p w:rsidR="002C0F56" w:rsidRDefault="00E67C6E">
      <w:pPr>
        <w:numPr>
          <w:ilvl w:val="0"/>
          <w:numId w:val="169"/>
        </w:numPr>
        <w:spacing w:after="12"/>
        <w:ind w:right="302"/>
      </w:pPr>
      <w:r>
        <w:t xml:space="preserve">Поддержка бизнеса США [Электронный ресурс] – Режим доступа: </w:t>
      </w:r>
    </w:p>
    <w:p w:rsidR="002C0F56" w:rsidRDefault="00E67C6E">
      <w:pPr>
        <w:ind w:left="994" w:right="302" w:firstLine="0"/>
      </w:pPr>
      <w:hyperlink r:id="rId1075">
        <w:r>
          <w:t>http://dis</w:t>
        </w:r>
        <w:r>
          <w:t>.ru/library/detail.php?ID=22695</w:t>
        </w:r>
      </w:hyperlink>
      <w:hyperlink r:id="rId1076">
        <w:r>
          <w:t xml:space="preserve"> </w:t>
        </w:r>
      </w:hyperlink>
      <w:r>
        <w:t xml:space="preserve"> </w:t>
      </w:r>
    </w:p>
    <w:p w:rsidR="002C0F56" w:rsidRDefault="00E67C6E">
      <w:pPr>
        <w:numPr>
          <w:ilvl w:val="0"/>
          <w:numId w:val="169"/>
        </w:numPr>
        <w:spacing w:after="9"/>
        <w:ind w:right="302"/>
      </w:pPr>
      <w:r>
        <w:t xml:space="preserve">Государственная поддержка малого предпринимательства: сравнительный анализ российского и зарубежного опыта. [Электронный ресурс] – Режим доступа:  </w:t>
      </w:r>
    </w:p>
    <w:p w:rsidR="002C0F56" w:rsidRDefault="00E67C6E">
      <w:pPr>
        <w:ind w:left="994" w:right="302" w:firstLine="0"/>
      </w:pPr>
      <w:r>
        <w:t>https://www.h</w:t>
      </w:r>
      <w:r>
        <w:t xml:space="preserve">se.ru/pubs/share/direct/document/72361720 </w:t>
      </w:r>
    </w:p>
    <w:p w:rsidR="002C0F56" w:rsidRDefault="00E67C6E">
      <w:pPr>
        <w:numPr>
          <w:ilvl w:val="0"/>
          <w:numId w:val="169"/>
        </w:numPr>
        <w:ind w:right="302"/>
      </w:pPr>
      <w:r>
        <w:lastRenderedPageBreak/>
        <w:t xml:space="preserve">Официальный сайт SBA.Новости. Открытые данные. [Электронный ресурс] – Режим доступа: </w:t>
      </w:r>
      <w:hyperlink r:id="rId1077">
        <w:r>
          <w:t>https://www.sba.gov/about</w:t>
        </w:r>
      </w:hyperlink>
      <w:hyperlink r:id="rId1078">
        <w:r>
          <w:t>-</w:t>
        </w:r>
      </w:hyperlink>
      <w:hyperlink r:id="rId1079">
        <w:r>
          <w:t>sba/sba</w:t>
        </w:r>
      </w:hyperlink>
      <w:hyperlink r:id="rId1080">
        <w:r>
          <w:t>-</w:t>
        </w:r>
      </w:hyperlink>
      <w:hyperlink r:id="rId1081">
        <w:r>
          <w:t>newsroom</w:t>
        </w:r>
      </w:hyperlink>
      <w:hyperlink r:id="rId1082">
        <w:r>
          <w:t xml:space="preserve"> </w:t>
        </w:r>
      </w:hyperlink>
      <w:r>
        <w:t xml:space="preserve"> </w:t>
      </w:r>
    </w:p>
    <w:p w:rsidR="002C0F56" w:rsidRDefault="00E67C6E">
      <w:pPr>
        <w:numPr>
          <w:ilvl w:val="0"/>
          <w:numId w:val="169"/>
        </w:numPr>
        <w:ind w:right="302"/>
      </w:pPr>
      <w:r>
        <w:t xml:space="preserve">Малое предпринимательство как субъект мировой и национальной экономики. [Электронный ресурс] – Режим доступа: </w:t>
      </w:r>
      <w:hyperlink r:id="rId1083">
        <w:r>
          <w:t>http://r.bookap.info/work</w:t>
        </w:r>
        <w:r>
          <w:t>/163626/Maloe</w:t>
        </w:r>
      </w:hyperlink>
      <w:hyperlink r:id="rId1084">
        <w:r>
          <w:t>-</w:t>
        </w:r>
      </w:hyperlink>
      <w:hyperlink r:id="rId1085">
        <w:r>
          <w:t>predprinimatelstvo</w:t>
        </w:r>
      </w:hyperlink>
      <w:hyperlink r:id="rId1086">
        <w:r>
          <w:t>-</w:t>
        </w:r>
      </w:hyperlink>
      <w:hyperlink r:id="rId1087">
        <w:r>
          <w:t>kak</w:t>
        </w:r>
      </w:hyperlink>
      <w:hyperlink r:id="rId1088">
        <w:r>
          <w:t>-</w:t>
        </w:r>
      </w:hyperlink>
      <w:hyperlink r:id="rId1089">
        <w:r>
          <w:t>subekt</w:t>
        </w:r>
      </w:hyperlink>
      <w:hyperlink r:id="rId1090">
        <w:r>
          <w:t xml:space="preserve"> </w:t>
        </w:r>
      </w:hyperlink>
      <w:r>
        <w:t xml:space="preserve"> </w:t>
      </w:r>
    </w:p>
    <w:p w:rsidR="002C0F56" w:rsidRDefault="00E67C6E">
      <w:pPr>
        <w:numPr>
          <w:ilvl w:val="0"/>
          <w:numId w:val="169"/>
        </w:numPr>
        <w:ind w:right="302"/>
      </w:pPr>
      <w:r>
        <w:t xml:space="preserve">Развитие </w:t>
      </w:r>
      <w:r>
        <w:tab/>
        <w:t xml:space="preserve">малого </w:t>
      </w:r>
      <w:r>
        <w:tab/>
        <w:t xml:space="preserve">бизнеса </w:t>
      </w:r>
      <w:r>
        <w:tab/>
        <w:t xml:space="preserve">в </w:t>
      </w:r>
      <w:r>
        <w:tab/>
        <w:t xml:space="preserve">Соединенных </w:t>
      </w:r>
      <w:r>
        <w:tab/>
        <w:t xml:space="preserve">Штатах </w:t>
      </w:r>
      <w:r>
        <w:tab/>
        <w:t xml:space="preserve">Америки </w:t>
      </w:r>
    </w:p>
    <w:p w:rsidR="002C0F56" w:rsidRDefault="00E67C6E">
      <w:pPr>
        <w:tabs>
          <w:tab w:val="center" w:pos="1853"/>
          <w:tab w:val="center" w:pos="3512"/>
          <w:tab w:val="center" w:pos="4382"/>
          <w:tab w:val="center" w:pos="5213"/>
          <w:tab w:val="center" w:pos="6481"/>
          <w:tab w:val="center" w:pos="8992"/>
        </w:tabs>
        <w:spacing w:after="12"/>
        <w:ind w:left="0" w:firstLine="0"/>
        <w:jc w:val="left"/>
      </w:pPr>
      <w:r>
        <w:rPr>
          <w:rFonts w:ascii="Calibri" w:eastAsia="Calibri" w:hAnsi="Calibri" w:cs="Calibri"/>
          <w:sz w:val="22"/>
        </w:rPr>
        <w:tab/>
      </w:r>
      <w:r>
        <w:t>[Электронный</w:t>
      </w:r>
      <w:r>
        <w:t xml:space="preserve"> </w:t>
      </w:r>
      <w:r>
        <w:tab/>
        <w:t xml:space="preserve">ресурс] </w:t>
      </w:r>
      <w:r>
        <w:tab/>
        <w:t xml:space="preserve">– </w:t>
      </w:r>
      <w:r>
        <w:tab/>
        <w:t xml:space="preserve">Режим </w:t>
      </w:r>
      <w:r>
        <w:tab/>
        <w:t xml:space="preserve">доступа: </w:t>
      </w:r>
      <w:r>
        <w:tab/>
      </w:r>
      <w:hyperlink r:id="rId1091">
        <w:r>
          <w:t>http://works.doklad.ru/view/</w:t>
        </w:r>
      </w:hyperlink>
      <w:hyperlink r:id="rId1092">
        <w:r>
          <w:t>-</w:t>
        </w:r>
      </w:hyperlink>
    </w:p>
    <w:p w:rsidR="002C0F56" w:rsidRDefault="00E67C6E">
      <w:pPr>
        <w:ind w:left="994" w:right="302" w:firstLine="0"/>
      </w:pPr>
      <w:hyperlink r:id="rId1093">
        <w:r>
          <w:t>Hnn</w:t>
        </w:r>
        <w:r>
          <w:t>OdfnLYo.html</w:t>
        </w:r>
      </w:hyperlink>
      <w:hyperlink r:id="rId1094">
        <w:r>
          <w:t xml:space="preserve"> </w:t>
        </w:r>
      </w:hyperlink>
      <w:r>
        <w:t xml:space="preserve"> </w:t>
      </w:r>
    </w:p>
    <w:p w:rsidR="002C0F56" w:rsidRDefault="00E67C6E">
      <w:pPr>
        <w:numPr>
          <w:ilvl w:val="0"/>
          <w:numId w:val="169"/>
        </w:numPr>
        <w:ind w:right="302"/>
      </w:pPr>
      <w:r>
        <w:t xml:space="preserve">Современные проблемы  малого и среднего бизнеса в России и пути их решения. [Электронный ресурс] – Режим доступа: </w:t>
      </w:r>
      <w:hyperlink r:id="rId1095">
        <w:r>
          <w:t>http://www.scienceforum.ru/2015/pdf/11632.pdf</w:t>
        </w:r>
      </w:hyperlink>
      <w:hyperlink r:id="rId1096">
        <w:r>
          <w:t xml:space="preserve"> </w:t>
        </w:r>
      </w:hyperlink>
      <w:r>
        <w:t xml:space="preserve">  </w:t>
      </w:r>
    </w:p>
    <w:p w:rsidR="002C0F56" w:rsidRDefault="00E67C6E">
      <w:pPr>
        <w:numPr>
          <w:ilvl w:val="0"/>
          <w:numId w:val="169"/>
        </w:numPr>
        <w:spacing w:after="0"/>
        <w:ind w:right="302"/>
      </w:pPr>
      <w:r>
        <w:t xml:space="preserve">Малый бизнес в России и за Рубежом. [Электронный ресурс] – Режим доступа: </w:t>
      </w:r>
      <w:hyperlink r:id="rId1097">
        <w:r>
          <w:t>https://rae.r</w:t>
        </w:r>
        <w:r>
          <w:t>u/forum2012/327/3248</w:t>
        </w:r>
      </w:hyperlink>
      <w:hyperlink r:id="rId1098">
        <w:r>
          <w:t xml:space="preserve"> </w:t>
        </w:r>
      </w:hyperlink>
    </w:p>
    <w:p w:rsidR="002C0F56" w:rsidRDefault="00E67C6E">
      <w:pPr>
        <w:spacing w:after="0" w:line="259" w:lineRule="auto"/>
        <w:ind w:left="1558" w:firstLine="0"/>
        <w:jc w:val="left"/>
      </w:pPr>
      <w:r>
        <w:t xml:space="preserve"> </w:t>
      </w:r>
    </w:p>
    <w:p w:rsidR="002C0F56" w:rsidRDefault="00E67C6E">
      <w:pPr>
        <w:spacing w:after="30" w:line="259" w:lineRule="auto"/>
        <w:ind w:left="1558" w:firstLine="0"/>
        <w:jc w:val="left"/>
      </w:pPr>
      <w:r>
        <w:t xml:space="preserve"> </w:t>
      </w:r>
    </w:p>
    <w:p w:rsidR="002C0F56" w:rsidRDefault="00E67C6E">
      <w:pPr>
        <w:spacing w:after="25" w:line="259" w:lineRule="auto"/>
        <w:ind w:left="10" w:right="305" w:hanging="10"/>
        <w:jc w:val="right"/>
      </w:pPr>
      <w:r>
        <w:rPr>
          <w:b/>
        </w:rPr>
        <w:t xml:space="preserve">Ныркова Э. </w:t>
      </w:r>
    </w:p>
    <w:p w:rsidR="002C0F56" w:rsidRDefault="00E67C6E">
      <w:pPr>
        <w:spacing w:after="11" w:line="270" w:lineRule="auto"/>
        <w:ind w:left="10" w:right="311" w:hanging="10"/>
        <w:jc w:val="right"/>
      </w:pPr>
      <w:r>
        <w:t xml:space="preserve">Научный руководитель: Бойцова Е.Н. </w:t>
      </w:r>
    </w:p>
    <w:p w:rsidR="002C0F56" w:rsidRDefault="00E67C6E">
      <w:pPr>
        <w:spacing w:after="0" w:line="267" w:lineRule="auto"/>
        <w:ind w:left="905" w:right="313" w:hanging="10"/>
        <w:jc w:val="right"/>
      </w:pPr>
      <w:r>
        <w:rPr>
          <w:i/>
        </w:rPr>
        <w:t xml:space="preserve">Донецкий государственный колледж пищевых технологий и торговли </w:t>
      </w:r>
    </w:p>
    <w:p w:rsidR="002C0F56" w:rsidRDefault="00E67C6E">
      <w:pPr>
        <w:spacing w:after="0" w:line="259" w:lineRule="auto"/>
        <w:ind w:left="1558" w:firstLine="0"/>
        <w:jc w:val="left"/>
      </w:pPr>
      <w:r>
        <w:rPr>
          <w:b/>
        </w:rPr>
        <w:t xml:space="preserve"> </w:t>
      </w:r>
    </w:p>
    <w:p w:rsidR="002C0F56" w:rsidRDefault="00E67C6E">
      <w:pPr>
        <w:pStyle w:val="1"/>
        <w:spacing w:after="15" w:line="271" w:lineRule="auto"/>
        <w:ind w:left="1121" w:right="0"/>
        <w:jc w:val="left"/>
      </w:pPr>
      <w:r>
        <w:t xml:space="preserve">ИССЛЕДОВАНИЕ ПРОБЛЕМЫ ЗДОРОВОГО ПИТАНИЯ И КРАСОТЫ </w:t>
      </w:r>
    </w:p>
    <w:p w:rsidR="002C0F56" w:rsidRDefault="00E67C6E">
      <w:pPr>
        <w:pStyle w:val="1"/>
        <w:ind w:left="700" w:right="5"/>
      </w:pPr>
      <w:r>
        <w:t xml:space="preserve">СОВРЕМЕННОЙ ДЕВУШКИ </w:t>
      </w:r>
    </w:p>
    <w:p w:rsidR="002C0F56" w:rsidRDefault="00E67C6E">
      <w:pPr>
        <w:spacing w:after="21" w:line="259" w:lineRule="auto"/>
        <w:ind w:left="1558" w:firstLine="0"/>
        <w:jc w:val="left"/>
      </w:pPr>
      <w:r>
        <w:rPr>
          <w:b/>
        </w:rPr>
        <w:t xml:space="preserve"> </w:t>
      </w:r>
    </w:p>
    <w:p w:rsidR="002C0F56" w:rsidRDefault="00E67C6E">
      <w:pPr>
        <w:spacing w:after="0" w:line="267" w:lineRule="auto"/>
        <w:ind w:left="6993" w:right="306" w:hanging="10"/>
        <w:jc w:val="right"/>
      </w:pPr>
      <w:r>
        <w:rPr>
          <w:i/>
        </w:rPr>
        <w:t xml:space="preserve">«Мы - то, что мы едим». Поль Брэгг </w:t>
      </w:r>
    </w:p>
    <w:p w:rsidR="002C0F56" w:rsidRDefault="00E67C6E">
      <w:pPr>
        <w:spacing w:after="0" w:line="267" w:lineRule="auto"/>
        <w:ind w:left="905" w:right="310" w:hanging="10"/>
        <w:jc w:val="right"/>
      </w:pPr>
      <w:r>
        <w:rPr>
          <w:i/>
        </w:rPr>
        <w:t xml:space="preserve">«Нельзя понять причины болезней людей, не зная, чем они питаются». </w:t>
      </w:r>
    </w:p>
    <w:p w:rsidR="002C0F56" w:rsidRDefault="00E67C6E">
      <w:pPr>
        <w:spacing w:after="0" w:line="267" w:lineRule="auto"/>
        <w:ind w:left="905" w:right="305" w:hanging="10"/>
        <w:jc w:val="right"/>
      </w:pPr>
      <w:r>
        <w:rPr>
          <w:i/>
        </w:rPr>
        <w:t xml:space="preserve">Гиппократ </w:t>
      </w:r>
    </w:p>
    <w:p w:rsidR="002C0F56" w:rsidRDefault="00E67C6E">
      <w:pPr>
        <w:spacing w:after="0" w:line="259" w:lineRule="auto"/>
        <w:ind w:left="1558" w:firstLine="0"/>
        <w:jc w:val="left"/>
      </w:pPr>
      <w:r>
        <w:t xml:space="preserve"> </w:t>
      </w:r>
    </w:p>
    <w:p w:rsidR="002C0F56" w:rsidRDefault="00E67C6E">
      <w:pPr>
        <w:spacing w:after="1"/>
        <w:ind w:left="994" w:right="302"/>
      </w:pPr>
      <w:r>
        <w:t>Женщина всегда стремиться быть красивой и молодой, а также сохранить эту молодость и красоту. Добиться красивой внешности можно различными способами: хорошая косметика, правильно подобранная одежда, ухоженные волосы. Но это средства наружного применения. К</w:t>
      </w:r>
      <w:r>
        <w:t xml:space="preserve">ак правило, одежда маскирует недостатки фигуры, косметика — прыщи и высыпания на лице, а красота волос достигается за счет применения всевозможных бальзамов и масок.  </w:t>
      </w:r>
    </w:p>
    <w:p w:rsidR="002C0F56" w:rsidRDefault="00E67C6E">
      <w:pPr>
        <w:spacing w:after="10"/>
        <w:ind w:left="994" w:right="302"/>
      </w:pPr>
      <w:r>
        <w:t xml:space="preserve">Но недостаточно просто ухаживать за собой. Чтобы сияли глаза, искрилась здоровьем кожа, </w:t>
      </w:r>
      <w:r>
        <w:t>волосы были гладкими — нужно налаживать свое питание. Каждая женщина рано или поздно начинает задумываться о том, правильно ли она питается. Здоровое питание - это питание, обеспечивающее рост, нормальное развитие и жизнедеятельность человека, способствующ</w:t>
      </w:r>
      <w:r>
        <w:t xml:space="preserve">ее укреплению его </w:t>
      </w:r>
      <w:r>
        <w:lastRenderedPageBreak/>
        <w:t xml:space="preserve">здоровья и профилактике заболеваний. А ведь здоровье и красота начинаются с детства. [1] </w:t>
      </w:r>
    </w:p>
    <w:p w:rsidR="002C0F56" w:rsidRDefault="00E67C6E">
      <w:pPr>
        <w:spacing w:after="10"/>
        <w:ind w:left="994" w:right="302"/>
      </w:pPr>
      <w:r>
        <w:t>Возраст, в котором у девочек наступает половое созревание, постепенно снижается. В 19 веке девочки созревали к 15 годам. В 60-х годах 20 столетия 12</w:t>
      </w:r>
      <w:r>
        <w:t xml:space="preserve"> лет считались нормальным возрастом для полового созревания девочек. В наше время гормональная перестройка организма у детей начинается значительно раньше, к 9-10 годам. Ученые насторожены этим явлением, поскольку раннее половое созревание способствует воз</w:t>
      </w:r>
      <w:r>
        <w:t xml:space="preserve">никновению у девочек целого ряда социальных проблем. </w:t>
      </w:r>
    </w:p>
    <w:p w:rsidR="002C0F56" w:rsidRDefault="00E67C6E">
      <w:pPr>
        <w:spacing w:after="10"/>
        <w:ind w:left="994" w:right="302"/>
      </w:pPr>
      <w:r>
        <w:t xml:space="preserve">Процесс полового созревания зависит от множества факторов. Новое исследование, проведенное учеными из Висконсинского университета в Мэдисоне, показало, что одним фактором является еда. </w:t>
      </w:r>
    </w:p>
    <w:p w:rsidR="002C0F56" w:rsidRDefault="00E67C6E">
      <w:pPr>
        <w:spacing w:after="2"/>
        <w:ind w:left="994" w:right="302"/>
      </w:pPr>
      <w:r>
        <w:t>Известно, что ра</w:t>
      </w:r>
      <w:r>
        <w:t xml:space="preserve">циональное питание, являясь важнейшей составной частью ЗОЖ, способствует сохранению здоровья, повышению сопротивляемости вредным факторам окружающей среды, высокой физической и умственной работоспособности, а также активному долголетию. [2] </w:t>
      </w:r>
    </w:p>
    <w:p w:rsidR="002C0F56" w:rsidRDefault="00E67C6E">
      <w:pPr>
        <w:ind w:left="994" w:right="302"/>
      </w:pPr>
      <w:r>
        <w:t>Группа социоло</w:t>
      </w:r>
      <w:r>
        <w:t>гов из Университета Миссури опросила несколько десятков девушек студенческого возраста. Всех их просили оценить собственные тела, а также высказаться, как по их мнению, женщины воспринимаются современной масс-культурой. Оказалось, что вопрос здоровья не яв</w:t>
      </w:r>
      <w:r>
        <w:t xml:space="preserve">лялся приоритетным для большинства участниц исследования, когда дело касается здорового питания. Автор исследования Мария Лен-Риос обозначила, что «девушки совершенно не думают о том, какие питательные вещества нужны их организму, когда выбирают себе еду. </w:t>
      </w:r>
      <w:r>
        <w:t xml:space="preserve">Куда больше их беспокоит количество калорий в продуктах. А это цифра далеко не всегда имеет отношение к сбалансированной диете». [3] </w:t>
      </w:r>
    </w:p>
    <w:p w:rsidR="002C0F56" w:rsidRDefault="00E67C6E">
      <w:pPr>
        <w:spacing w:after="0"/>
        <w:ind w:left="994" w:right="302"/>
      </w:pPr>
      <w:r>
        <w:t>Опрошенные исследователями специалисты по здоровому питанию заявили, что нехватка времени и нездоровая пища не позволяют м</w:t>
      </w:r>
      <w:r>
        <w:t xml:space="preserve">олодым людям получать полностью сбалансированное питание. Кроме того, СМИ, Интернет, социальные сети засыпают молодежь советами о том, как нужно есть, как нужно жить, и как выглядеть при этом. </w:t>
      </w:r>
    </w:p>
    <w:p w:rsidR="002C0F56" w:rsidRDefault="00E67C6E">
      <w:pPr>
        <w:ind w:left="994" w:right="302"/>
      </w:pPr>
      <w:r>
        <w:t>В подростковом возрасте для девочек все проблемы с питанием св</w:t>
      </w:r>
      <w:r>
        <w:t xml:space="preserve">одятся к решению трех мучительных задач: Как вывести с лица угревую сыпь? Как легко и быстро похудеть? Как не соблазняться вкусностями? </w:t>
      </w:r>
    </w:p>
    <w:p w:rsidR="002C0F56" w:rsidRDefault="00E67C6E">
      <w:pPr>
        <w:numPr>
          <w:ilvl w:val="0"/>
          <w:numId w:val="170"/>
        </w:numPr>
        <w:ind w:right="302"/>
      </w:pPr>
      <w:r>
        <w:t xml:space="preserve">Только правильное питание спасет девушек этого возраста </w:t>
      </w:r>
      <w:r>
        <w:t xml:space="preserve">от проблем жирной кожи, которая является результатом переедания сладких и соленых продуктов, чипсов, фаст-фудов, а также нарушенного режима питания. </w:t>
      </w:r>
    </w:p>
    <w:p w:rsidR="002C0F56" w:rsidRDefault="00E67C6E">
      <w:pPr>
        <w:numPr>
          <w:ilvl w:val="0"/>
          <w:numId w:val="170"/>
        </w:numPr>
        <w:spacing w:after="0"/>
        <w:ind w:right="302"/>
      </w:pPr>
      <w:r>
        <w:t>Лишний вес девушкам-подросткам ни к чему, но они должны усвоить одну прописную истину: не обязательно сади</w:t>
      </w:r>
      <w:r>
        <w:t xml:space="preserve">тся на жуткие, изматывающие диеты, которые строжайше запрещены в этом возрасте. Достаточно будет </w:t>
      </w:r>
      <w:r>
        <w:lastRenderedPageBreak/>
        <w:t xml:space="preserve">упорядочить свое питание и включить в рацион продукты, которые необходимы для происходящих внутри организма возрастных изменений. </w:t>
      </w:r>
    </w:p>
    <w:p w:rsidR="002C0F56" w:rsidRDefault="00E67C6E">
      <w:pPr>
        <w:numPr>
          <w:ilvl w:val="0"/>
          <w:numId w:val="170"/>
        </w:numPr>
        <w:ind w:right="302"/>
      </w:pPr>
      <w:r>
        <w:t>Бесконтрольное поглощение сл</w:t>
      </w:r>
      <w:r>
        <w:t xml:space="preserve">адостей и тех же чипсов приводит ещё и к ожирению, что очень опасно в подростковом возрасте. [4] </w:t>
      </w:r>
    </w:p>
    <w:p w:rsidR="002C0F56" w:rsidRDefault="00E67C6E">
      <w:pPr>
        <w:spacing w:after="10"/>
        <w:ind w:left="994" w:right="302"/>
      </w:pPr>
      <w:r>
        <w:t>Многих девочек пугают изменения с их телом, они стесняются своих отличий от сверстников. А уж если эти изменения приводят к росту веса, подростки начинают или</w:t>
      </w:r>
      <w:r>
        <w:t xml:space="preserve"> ограничивать себя в еде, зачастую лишая организм совершенно необходимых ему полезных веществ, или «заедать» свои проблемы и страхи, ещё больше увеличивая свой вес. </w:t>
      </w:r>
    </w:p>
    <w:p w:rsidR="002C0F56" w:rsidRDefault="00E67C6E">
      <w:pPr>
        <w:ind w:left="994" w:right="302"/>
      </w:pPr>
      <w:r>
        <w:t>По статистике, 25% пятнадцатилетних девушек сидят на диете, ещё процентов 25 хотя бы раз у</w:t>
      </w:r>
      <w:r>
        <w:t>же попробовали какое-либо ограничение питания, считая себя «толстыми». При этом около 40% из них имеют нормальный или даже недостаточный вес! А все ограничения в питании, увы, сказываются в этом возрасте вовсе не на теле! Из-за недостатка витаминов, минера</w:t>
      </w:r>
      <w:r>
        <w:t xml:space="preserve">лов, белков, жиров и углеводов страдает в первую очередь детский мозг, из-за чего ухудшается память, восприятие информации, страдает интеллект. </w:t>
      </w:r>
    </w:p>
    <w:p w:rsidR="002C0F56" w:rsidRDefault="00E67C6E">
      <w:pPr>
        <w:spacing w:after="15" w:line="268" w:lineRule="auto"/>
        <w:ind w:left="1262" w:right="269" w:hanging="10"/>
        <w:jc w:val="center"/>
      </w:pPr>
      <w:r>
        <w:t xml:space="preserve">Проведенные нами исследования позволяют сделать следующие выводы. </w:t>
      </w:r>
    </w:p>
    <w:p w:rsidR="002C0F56" w:rsidRDefault="00E67C6E">
      <w:pPr>
        <w:spacing w:after="0"/>
        <w:ind w:left="994" w:right="302"/>
      </w:pPr>
      <w:r>
        <w:t>Самое большое количество пищи за день девушк</w:t>
      </w:r>
      <w:r>
        <w:t>а съедает во время обеда. Преимущественно студентки питаются 2-3 раза в день. Большинство студенток стараются придерживаться правильного питания. Из 27 опрошенных студенток, 14 не употребляют фаст-фуд, так как понимают его как негативное влияние на здоровь</w:t>
      </w:r>
      <w:r>
        <w:t>е. 93% девушек считают, что супы являются важным компонентом питания, что говорит о том, что большинство студенток задумываются о том, какую пользу несут супы для пищеварения. Видна так же положительная динамика и стремление студенток питаться здоровой пищ</w:t>
      </w:r>
      <w:r>
        <w:t>ей, так считает 57% опрошенных. Для 26% студенток десерт является обязательным составляющим любого приема пищи, а так же способствует поднятию настроения и повышению аппетита. Большая часть студентов отдает предпочтение овощам, фруктам, мясу, рыбе и только</w:t>
      </w:r>
      <w:r>
        <w:t xml:space="preserve"> 44% не так важно, что есть лишь бы не чувствовать голода. 57% опрошенных стараются есть здоровую пищу, лишь иногда потребляя нездоровую пищу. У 80% студенток есть вредные привычки,  37% из них имеют вредную привычку – курение. </w:t>
      </w:r>
    </w:p>
    <w:p w:rsidR="002C0F56" w:rsidRDefault="00E67C6E">
      <w:pPr>
        <w:spacing w:after="2"/>
        <w:ind w:left="994" w:right="302"/>
      </w:pPr>
      <w:r>
        <w:t>Из этого всего можно сделат</w:t>
      </w:r>
      <w:r>
        <w:t xml:space="preserve">ь вывод о том, что студенты, несмотря на свой неустойчивый режим дня, частые стрессы, нерегулярное питание, стараются поддерживать правильное питание и заменять вредные продукты здоровой пищей.  </w:t>
      </w:r>
    </w:p>
    <w:p w:rsidR="002C0F56" w:rsidRDefault="00E67C6E">
      <w:pPr>
        <w:spacing w:after="63"/>
        <w:ind w:left="994" w:right="302"/>
      </w:pPr>
      <w:r>
        <w:t>Растущий организм «маленькой» женщины требует достаточно бол</w:t>
      </w:r>
      <w:r>
        <w:t xml:space="preserve">ьшое количество витаминов и минералов, главным из которых в этот период являются: </w:t>
      </w:r>
    </w:p>
    <w:p w:rsidR="002C0F56" w:rsidRDefault="00E67C6E">
      <w:pPr>
        <w:numPr>
          <w:ilvl w:val="0"/>
          <w:numId w:val="171"/>
        </w:numPr>
        <w:ind w:right="302"/>
      </w:pPr>
      <w:r>
        <w:t xml:space="preserve">Кальций укрепляет растущие кости, так что в рационе должно быть много капусты и молочных продуктов (такие как йогурт, сыр и творог); </w:t>
      </w:r>
    </w:p>
    <w:p w:rsidR="002C0F56" w:rsidRDefault="00E67C6E">
      <w:pPr>
        <w:numPr>
          <w:ilvl w:val="0"/>
          <w:numId w:val="171"/>
        </w:numPr>
        <w:spacing w:after="62"/>
        <w:ind w:right="302"/>
      </w:pPr>
      <w:r>
        <w:lastRenderedPageBreak/>
        <w:t>Железо отвечает за кроветворение, котор</w:t>
      </w:r>
      <w:r>
        <w:t xml:space="preserve">ое очень важно в организме девочки в период полового созревания, что обеспечивается употреблением нежирного мяса, рыбы и зерновых продуктов. </w:t>
      </w:r>
    </w:p>
    <w:p w:rsidR="002C0F56" w:rsidRDefault="00E67C6E">
      <w:pPr>
        <w:numPr>
          <w:ilvl w:val="0"/>
          <w:numId w:val="171"/>
        </w:numPr>
        <w:spacing w:after="63"/>
        <w:ind w:right="302"/>
      </w:pPr>
      <w:r>
        <w:t>Витамины-антиоксиданты А, С и Е. Роль этих витаминов заключается в том, что они защищают клетки от повреждений и п</w:t>
      </w:r>
      <w:r>
        <w:t xml:space="preserve">реждевременного старения, улучшают здоровье кожи, волос и ногтей. </w:t>
      </w:r>
    </w:p>
    <w:p w:rsidR="002C0F56" w:rsidRDefault="00E67C6E">
      <w:pPr>
        <w:numPr>
          <w:ilvl w:val="0"/>
          <w:numId w:val="171"/>
        </w:numPr>
        <w:ind w:right="302"/>
      </w:pPr>
      <w:r>
        <w:t xml:space="preserve">Ненасыщенные жирные кислоты. Эти кислоты придают эластичность коже, укрепляют ногти и дарят здоровый блеск волосам.  </w:t>
      </w:r>
    </w:p>
    <w:p w:rsidR="002C0F56" w:rsidRDefault="00E67C6E">
      <w:pPr>
        <w:numPr>
          <w:ilvl w:val="0"/>
          <w:numId w:val="171"/>
        </w:numPr>
        <w:spacing w:after="63"/>
        <w:ind w:right="302"/>
      </w:pPr>
      <w:r>
        <w:t>Омега-3 кислоты. Много таких веществ находится в жирной рыбе. Это также</w:t>
      </w:r>
      <w:r>
        <w:t xml:space="preserve"> способствует в профилактике преждевременного старения и очень важно для здоровья кожи. </w:t>
      </w:r>
    </w:p>
    <w:p w:rsidR="002C0F56" w:rsidRDefault="00E67C6E">
      <w:pPr>
        <w:numPr>
          <w:ilvl w:val="0"/>
          <w:numId w:val="171"/>
        </w:numPr>
        <w:spacing w:after="0"/>
        <w:ind w:right="302"/>
      </w:pPr>
      <w:r>
        <w:t>Коллаген. Больше всего коллагена содержится в продуктах животного происхождения, а именно мясных изделиях, но не в самом мясе, а в тех жилах и даже костях, которые часто удаляются  при приготовлении. Этот белок отвечает за упругость нашей кожи, а в организ</w:t>
      </w:r>
      <w:r>
        <w:t>ме он перестает вырабатываться с возрастом. Молекула коллагена велика для того, чтобы проникнуть в кров в неизменном виде, поэтому этот белок сначала расщепляется, а потом строится в коже. Правильное построение этого белка зависит от здоровья организма: ку</w:t>
      </w:r>
      <w:r>
        <w:t xml:space="preserve">рение, употребление алкоголя, стрессы нарушают этот процесс. [5] </w:t>
      </w:r>
    </w:p>
    <w:p w:rsidR="002C0F56" w:rsidRDefault="00E67C6E">
      <w:pPr>
        <w:spacing w:after="60"/>
        <w:ind w:left="994" w:right="302"/>
      </w:pPr>
      <w:r>
        <w:t>Девушки, которые хотят укрепить свое здоровье, устранить избыточный вес, нормализировать гормональный фон и очистить организм, должны следовать основным принципам правильного питания для дев</w:t>
      </w:r>
      <w:r>
        <w:t xml:space="preserve">ушек. Определим главные принципы правильного питания для девушек: </w:t>
      </w:r>
    </w:p>
    <w:p w:rsidR="002C0F56" w:rsidRDefault="00E67C6E">
      <w:pPr>
        <w:numPr>
          <w:ilvl w:val="0"/>
          <w:numId w:val="171"/>
        </w:numPr>
        <w:spacing w:after="12"/>
        <w:ind w:right="302"/>
      </w:pPr>
      <w:r>
        <w:t xml:space="preserve">регулярные основные приемы пищи 3-5 раз в сутки; </w:t>
      </w:r>
    </w:p>
    <w:p w:rsidR="002C0F56" w:rsidRDefault="00E67C6E">
      <w:pPr>
        <w:numPr>
          <w:ilvl w:val="0"/>
          <w:numId w:val="171"/>
        </w:numPr>
        <w:spacing w:after="12"/>
        <w:ind w:right="302"/>
      </w:pPr>
      <w:r>
        <w:t xml:space="preserve">раздельное и порционное питание без перенасыщения желудка; </w:t>
      </w:r>
    </w:p>
    <w:p w:rsidR="002C0F56" w:rsidRDefault="00E67C6E">
      <w:pPr>
        <w:numPr>
          <w:ilvl w:val="0"/>
          <w:numId w:val="171"/>
        </w:numPr>
        <w:spacing w:after="59"/>
        <w:ind w:right="302"/>
      </w:pPr>
      <w:r>
        <w:t>наличие обязательных перекусов (2-3 раза в сутки) сухофруктами, творогом, соком</w:t>
      </w:r>
      <w:r>
        <w:t xml:space="preserve"> и компотом; </w:t>
      </w:r>
    </w:p>
    <w:p w:rsidR="002C0F56" w:rsidRDefault="00E67C6E">
      <w:pPr>
        <w:numPr>
          <w:ilvl w:val="0"/>
          <w:numId w:val="171"/>
        </w:numPr>
        <w:spacing w:after="59"/>
        <w:ind w:right="302"/>
      </w:pPr>
      <w:r>
        <w:t xml:space="preserve">основой питания должны стать продукты, обогащенные витаминами, микроэлементами и клетчаткой; </w:t>
      </w:r>
    </w:p>
    <w:p w:rsidR="002C0F56" w:rsidRDefault="00E67C6E">
      <w:pPr>
        <w:numPr>
          <w:ilvl w:val="0"/>
          <w:numId w:val="171"/>
        </w:numPr>
        <w:spacing w:after="56"/>
        <w:ind w:right="302"/>
      </w:pPr>
      <w:r>
        <w:t xml:space="preserve">фрукты и овощи следует есть в свежем виде, а также добавлять в меню изюм, финики, инжир, хурму и курагу; </w:t>
      </w:r>
    </w:p>
    <w:p w:rsidR="002C0F56" w:rsidRDefault="00E67C6E">
      <w:pPr>
        <w:numPr>
          <w:ilvl w:val="0"/>
          <w:numId w:val="171"/>
        </w:numPr>
        <w:spacing w:after="59"/>
        <w:ind w:right="302"/>
      </w:pPr>
      <w:r>
        <w:t>регулярно нужно употреблять изделия из кру</w:t>
      </w:r>
      <w:r>
        <w:t xml:space="preserve">п и нежирные кисломолочные продукты (молоко, кефир, творог, ряженка и т.д.) </w:t>
      </w:r>
    </w:p>
    <w:p w:rsidR="002C0F56" w:rsidRDefault="00E67C6E">
      <w:pPr>
        <w:numPr>
          <w:ilvl w:val="0"/>
          <w:numId w:val="171"/>
        </w:numPr>
        <w:spacing w:after="60"/>
        <w:ind w:right="302"/>
      </w:pPr>
      <w:r>
        <w:t xml:space="preserve">организм должен получать ежедневно не менее 2 литров жидкости, за исключением искусственных, газированных и алкогольных напитков; </w:t>
      </w:r>
    </w:p>
    <w:p w:rsidR="002C0F56" w:rsidRDefault="00E67C6E">
      <w:pPr>
        <w:numPr>
          <w:ilvl w:val="0"/>
          <w:numId w:val="171"/>
        </w:numPr>
        <w:ind w:right="302"/>
      </w:pPr>
      <w:r>
        <w:t>полезно регулярно есть отварную и запеченную рыб</w:t>
      </w:r>
      <w:r>
        <w:t xml:space="preserve">у, в которой содержится фосфор и белки. [6] Итак, подведем итоги.  </w:t>
      </w:r>
    </w:p>
    <w:p w:rsidR="002C0F56" w:rsidRDefault="00E67C6E">
      <w:pPr>
        <w:spacing w:after="0"/>
        <w:ind w:left="994" w:right="302"/>
      </w:pPr>
      <w:r>
        <w:lastRenderedPageBreak/>
        <w:t>Питание для девушек является залогом здоровья, хорошего внешнего вида и самочувствия. Рацион должен быть направлен на очищение организма от вредных веществ, обогащение полезными витаминами</w:t>
      </w:r>
      <w:r>
        <w:t xml:space="preserve">, микроэлементами и минералами. Питание должно сочетаться со здоровым образом жизни, регулярными физическими нагрузками, а также соблюдением основных правил и ограничений. </w:t>
      </w:r>
    </w:p>
    <w:p w:rsidR="002C0F56" w:rsidRDefault="00E67C6E">
      <w:pPr>
        <w:spacing w:after="0"/>
        <w:ind w:left="994" w:right="302"/>
      </w:pPr>
      <w:r>
        <w:t>Прежде всего, питание для девушек подразумевает четкое и регулярное употребление на</w:t>
      </w:r>
      <w:r>
        <w:t>туральных продуктов с содержанием питательных веществ. Организму девушки ежедневно требуются около 45 компонентов, в том числе 8-9 аминокислот, витамины, минералы и жирные кислоты. Калорийность напрямую зависит от количества сжигаемых калорий. Здоровое пит</w:t>
      </w:r>
      <w:r>
        <w:t xml:space="preserve">ание для девушек должно представлять собой гармоничное сочетание полезных веществ. Нерегулярное питание грозит нарушениями в функционировании различных органов, гормональным нарушением и сбоями обменных процессов. </w:t>
      </w:r>
    </w:p>
    <w:p w:rsidR="002C0F56" w:rsidRDefault="00E67C6E">
      <w:pPr>
        <w:spacing w:after="0"/>
        <w:ind w:left="994" w:right="302"/>
      </w:pPr>
      <w:r>
        <w:t>Правильное питание для девушек является и</w:t>
      </w:r>
      <w:r>
        <w:t xml:space="preserve">ндивидуальным и составляется в соответствии с возрастными, физическими и психоэмоциональными особенностями. Также при планировании индивидуальной программы питания необходимо учитывать вес, уровень физической и умственной активности девушки, климатические </w:t>
      </w:r>
      <w:r>
        <w:t xml:space="preserve">и сезонные условия. Питание для девушек определяет их дальнейшее состояние здоровья и способность к деторождению.  </w:t>
      </w:r>
    </w:p>
    <w:p w:rsidR="002C0F56" w:rsidRDefault="00E67C6E">
      <w:pPr>
        <w:ind w:left="994" w:right="302"/>
      </w:pPr>
      <w:r>
        <w:t xml:space="preserve">Правильное питание способно подарить девушке здоровье, долголетие и красоту.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72"/>
        </w:numPr>
        <w:ind w:right="302"/>
      </w:pPr>
      <w:r>
        <w:t xml:space="preserve">Правильное питание для женской красоты. Полезные продукты для красоты и здоровья кожи и волос. [Электронный ресурс] – Код доступа: </w:t>
      </w:r>
    </w:p>
    <w:p w:rsidR="002C0F56" w:rsidRDefault="00E67C6E">
      <w:pPr>
        <w:ind w:left="994" w:right="302" w:firstLine="0"/>
      </w:pPr>
      <w:hyperlink r:id="rId1099">
        <w:r>
          <w:t>http://heaclub.ru/pravilnoe</w:t>
        </w:r>
      </w:hyperlink>
      <w:hyperlink r:id="rId1100">
        <w:r>
          <w:t>-</w:t>
        </w:r>
      </w:hyperlink>
      <w:hyperlink r:id="rId1101">
        <w:r>
          <w:t>pitanie</w:t>
        </w:r>
      </w:hyperlink>
      <w:hyperlink r:id="rId1102">
        <w:r>
          <w:t>-</w:t>
        </w:r>
      </w:hyperlink>
      <w:hyperlink r:id="rId1103">
        <w:r>
          <w:t>dlya</w:t>
        </w:r>
      </w:hyperlink>
      <w:hyperlink r:id="rId1104">
        <w:r>
          <w:t>-</w:t>
        </w:r>
      </w:hyperlink>
      <w:hyperlink r:id="rId1105">
        <w:r>
          <w:t>zhenskoj</w:t>
        </w:r>
      </w:hyperlink>
      <w:hyperlink r:id="rId1106">
        <w:r>
          <w:t>-</w:t>
        </w:r>
      </w:hyperlink>
      <w:hyperlink r:id="rId1107">
        <w:r>
          <w:t>krasoty</w:t>
        </w:r>
      </w:hyperlink>
      <w:hyperlink r:id="rId1108">
        <w:r>
          <w:t>-</w:t>
        </w:r>
      </w:hyperlink>
      <w:hyperlink r:id="rId1109">
        <w:r>
          <w:t>poleznye</w:t>
        </w:r>
      </w:hyperlink>
      <w:hyperlink r:id="rId1110">
        <w:r>
          <w:t>-</w:t>
        </w:r>
      </w:hyperlink>
      <w:hyperlink r:id="rId1111">
        <w:r>
          <w:t>produkty</w:t>
        </w:r>
      </w:hyperlink>
      <w:hyperlink r:id="rId1112">
        <w:r>
          <w:t>-</w:t>
        </w:r>
      </w:hyperlink>
      <w:hyperlink r:id="rId1113">
        <w:r>
          <w:t>dlya</w:t>
        </w:r>
      </w:hyperlink>
      <w:hyperlink r:id="rId1114"/>
      <w:hyperlink r:id="rId1115">
        <w:r>
          <w:t>krasoty</w:t>
        </w:r>
      </w:hyperlink>
      <w:hyperlink r:id="rId1116">
        <w:r>
          <w:t>-</w:t>
        </w:r>
      </w:hyperlink>
      <w:hyperlink r:id="rId1117">
        <w:r>
          <w:t>i</w:t>
        </w:r>
      </w:hyperlink>
      <w:hyperlink r:id="rId1118">
        <w:r>
          <w:t>-</w:t>
        </w:r>
      </w:hyperlink>
      <w:hyperlink r:id="rId1119">
        <w:r>
          <w:t>zdorov</w:t>
        </w:r>
        <w:r>
          <w:t>ya</w:t>
        </w:r>
      </w:hyperlink>
      <w:hyperlink r:id="rId1120">
        <w:r>
          <w:t>-</w:t>
        </w:r>
      </w:hyperlink>
      <w:hyperlink r:id="rId1121">
        <w:r>
          <w:t>kozhi</w:t>
        </w:r>
      </w:hyperlink>
      <w:hyperlink r:id="rId1122">
        <w:r>
          <w:t>-</w:t>
        </w:r>
      </w:hyperlink>
      <w:hyperlink r:id="rId1123">
        <w:r>
          <w:t>i</w:t>
        </w:r>
      </w:hyperlink>
      <w:hyperlink r:id="rId1124">
        <w:r>
          <w:t>-</w:t>
        </w:r>
      </w:hyperlink>
      <w:hyperlink r:id="rId1125">
        <w:r>
          <w:t>volos</w:t>
        </w:r>
      </w:hyperlink>
      <w:hyperlink r:id="rId1126">
        <w:r>
          <w:t xml:space="preserve"> </w:t>
        </w:r>
      </w:hyperlink>
    </w:p>
    <w:p w:rsidR="002C0F56" w:rsidRDefault="00E67C6E">
      <w:pPr>
        <w:numPr>
          <w:ilvl w:val="0"/>
          <w:numId w:val="172"/>
        </w:numPr>
        <w:ind w:right="302"/>
      </w:pPr>
      <w:r>
        <w:t>Хуснутдинова А. Б., Мануйлова Г. Р. Некоторые аспекты образа жизни современ</w:t>
      </w:r>
      <w:r>
        <w:t>ных школьников // Молодой ученый. — 2014. — №4. — С. 1123-1125. 3.</w:t>
      </w:r>
      <w:r>
        <w:rPr>
          <w:rFonts w:ascii="Arial" w:eastAsia="Arial" w:hAnsi="Arial" w:cs="Arial"/>
        </w:rPr>
        <w:t xml:space="preserve"> </w:t>
      </w:r>
      <w:r>
        <w:t xml:space="preserve">Девушки красоту ценят больше здоровья. [Электронный ресурс] – Код доступа: http://www.medikforum.ru/news/wellness/health_food/20873-devushkikrasotu-cenyat-vyshe-zdorovya.html </w:t>
      </w:r>
    </w:p>
    <w:p w:rsidR="002C0F56" w:rsidRDefault="00E67C6E">
      <w:pPr>
        <w:numPr>
          <w:ilvl w:val="0"/>
          <w:numId w:val="173"/>
        </w:numPr>
        <w:ind w:right="302"/>
      </w:pPr>
      <w:r>
        <w:t xml:space="preserve">Правильное питание для женщин в 20, 30, 40 и…[Электронный ресурс] – Код доступа: </w:t>
      </w:r>
      <w:hyperlink r:id="rId1127">
        <w:r>
          <w:t>http://zapiskiprofana.ru/pravilnoe</w:t>
        </w:r>
      </w:hyperlink>
      <w:hyperlink r:id="rId1128">
        <w:r>
          <w:t>-</w:t>
        </w:r>
      </w:hyperlink>
      <w:hyperlink r:id="rId1129">
        <w:r>
          <w:t>pitanie</w:t>
        </w:r>
      </w:hyperlink>
      <w:hyperlink r:id="rId1130">
        <w:r>
          <w:t>-</w:t>
        </w:r>
      </w:hyperlink>
      <w:hyperlink r:id="rId1131">
        <w:r>
          <w:t>dlya</w:t>
        </w:r>
      </w:hyperlink>
      <w:hyperlink r:id="rId1132">
        <w:r>
          <w:t>-</w:t>
        </w:r>
      </w:hyperlink>
      <w:hyperlink r:id="rId1133">
        <w:r>
          <w:t>zhenshhin/</w:t>
        </w:r>
      </w:hyperlink>
      <w:hyperlink r:id="rId1134">
        <w:r>
          <w:t xml:space="preserve"> </w:t>
        </w:r>
      </w:hyperlink>
    </w:p>
    <w:p w:rsidR="002C0F56" w:rsidRDefault="00E67C6E">
      <w:pPr>
        <w:numPr>
          <w:ilvl w:val="0"/>
          <w:numId w:val="173"/>
        </w:numPr>
        <w:spacing w:after="1"/>
        <w:ind w:right="302"/>
      </w:pPr>
      <w:r>
        <w:t>Пра</w:t>
      </w:r>
      <w:r>
        <w:t xml:space="preserve">вильное питание для женщин, продукты для женского здоровья и красоты. [Электронный ресурс] – Код доступа: </w:t>
      </w:r>
      <w:hyperlink r:id="rId1135">
        <w:r>
          <w:t>https://healthy</w:t>
        </w:r>
      </w:hyperlink>
      <w:hyperlink r:id="rId1136">
        <w:r>
          <w:t>-</w:t>
        </w:r>
      </w:hyperlink>
      <w:hyperlink r:id="rId1137">
        <w:r>
          <w:t>zone.ru/pravilnoe</w:t>
        </w:r>
      </w:hyperlink>
      <w:hyperlink r:id="rId1138"/>
      <w:hyperlink r:id="rId1139">
        <w:r>
          <w:t>pitanie</w:t>
        </w:r>
      </w:hyperlink>
      <w:hyperlink r:id="rId1140">
        <w:r>
          <w:t>-</w:t>
        </w:r>
      </w:hyperlink>
      <w:hyperlink r:id="rId1141">
        <w:r>
          <w:t>dlya</w:t>
        </w:r>
      </w:hyperlink>
      <w:hyperlink r:id="rId1142">
        <w:r>
          <w:t>-</w:t>
        </w:r>
      </w:hyperlink>
      <w:hyperlink r:id="rId1143">
        <w:r>
          <w:t>zhenshhin</w:t>
        </w:r>
      </w:hyperlink>
      <w:hyperlink r:id="rId1144">
        <w:r>
          <w:t>-</w:t>
        </w:r>
      </w:hyperlink>
      <w:hyperlink r:id="rId1145">
        <w:r>
          <w:t>produktyi</w:t>
        </w:r>
      </w:hyperlink>
      <w:hyperlink r:id="rId1146">
        <w:r>
          <w:t>-</w:t>
        </w:r>
      </w:hyperlink>
      <w:hyperlink r:id="rId1147">
        <w:r>
          <w:t>dlya</w:t>
        </w:r>
      </w:hyperlink>
      <w:hyperlink r:id="rId1148">
        <w:r>
          <w:t>-</w:t>
        </w:r>
      </w:hyperlink>
      <w:hyperlink r:id="rId1149">
        <w:r>
          <w:t>zhenskogo</w:t>
        </w:r>
      </w:hyperlink>
      <w:hyperlink r:id="rId1150">
        <w:r>
          <w:t>-</w:t>
        </w:r>
      </w:hyperlink>
      <w:hyperlink r:id="rId1151">
        <w:r>
          <w:t>zdorovya</w:t>
        </w:r>
      </w:hyperlink>
      <w:hyperlink r:id="rId1152">
        <w:r>
          <w:t>-</w:t>
        </w:r>
      </w:hyperlink>
      <w:hyperlink r:id="rId1153">
        <w:r>
          <w:t>i</w:t>
        </w:r>
      </w:hyperlink>
      <w:hyperlink r:id="rId1154">
        <w:r>
          <w:t>-</w:t>
        </w:r>
      </w:hyperlink>
      <w:hyperlink r:id="rId1155">
        <w:r>
          <w:t>krasotyi</w:t>
        </w:r>
      </w:hyperlink>
      <w:hyperlink r:id="rId1156">
        <w:r>
          <w:t xml:space="preserve"> </w:t>
        </w:r>
      </w:hyperlink>
    </w:p>
    <w:p w:rsidR="002C0F56" w:rsidRDefault="00E67C6E">
      <w:pPr>
        <w:spacing w:after="29" w:line="259" w:lineRule="auto"/>
        <w:ind w:left="1558" w:firstLine="0"/>
        <w:jc w:val="left"/>
      </w:pPr>
      <w:r>
        <w:t xml:space="preserve"> </w:t>
      </w:r>
    </w:p>
    <w:p w:rsidR="002C0F56" w:rsidRDefault="00E67C6E">
      <w:pPr>
        <w:spacing w:after="25" w:line="259" w:lineRule="auto"/>
        <w:ind w:left="10" w:right="307" w:hanging="10"/>
        <w:jc w:val="right"/>
      </w:pPr>
      <w:r>
        <w:rPr>
          <w:b/>
        </w:rPr>
        <w:t xml:space="preserve">Овчаренко О.И., к.т.н., доц. </w:t>
      </w:r>
    </w:p>
    <w:p w:rsidR="002C0F56" w:rsidRDefault="00E67C6E">
      <w:pPr>
        <w:spacing w:after="0" w:line="267" w:lineRule="auto"/>
        <w:ind w:left="905" w:right="311" w:hanging="10"/>
        <w:jc w:val="right"/>
      </w:pPr>
      <w:r>
        <w:rPr>
          <w:i/>
        </w:rPr>
        <w:lastRenderedPageBreak/>
        <w:t xml:space="preserve">Таганрогский институт управления и экономики </w:t>
      </w:r>
    </w:p>
    <w:p w:rsidR="002C0F56" w:rsidRDefault="00E67C6E">
      <w:pPr>
        <w:spacing w:after="0" w:line="259" w:lineRule="auto"/>
        <w:ind w:left="1558" w:firstLine="0"/>
        <w:jc w:val="left"/>
      </w:pPr>
      <w:r>
        <w:t xml:space="preserve"> </w:t>
      </w:r>
    </w:p>
    <w:p w:rsidR="002C0F56" w:rsidRDefault="00E67C6E">
      <w:pPr>
        <w:pStyle w:val="1"/>
        <w:spacing w:after="15" w:line="271" w:lineRule="auto"/>
        <w:ind w:left="1237" w:right="0"/>
        <w:jc w:val="left"/>
      </w:pPr>
      <w:r>
        <w:t xml:space="preserve">ПАРАЛЛЕЛЬНЫЕ АЛГОРИТМЫ РЕШЕНИЯ СИСТЕМ ЛИНЕЙНЫХ </w:t>
      </w:r>
    </w:p>
    <w:p w:rsidR="002C0F56" w:rsidRDefault="00E67C6E">
      <w:pPr>
        <w:pStyle w:val="1"/>
        <w:ind w:left="700" w:right="5"/>
      </w:pPr>
      <w:r>
        <w:t>АЛГЕБРАИЧЕСКИХ УРАВНЕНИЙ</w:t>
      </w:r>
      <w:r>
        <w:t xml:space="preserve"> </w:t>
      </w:r>
    </w:p>
    <w:p w:rsidR="002C0F56" w:rsidRDefault="00E67C6E">
      <w:pPr>
        <w:spacing w:after="0" w:line="259" w:lineRule="auto"/>
        <w:ind w:left="1558" w:firstLine="0"/>
        <w:jc w:val="left"/>
      </w:pPr>
      <w:r>
        <w:t xml:space="preserve"> </w:t>
      </w:r>
    </w:p>
    <w:p w:rsidR="002C0F56" w:rsidRDefault="00E67C6E">
      <w:pPr>
        <w:spacing w:after="12"/>
        <w:ind w:left="994" w:right="302"/>
      </w:pPr>
      <w:r>
        <w:t xml:space="preserve">Последовательные алгоритмы при реализации на многоядерных вычислительных структурах не всегда оказываются эффективными. Поэтому </w:t>
      </w:r>
      <w:r>
        <w:t xml:space="preserve">актуальной становится задача разработки параллельных алгоритмов, учитывающих не только характеристики задачи, но и параметры многопроцессорной вычислительной системы (МВС).  </w:t>
      </w:r>
    </w:p>
    <w:p w:rsidR="002C0F56" w:rsidRDefault="00E67C6E">
      <w:pPr>
        <w:spacing w:after="0"/>
        <w:ind w:left="994" w:right="302"/>
      </w:pPr>
      <w:r>
        <w:t xml:space="preserve"> В данной работе выбор остановлен на двух экономичных методах решения систем лине</w:t>
      </w:r>
      <w:r>
        <w:t xml:space="preserve">йных алгебраических уравнении (СЛАУ) с трехдиагональной матрицей: методе циклической редукции и методе прогонки </w:t>
      </w:r>
    </w:p>
    <w:p w:rsidR="002C0F56" w:rsidRDefault="00E67C6E">
      <w:pPr>
        <w:spacing w:after="12"/>
        <w:ind w:left="994" w:right="302" w:firstLine="0"/>
      </w:pPr>
      <w:r>
        <w:t xml:space="preserve">[1].  </w:t>
      </w:r>
    </w:p>
    <w:p w:rsidR="002C0F56" w:rsidRDefault="00E67C6E">
      <w:pPr>
        <w:spacing w:after="9"/>
        <w:ind w:left="994" w:right="302"/>
      </w:pPr>
      <w:r>
        <w:t>В качестве исходных данных при оценке эффективности построенных параллельных алгоритмов использовались параметры, характеризующие выбран</w:t>
      </w:r>
      <w:r>
        <w:t>ную задачу, а также аппаратные характеристики HPC-кластера (ЮФУ, г. Таганрог), который представляет собой многопроцессорную вычислительную систему (МВС) с распределенной памятью, состоящую из 128 вычислительных узлов, объединенных сетью InfiniBand, с пропу</w:t>
      </w:r>
      <w:r>
        <w:t xml:space="preserve">скной способностью 20 Гбит/с. В качестве вычислительных узлов используется 128 однотипных 16-ядерных Blade-серверов HP ProLiant BL685c, каждый из которых оснащен четырьмя 4ядерными процессорами AMD Opteron 8356 2.3GHz и объемом ОЗУ 32Гб [2].  Параллельные </w:t>
      </w:r>
      <w:r>
        <w:t xml:space="preserve">расчеты произведены с применением технологий MPI на МВС и с учетом параметров, полученных при тестировании данной системы пакетами Linpack и Pallas MPI benchmark. </w:t>
      </w:r>
    </w:p>
    <w:p w:rsidR="002C0F56" w:rsidRDefault="00E67C6E">
      <w:pPr>
        <w:ind w:left="994" w:right="302"/>
      </w:pPr>
      <w:r>
        <w:t>В качестве величин, характеризующих "распараллеливаемость" алгоритмов, использовались коэффи</w:t>
      </w:r>
      <w:r>
        <w:t xml:space="preserve">циенты ускорения </w:t>
      </w:r>
      <w:r>
        <w:rPr>
          <w:i/>
        </w:rPr>
        <w:t>S</w:t>
      </w:r>
      <w:r>
        <w:rPr>
          <w:i/>
          <w:vertAlign w:val="subscript"/>
        </w:rPr>
        <w:t>p</w:t>
      </w:r>
      <w:r>
        <w:rPr>
          <w:i/>
        </w:rPr>
        <w:t>=Т</w:t>
      </w:r>
      <w:r>
        <w:rPr>
          <w:i/>
          <w:vertAlign w:val="subscript"/>
        </w:rPr>
        <w:t>1</w:t>
      </w:r>
      <w:r>
        <w:rPr>
          <w:i/>
        </w:rPr>
        <w:t>/Т</w:t>
      </w:r>
      <w:r>
        <w:rPr>
          <w:i/>
          <w:vertAlign w:val="subscript"/>
        </w:rPr>
        <w:t>p</w:t>
      </w:r>
      <w:r>
        <w:t xml:space="preserve"> и эффективности алгоритма </w:t>
      </w:r>
      <w:r>
        <w:rPr>
          <w:i/>
        </w:rPr>
        <w:t>E</w:t>
      </w:r>
      <w:r>
        <w:rPr>
          <w:i/>
          <w:vertAlign w:val="subscript"/>
        </w:rPr>
        <w:t>p</w:t>
      </w:r>
      <w:r>
        <w:t>=</w:t>
      </w:r>
      <w:r>
        <w:rPr>
          <w:i/>
        </w:rPr>
        <w:t>S</w:t>
      </w:r>
      <w:r>
        <w:rPr>
          <w:i/>
          <w:vertAlign w:val="subscript"/>
        </w:rPr>
        <w:t>p</w:t>
      </w:r>
      <w:r>
        <w:rPr>
          <w:i/>
        </w:rPr>
        <w:t>/р</w:t>
      </w:r>
      <w:r>
        <w:t xml:space="preserve">. Величина </w:t>
      </w:r>
      <w:r>
        <w:rPr>
          <w:i/>
        </w:rPr>
        <w:t>Т</w:t>
      </w:r>
      <w:r>
        <w:rPr>
          <w:i/>
          <w:vertAlign w:val="subscript"/>
        </w:rPr>
        <w:t>1</w:t>
      </w:r>
      <w:r>
        <w:t xml:space="preserve"> характеризует время выполнения последовательного алгоритма, а </w:t>
      </w:r>
      <w:r>
        <w:rPr>
          <w:i/>
        </w:rPr>
        <w:t>Т</w:t>
      </w:r>
      <w:r>
        <w:rPr>
          <w:i/>
          <w:vertAlign w:val="subscript"/>
        </w:rPr>
        <w:t>p</w:t>
      </w:r>
      <w:r>
        <w:t xml:space="preserve"> - время выполнения алгоритма с использованием </w:t>
      </w:r>
      <w:r>
        <w:rPr>
          <w:i/>
        </w:rPr>
        <w:t>p</w:t>
      </w:r>
      <w:r>
        <w:t xml:space="preserve">-вычислительных ядер [3].  </w:t>
      </w:r>
    </w:p>
    <w:p w:rsidR="002C0F56" w:rsidRDefault="00E67C6E">
      <w:pPr>
        <w:ind w:left="994" w:right="302"/>
      </w:pPr>
      <w:r>
        <w:t>Для обозначения алгоритмов введем индекс, х</w:t>
      </w:r>
      <w:r>
        <w:t xml:space="preserve">арактеризующий способ реализации: (1) - последовательный, (р) - параллельный. </w:t>
      </w:r>
    </w:p>
    <w:p w:rsidR="002C0F56" w:rsidRDefault="00E67C6E">
      <w:pPr>
        <w:ind w:left="994" w:right="302"/>
      </w:pPr>
      <w:r>
        <w:t>Выполним оценку времени выполнения последовательного алгоритма метода циклической редукции (CR), которая складывается из времени вычислений и времени доступа к оперативной памят</w:t>
      </w:r>
      <w:r>
        <w:t xml:space="preserve">и: </w:t>
      </w:r>
    </w:p>
    <w:p w:rsidR="002C0F56" w:rsidRDefault="00E67C6E">
      <w:pPr>
        <w:tabs>
          <w:tab w:val="center" w:pos="2412"/>
          <w:tab w:val="center" w:pos="3831"/>
          <w:tab w:val="center" w:pos="4539"/>
          <w:tab w:val="center" w:pos="5247"/>
          <w:tab w:val="center" w:pos="6157"/>
        </w:tabs>
        <w:spacing w:after="60" w:line="259" w:lineRule="auto"/>
        <w:ind w:left="0" w:firstLine="0"/>
        <w:jc w:val="left"/>
      </w:pPr>
      <w:r>
        <w:rPr>
          <w:rFonts w:ascii="Calibri" w:eastAsia="Calibri" w:hAnsi="Calibri" w:cs="Calibri"/>
          <w:sz w:val="22"/>
        </w:rPr>
        <w:tab/>
      </w:r>
      <w:r>
        <w:rPr>
          <w:i/>
        </w:rPr>
        <w:t>T</w:t>
      </w:r>
      <w:r>
        <w:rPr>
          <w:i/>
          <w:sz w:val="18"/>
        </w:rPr>
        <w:t>1CR</w:t>
      </w:r>
      <w:r>
        <w:rPr>
          <w:i/>
        </w:rPr>
        <w:t>=Т</w:t>
      </w:r>
      <w:r>
        <w:rPr>
          <w:i/>
          <w:sz w:val="18"/>
        </w:rPr>
        <w:t>1ар</w:t>
      </w:r>
      <w:r>
        <w:rPr>
          <w:i/>
        </w:rPr>
        <w:t>+Т</w:t>
      </w:r>
      <w:r>
        <w:rPr>
          <w:i/>
          <w:sz w:val="18"/>
        </w:rPr>
        <w:t>1оп</w:t>
      </w:r>
      <w:r>
        <w:rPr>
          <w:i/>
        </w:rPr>
        <w:t xml:space="preserve"> </w:t>
      </w:r>
      <w:r>
        <w:rPr>
          <w:i/>
        </w:rPr>
        <w:tab/>
      </w:r>
      <w:r>
        <w:t xml:space="preserve"> </w:t>
      </w:r>
      <w:r>
        <w:tab/>
        <w:t xml:space="preserve"> </w:t>
      </w:r>
      <w:r>
        <w:tab/>
        <w:t xml:space="preserve"> </w:t>
      </w:r>
      <w:r>
        <w:tab/>
        <w:t xml:space="preserve">(1), </w:t>
      </w:r>
    </w:p>
    <w:p w:rsidR="002C0F56" w:rsidRDefault="00E67C6E">
      <w:pPr>
        <w:spacing w:after="57"/>
        <w:ind w:left="1558" w:right="302" w:firstLine="0"/>
      </w:pPr>
      <w:r>
        <w:t xml:space="preserve">где  </w:t>
      </w:r>
      <w:r>
        <w:rPr>
          <w:i/>
        </w:rPr>
        <w:t>Т</w:t>
      </w:r>
      <w:r>
        <w:rPr>
          <w:i/>
          <w:vertAlign w:val="superscript"/>
        </w:rPr>
        <w:t>1</w:t>
      </w:r>
      <w:r>
        <w:rPr>
          <w:i/>
          <w:vertAlign w:val="subscript"/>
        </w:rPr>
        <w:t xml:space="preserve">ар </w:t>
      </w:r>
      <w:r>
        <w:rPr>
          <w:i/>
        </w:rPr>
        <w:t>–</w:t>
      </w:r>
      <w:r>
        <w:t>время</w:t>
      </w:r>
      <w:r>
        <w:rPr>
          <w:i/>
        </w:rPr>
        <w:t xml:space="preserve"> </w:t>
      </w:r>
      <w:r>
        <w:t xml:space="preserve">выполнения арифметических операций; </w:t>
      </w:r>
      <w:r>
        <w:rPr>
          <w:i/>
        </w:rPr>
        <w:t>Т</w:t>
      </w:r>
      <w:r>
        <w:rPr>
          <w:i/>
          <w:vertAlign w:val="superscript"/>
        </w:rPr>
        <w:t>1</w:t>
      </w:r>
      <w:r>
        <w:rPr>
          <w:i/>
          <w:vertAlign w:val="subscript"/>
        </w:rPr>
        <w:t xml:space="preserve">оп </w:t>
      </w:r>
      <w:r>
        <w:rPr>
          <w:i/>
        </w:rPr>
        <w:t xml:space="preserve">– </w:t>
      </w:r>
      <w:r>
        <w:t xml:space="preserve">время </w:t>
      </w:r>
    </w:p>
    <w:p w:rsidR="002C0F56" w:rsidRDefault="00E67C6E">
      <w:pPr>
        <w:spacing w:after="12"/>
        <w:ind w:left="994" w:right="302" w:firstLine="0"/>
      </w:pPr>
      <w:r>
        <w:t xml:space="preserve">доступа к памяти. </w:t>
      </w:r>
    </w:p>
    <w:p w:rsidR="002C0F56" w:rsidRDefault="00E67C6E">
      <w:pPr>
        <w:spacing w:after="373"/>
        <w:ind w:left="994" w:right="302"/>
      </w:pPr>
      <w:r>
        <w:lastRenderedPageBreak/>
        <w:t xml:space="preserve">Общее время выполнения вычислений складывается из времени вычисления коэффициентов на прямом ходе и времени вычисления неизвестных на обратном ходе и определяется следующим образом: </w:t>
      </w:r>
    </w:p>
    <w:p w:rsidR="002C0F56" w:rsidRDefault="00E67C6E">
      <w:pPr>
        <w:spacing w:after="333" w:line="259" w:lineRule="auto"/>
        <w:ind w:left="1553" w:hanging="10"/>
        <w:jc w:val="left"/>
      </w:pPr>
      <w:r>
        <w:rPr>
          <w:i/>
        </w:rPr>
        <w:t>Т</w:t>
      </w:r>
      <w:r>
        <w:rPr>
          <w:i/>
          <w:sz w:val="18"/>
        </w:rPr>
        <w:t>1ар</w:t>
      </w:r>
      <w:r>
        <w:rPr>
          <w:i/>
        </w:rPr>
        <w:t xml:space="preserve"> =Т</w:t>
      </w:r>
      <w:r>
        <w:rPr>
          <w:i/>
          <w:sz w:val="18"/>
        </w:rPr>
        <w:t xml:space="preserve">1пр </w:t>
      </w:r>
      <w:r>
        <w:rPr>
          <w:i/>
        </w:rPr>
        <w:t>+Т</w:t>
      </w:r>
      <w:r>
        <w:rPr>
          <w:i/>
          <w:sz w:val="18"/>
        </w:rPr>
        <w:t xml:space="preserve">1об </w:t>
      </w:r>
      <w:r>
        <w:rPr>
          <w:i/>
        </w:rPr>
        <w:t xml:space="preserve"> = </w:t>
      </w:r>
      <w:r>
        <w:rPr>
          <w:sz w:val="24"/>
        </w:rPr>
        <w:t>12</w:t>
      </w:r>
      <w:r>
        <w:rPr>
          <w:i/>
          <w:sz w:val="24"/>
        </w:rPr>
        <w:t>t</w:t>
      </w:r>
      <w:r>
        <w:rPr>
          <w:i/>
          <w:sz w:val="14"/>
        </w:rPr>
        <w:t>ар</w:t>
      </w:r>
      <w:r>
        <w:rPr>
          <w:sz w:val="14"/>
        </w:rPr>
        <w:t>log2N</w:t>
      </w:r>
      <w:r>
        <w:rPr>
          <w:rFonts w:ascii="Segoe UI Symbol" w:eastAsia="Segoe UI Symbol" w:hAnsi="Segoe UI Symbol" w:cs="Segoe UI Symbol"/>
          <w:sz w:val="36"/>
        </w:rPr>
        <w:t></w:t>
      </w:r>
      <w:r>
        <w:rPr>
          <w:sz w:val="14"/>
        </w:rPr>
        <w:t>ll</w:t>
      </w:r>
      <w:r>
        <w:rPr>
          <w:rFonts w:ascii="Segoe UI Symbol" w:eastAsia="Segoe UI Symbol" w:hAnsi="Segoe UI Symbol" w:cs="Segoe UI Symbol"/>
          <w:sz w:val="14"/>
        </w:rPr>
        <w:t></w:t>
      </w:r>
      <w:r>
        <w:rPr>
          <w:sz w:val="14"/>
        </w:rPr>
        <w:t>1-1</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 xml:space="preserve"> </w:t>
      </w:r>
      <w:r>
        <w:rPr>
          <w:rFonts w:ascii="Calibri" w:eastAsia="Calibri" w:hAnsi="Calibri" w:cs="Calibri"/>
          <w:noProof/>
          <w:sz w:val="22"/>
        </w:rPr>
        <mc:AlternateContent>
          <mc:Choice Requires="wpg">
            <w:drawing>
              <wp:inline distT="0" distB="0" distL="0" distR="0">
                <wp:extent cx="405843" cy="6328"/>
                <wp:effectExtent l="0" t="0" r="0" b="0"/>
                <wp:docPr id="643869" name="Group 643869"/>
                <wp:cNvGraphicFramePr/>
                <a:graphic xmlns:a="http://schemas.openxmlformats.org/drawingml/2006/main">
                  <a:graphicData uri="http://schemas.microsoft.com/office/word/2010/wordprocessingGroup">
                    <wpg:wgp>
                      <wpg:cNvGrpSpPr/>
                      <wpg:grpSpPr>
                        <a:xfrm>
                          <a:off x="0" y="0"/>
                          <a:ext cx="405843" cy="6328"/>
                          <a:chOff x="0" y="0"/>
                          <a:chExt cx="405843" cy="6328"/>
                        </a:xfrm>
                      </wpg:grpSpPr>
                      <wps:wsp>
                        <wps:cNvPr id="58462" name="Shape 58462"/>
                        <wps:cNvSpPr/>
                        <wps:spPr>
                          <a:xfrm>
                            <a:off x="0" y="0"/>
                            <a:ext cx="405843" cy="0"/>
                          </a:xfrm>
                          <a:custGeom>
                            <a:avLst/>
                            <a:gdLst/>
                            <a:ahLst/>
                            <a:cxnLst/>
                            <a:rect l="0" t="0" r="0" b="0"/>
                            <a:pathLst>
                              <a:path w="405843">
                                <a:moveTo>
                                  <a:pt x="0" y="0"/>
                                </a:moveTo>
                                <a:lnTo>
                                  <a:pt x="405843" y="0"/>
                                </a:lnTo>
                              </a:path>
                            </a:pathLst>
                          </a:custGeom>
                          <a:ln w="632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3869" style="width:31.9562pt;height:0.498258pt;mso-position-horizontal-relative:char;mso-position-vertical-relative:line" coordsize="4058,63">
                <v:shape id="Shape 58462" style="position:absolute;width:4058;height:0;left:0;top:0;" coordsize="405843,0" path="m0,0l405843,0">
                  <v:stroke weight="0.498258pt" endcap="flat" joinstyle="round" on="true" color="#000000"/>
                  <v:fill on="false" color="#000000" opacity="0"/>
                </v:shape>
              </v:group>
            </w:pict>
          </mc:Fallback>
        </mc:AlternateContent>
      </w:r>
      <w:r>
        <w:rPr>
          <w:i/>
          <w:sz w:val="24"/>
        </w:rPr>
        <w:t>N</w:t>
      </w:r>
      <w:r>
        <w:rPr>
          <w:sz w:val="24"/>
        </w:rPr>
        <w:t>2</w:t>
      </w:r>
      <w:r>
        <w:rPr>
          <w:rFonts w:ascii="Segoe UI Symbol" w:eastAsia="Segoe UI Symbol" w:hAnsi="Segoe UI Symbol" w:cs="Segoe UI Symbol"/>
          <w:sz w:val="24"/>
        </w:rPr>
        <w:t></w:t>
      </w:r>
      <w:r>
        <w:rPr>
          <w:i/>
          <w:sz w:val="14"/>
        </w:rPr>
        <w:t xml:space="preserve">l </w:t>
      </w:r>
      <w:r>
        <w:rPr>
          <w:sz w:val="24"/>
        </w:rPr>
        <w:t>2</w:t>
      </w:r>
      <w:r>
        <w:rPr>
          <w:i/>
          <w:sz w:val="14"/>
        </w:rPr>
        <w:t xml:space="preserve">l </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sz w:val="24"/>
        </w:rPr>
        <w:t>5</w:t>
      </w:r>
      <w:r>
        <w:rPr>
          <w:i/>
          <w:sz w:val="24"/>
        </w:rPr>
        <w:t>t</w:t>
      </w:r>
      <w:r>
        <w:rPr>
          <w:i/>
          <w:sz w:val="14"/>
        </w:rPr>
        <w:t>ар</w:t>
      </w:r>
      <w:r>
        <w:rPr>
          <w:sz w:val="14"/>
        </w:rPr>
        <w:t>log2N</w:t>
      </w:r>
      <w:r>
        <w:rPr>
          <w:rFonts w:ascii="Segoe UI Symbol" w:eastAsia="Segoe UI Symbol" w:hAnsi="Segoe UI Symbol" w:cs="Segoe UI Symbol"/>
          <w:sz w:val="36"/>
        </w:rPr>
        <w:t></w:t>
      </w:r>
      <w:r>
        <w:rPr>
          <w:sz w:val="14"/>
        </w:rPr>
        <w:t>ll</w:t>
      </w:r>
      <w:r>
        <w:rPr>
          <w:rFonts w:ascii="Segoe UI Symbol" w:eastAsia="Segoe UI Symbol" w:hAnsi="Segoe UI Symbol" w:cs="Segoe UI Symbol"/>
          <w:sz w:val="14"/>
        </w:rPr>
        <w:t></w:t>
      </w:r>
      <w:r>
        <w:rPr>
          <w:sz w:val="14"/>
        </w:rPr>
        <w:t>0-1</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Calibri" w:eastAsia="Calibri" w:hAnsi="Calibri" w:cs="Calibri"/>
          <w:noProof/>
          <w:sz w:val="22"/>
        </w:rPr>
        <mc:AlternateContent>
          <mc:Choice Requires="wpg">
            <w:drawing>
              <wp:inline distT="0" distB="0" distL="0" distR="0">
                <wp:extent cx="206488" cy="6328"/>
                <wp:effectExtent l="0" t="0" r="0" b="0"/>
                <wp:docPr id="643870" name="Group 643870"/>
                <wp:cNvGraphicFramePr/>
                <a:graphic xmlns:a="http://schemas.openxmlformats.org/drawingml/2006/main">
                  <a:graphicData uri="http://schemas.microsoft.com/office/word/2010/wordprocessingGroup">
                    <wpg:wgp>
                      <wpg:cNvGrpSpPr/>
                      <wpg:grpSpPr>
                        <a:xfrm>
                          <a:off x="0" y="0"/>
                          <a:ext cx="206488" cy="6328"/>
                          <a:chOff x="0" y="0"/>
                          <a:chExt cx="206488" cy="6328"/>
                        </a:xfrm>
                      </wpg:grpSpPr>
                      <wps:wsp>
                        <wps:cNvPr id="58463" name="Shape 58463"/>
                        <wps:cNvSpPr/>
                        <wps:spPr>
                          <a:xfrm>
                            <a:off x="0" y="0"/>
                            <a:ext cx="206488" cy="0"/>
                          </a:xfrm>
                          <a:custGeom>
                            <a:avLst/>
                            <a:gdLst/>
                            <a:ahLst/>
                            <a:cxnLst/>
                            <a:rect l="0" t="0" r="0" b="0"/>
                            <a:pathLst>
                              <a:path w="206488">
                                <a:moveTo>
                                  <a:pt x="0" y="0"/>
                                </a:moveTo>
                                <a:lnTo>
                                  <a:pt x="206488" y="0"/>
                                </a:lnTo>
                              </a:path>
                            </a:pathLst>
                          </a:custGeom>
                          <a:ln w="632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3870" style="width:16.2589pt;height:0.498258pt;mso-position-horizontal-relative:char;mso-position-vertical-relative:line" coordsize="2064,63">
                <v:shape id="Shape 58463" style="position:absolute;width:2064;height:0;left:0;top:0;" coordsize="206488,0" path="m0,0l206488,0">
                  <v:stroke weight="0.498258pt" endcap="flat" joinstyle="round" on="true" color="#000000"/>
                  <v:fill on="false" color="#000000" opacity="0"/>
                </v:shape>
              </v:group>
            </w:pict>
          </mc:Fallback>
        </mc:AlternateContent>
      </w:r>
      <w:r>
        <w:rPr>
          <w:sz w:val="24"/>
        </w:rPr>
        <w:t>2</w:t>
      </w:r>
      <w:r>
        <w:rPr>
          <w:i/>
          <w:sz w:val="24"/>
        </w:rPr>
        <w:t>N</w:t>
      </w:r>
      <w:r>
        <w:rPr>
          <w:i/>
          <w:sz w:val="14"/>
        </w:rPr>
        <w:t>l</w:t>
      </w:r>
      <w:r>
        <w:rPr>
          <w:sz w:val="24"/>
        </w:rPr>
        <w:t>2</w:t>
      </w:r>
      <w:r>
        <w:rPr>
          <w:rFonts w:ascii="Segoe UI Symbol" w:eastAsia="Segoe UI Symbol" w:hAnsi="Segoe UI Symbol" w:cs="Segoe UI Symbol"/>
          <w:sz w:val="37"/>
          <w:vertAlign w:val="superscript"/>
        </w:rPr>
        <w:t></w:t>
      </w:r>
      <w:r>
        <w:rPr>
          <w:rFonts w:ascii="Segoe UI Symbol" w:eastAsia="Segoe UI Symbol" w:hAnsi="Segoe UI Symbol" w:cs="Segoe UI Symbol"/>
          <w:sz w:val="24"/>
        </w:rPr>
        <w:t></w:t>
      </w:r>
      <w:r>
        <w:rPr>
          <w:rFonts w:ascii="Segoe UI Symbol" w:eastAsia="Segoe UI Symbol" w:hAnsi="Segoe UI Symbol" w:cs="Segoe UI Symbol"/>
          <w:sz w:val="24"/>
        </w:rPr>
        <w:t></w:t>
      </w:r>
      <w:r>
        <w:rPr>
          <w:i/>
        </w:rPr>
        <w:t xml:space="preserve">= </w:t>
      </w:r>
    </w:p>
    <w:p w:rsidR="002C0F56" w:rsidRDefault="00E67C6E">
      <w:pPr>
        <w:tabs>
          <w:tab w:val="center" w:pos="3279"/>
          <w:tab w:val="center" w:pos="5958"/>
          <w:tab w:val="center" w:pos="6866"/>
        </w:tabs>
        <w:spacing w:after="5" w:line="269" w:lineRule="auto"/>
        <w:ind w:left="0" w:firstLine="0"/>
        <w:jc w:val="left"/>
      </w:pPr>
      <w:r>
        <w:rPr>
          <w:rFonts w:ascii="Calibri" w:eastAsia="Calibri" w:hAnsi="Calibri" w:cs="Calibri"/>
          <w:sz w:val="22"/>
        </w:rPr>
        <w:tab/>
      </w:r>
      <w:r>
        <w:rPr>
          <w:i/>
        </w:rPr>
        <w:t>=12 t</w:t>
      </w:r>
      <w:r>
        <w:rPr>
          <w:i/>
          <w:vertAlign w:val="subscript"/>
        </w:rPr>
        <w:t>ар</w:t>
      </w:r>
      <w:r>
        <w:rPr>
          <w:i/>
        </w:rPr>
        <w:t>(</w:t>
      </w:r>
      <w:r>
        <w:rPr>
          <w:i/>
          <w:vertAlign w:val="subscript"/>
        </w:rPr>
        <w:t xml:space="preserve"> </w:t>
      </w:r>
      <w:r>
        <w:rPr>
          <w:i/>
        </w:rPr>
        <w:t>N-log</w:t>
      </w:r>
      <w:r>
        <w:rPr>
          <w:i/>
          <w:vertAlign w:val="subscript"/>
        </w:rPr>
        <w:t>2</w:t>
      </w:r>
      <w:r>
        <w:rPr>
          <w:i/>
        </w:rPr>
        <w:t>N-1)+</w:t>
      </w:r>
      <w:r>
        <w:t>5</w:t>
      </w:r>
      <w:r>
        <w:rPr>
          <w:i/>
        </w:rPr>
        <w:t xml:space="preserve"> t</w:t>
      </w:r>
      <w:r>
        <w:rPr>
          <w:i/>
          <w:vertAlign w:val="subscript"/>
        </w:rPr>
        <w:t>ар</w:t>
      </w:r>
      <w:r>
        <w:rPr>
          <w:i/>
        </w:rPr>
        <w:t xml:space="preserve">(N-1)  </w:t>
      </w:r>
      <w:r>
        <w:rPr>
          <w:i/>
        </w:rPr>
        <w:tab/>
        <w:t xml:space="preserve"> </w:t>
      </w:r>
      <w:r>
        <w:rPr>
          <w:i/>
        </w:rPr>
        <w:tab/>
      </w:r>
      <w:r>
        <w:t xml:space="preserve">(2), </w:t>
      </w:r>
    </w:p>
    <w:p w:rsidR="002C0F56" w:rsidRDefault="00E67C6E">
      <w:pPr>
        <w:ind w:left="1558" w:right="302" w:firstLine="0"/>
      </w:pPr>
      <w:r>
        <w:t xml:space="preserve">где  </w:t>
      </w:r>
      <w:r>
        <w:rPr>
          <w:i/>
        </w:rPr>
        <w:t>t</w:t>
      </w:r>
      <w:r>
        <w:rPr>
          <w:i/>
          <w:vertAlign w:val="subscript"/>
        </w:rPr>
        <w:t>ар</w:t>
      </w:r>
      <w:r>
        <w:t xml:space="preserve"> – среднее время выполнения базовой арифметической операции; </w:t>
      </w:r>
      <w:r>
        <w:rPr>
          <w:i/>
        </w:rPr>
        <w:t>N</w:t>
      </w:r>
      <w:r>
        <w:t xml:space="preserve"> – </w:t>
      </w:r>
    </w:p>
    <w:p w:rsidR="002C0F56" w:rsidRDefault="00E67C6E">
      <w:pPr>
        <w:ind w:left="994" w:right="302" w:firstLine="0"/>
      </w:pPr>
      <w:r>
        <w:t xml:space="preserve">размерность задачи. </w:t>
      </w:r>
    </w:p>
    <w:p w:rsidR="002C0F56" w:rsidRDefault="00E67C6E">
      <w:pPr>
        <w:spacing w:after="0"/>
        <w:ind w:left="994" w:right="302"/>
      </w:pPr>
      <w:r>
        <w:t xml:space="preserve">Время доступа к оперативной памяти </w:t>
      </w:r>
      <w:r>
        <w:rPr>
          <w:i/>
        </w:rPr>
        <w:t>Т</w:t>
      </w:r>
      <w:r>
        <w:rPr>
          <w:i/>
          <w:vertAlign w:val="subscript"/>
        </w:rPr>
        <w:t>оп</w:t>
      </w:r>
      <w:r>
        <w:t xml:space="preserve"> </w:t>
      </w:r>
      <w:r>
        <w:t xml:space="preserve">представим как результат деления объема извлекаемых данных на пропускную способность памяти </w:t>
      </w:r>
      <w:r>
        <w:rPr>
          <w:rFonts w:ascii="Segoe UI Symbol" w:eastAsia="Segoe UI Symbol" w:hAnsi="Segoe UI Symbol" w:cs="Segoe UI Symbol"/>
          <w:sz w:val="30"/>
        </w:rPr>
        <w:t></w:t>
      </w:r>
      <w:r>
        <w:rPr>
          <w:i/>
        </w:rPr>
        <w:t xml:space="preserve"> </w:t>
      </w:r>
      <w:r>
        <w:t xml:space="preserve">[3], при этом учитывая параметры конкретной вычислительной системы, а именно: размер кэш строки (64 байта); латентность доступа к памяти </w:t>
      </w:r>
      <w:r>
        <w:rPr>
          <w:rFonts w:ascii="Segoe UI Symbol" w:eastAsia="Segoe UI Symbol" w:hAnsi="Segoe UI Symbol" w:cs="Segoe UI Symbol"/>
          <w:sz w:val="30"/>
        </w:rPr>
        <w:t></w:t>
      </w:r>
      <w:r>
        <w:t xml:space="preserve"> </w:t>
      </w:r>
      <w:r>
        <w:t xml:space="preserve">и частоту возникновения кэш промахов </w:t>
      </w:r>
      <w:r>
        <w:rPr>
          <w:rFonts w:ascii="Segoe UI Symbol" w:eastAsia="Segoe UI Symbol" w:hAnsi="Segoe UI Symbol" w:cs="Segoe UI Symbol"/>
        </w:rPr>
        <w:t></w:t>
      </w:r>
      <w:r>
        <w:t xml:space="preserve"> (0</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1) : </w:t>
      </w:r>
    </w:p>
    <w:p w:rsidR="002C0F56" w:rsidRDefault="00E67C6E">
      <w:pPr>
        <w:tabs>
          <w:tab w:val="center" w:pos="3554"/>
          <w:tab w:val="center" w:pos="6935"/>
        </w:tabs>
        <w:spacing w:after="5" w:line="269" w:lineRule="auto"/>
        <w:ind w:left="0" w:firstLine="0"/>
        <w:jc w:val="left"/>
      </w:pPr>
      <w:r>
        <w:rPr>
          <w:rFonts w:ascii="Calibri" w:eastAsia="Calibri" w:hAnsi="Calibri" w:cs="Calibri"/>
          <w:sz w:val="22"/>
        </w:rPr>
        <w:tab/>
      </w:r>
      <w:r>
        <w:rPr>
          <w:i/>
        </w:rPr>
        <w:t>Т</w:t>
      </w:r>
      <w:r>
        <w:rPr>
          <w:i/>
          <w:vertAlign w:val="superscript"/>
        </w:rPr>
        <w:t>1</w:t>
      </w:r>
      <w:r>
        <w:rPr>
          <w:i/>
          <w:vertAlign w:val="subscript"/>
        </w:rPr>
        <w:t>оп</w:t>
      </w:r>
      <w:r>
        <w:rPr>
          <w:i/>
        </w:rPr>
        <w:t xml:space="preserve"> =(9N - 4 log</w:t>
      </w:r>
      <w:r>
        <w:rPr>
          <w:i/>
          <w:vertAlign w:val="subscript"/>
        </w:rPr>
        <w:t>2</w:t>
      </w:r>
      <w:r>
        <w:rPr>
          <w:i/>
        </w:rPr>
        <w:t>N – 9)</w:t>
      </w:r>
      <w:r>
        <w:rPr>
          <w:b/>
          <w:i/>
          <w:vertAlign w:val="superscript"/>
        </w:rPr>
        <w:t>.</w:t>
      </w:r>
      <w:r>
        <w:rPr>
          <w:rFonts w:ascii="Segoe UI Symbol" w:eastAsia="Segoe UI Symbol" w:hAnsi="Segoe UI Symbol" w:cs="Segoe UI Symbol"/>
          <w:sz w:val="30"/>
        </w:rPr>
        <w:t></w:t>
      </w:r>
      <w:r>
        <w:rPr>
          <w:i/>
        </w:rPr>
        <w:t xml:space="preserve"> (</w:t>
      </w:r>
      <w:r>
        <w:rPr>
          <w:rFonts w:ascii="Segoe UI Symbol" w:eastAsia="Segoe UI Symbol" w:hAnsi="Segoe UI Symbol" w:cs="Segoe UI Symbol"/>
          <w:sz w:val="30"/>
        </w:rPr>
        <w:t></w:t>
      </w:r>
      <w:r>
        <w:rPr>
          <w:i/>
        </w:rPr>
        <w:t>+64/</w:t>
      </w:r>
      <w:r>
        <w:rPr>
          <w:rFonts w:ascii="Segoe UI Symbol" w:eastAsia="Segoe UI Symbol" w:hAnsi="Segoe UI Symbol" w:cs="Segoe UI Symbol"/>
          <w:sz w:val="30"/>
        </w:rPr>
        <w:t></w:t>
      </w:r>
      <w:r>
        <w:rPr>
          <w:i/>
        </w:rPr>
        <w:t xml:space="preserve">)   </w:t>
      </w:r>
      <w:r>
        <w:t xml:space="preserve">  </w:t>
      </w:r>
      <w:r>
        <w:tab/>
        <w:t xml:space="preserve">  (3). </w:t>
      </w:r>
    </w:p>
    <w:p w:rsidR="002C0F56" w:rsidRDefault="00E67C6E">
      <w:pPr>
        <w:ind w:left="994" w:right="302"/>
      </w:pPr>
      <w:r>
        <w:t xml:space="preserve">Тогда время выполнения последовательного алгоритма будет получено суммированием выражений (2) и (3): </w:t>
      </w:r>
    </w:p>
    <w:p w:rsidR="002C0F56" w:rsidRDefault="00E67C6E">
      <w:pPr>
        <w:spacing w:after="49" w:line="269" w:lineRule="auto"/>
        <w:ind w:left="1553" w:hanging="10"/>
        <w:jc w:val="left"/>
      </w:pPr>
      <w:r>
        <w:rPr>
          <w:i/>
        </w:rPr>
        <w:t>T</w:t>
      </w:r>
      <w:r>
        <w:rPr>
          <w:i/>
          <w:vertAlign w:val="superscript"/>
        </w:rPr>
        <w:t>1</w:t>
      </w:r>
      <w:r>
        <w:rPr>
          <w:i/>
          <w:vertAlign w:val="subscript"/>
        </w:rPr>
        <w:t xml:space="preserve">CR </w:t>
      </w:r>
      <w:r>
        <w:rPr>
          <w:i/>
        </w:rPr>
        <w:t>=16 t</w:t>
      </w:r>
      <w:r>
        <w:rPr>
          <w:i/>
          <w:vertAlign w:val="subscript"/>
        </w:rPr>
        <w:t>ар</w:t>
      </w:r>
      <w:r>
        <w:rPr>
          <w:i/>
        </w:rPr>
        <w:t>(</w:t>
      </w:r>
      <w:r>
        <w:rPr>
          <w:i/>
          <w:vertAlign w:val="subscript"/>
        </w:rPr>
        <w:t xml:space="preserve"> </w:t>
      </w:r>
      <w:r>
        <w:rPr>
          <w:i/>
        </w:rPr>
        <w:t>N - log</w:t>
      </w:r>
      <w:r>
        <w:rPr>
          <w:i/>
          <w:vertAlign w:val="subscript"/>
        </w:rPr>
        <w:t>2</w:t>
      </w:r>
      <w:r>
        <w:rPr>
          <w:i/>
        </w:rPr>
        <w:t>N - 1)+</w:t>
      </w:r>
      <w:r>
        <w:t>6</w:t>
      </w:r>
      <w:r>
        <w:rPr>
          <w:i/>
        </w:rPr>
        <w:t xml:space="preserve"> t</w:t>
      </w:r>
      <w:r>
        <w:rPr>
          <w:i/>
          <w:vertAlign w:val="subscript"/>
        </w:rPr>
        <w:t>ар</w:t>
      </w:r>
      <w:r>
        <w:rPr>
          <w:i/>
        </w:rPr>
        <w:t xml:space="preserve">(N - 1) + </w:t>
      </w:r>
    </w:p>
    <w:p w:rsidR="002C0F56" w:rsidRDefault="00E67C6E">
      <w:pPr>
        <w:tabs>
          <w:tab w:val="center" w:pos="3328"/>
          <w:tab w:val="center" w:pos="5958"/>
          <w:tab w:val="center" w:pos="6666"/>
          <w:tab w:val="center" w:pos="7576"/>
        </w:tabs>
        <w:spacing w:after="5" w:line="269" w:lineRule="auto"/>
        <w:ind w:left="0" w:firstLine="0"/>
        <w:jc w:val="left"/>
      </w:pPr>
      <w:r>
        <w:rPr>
          <w:rFonts w:ascii="Calibri" w:eastAsia="Calibri" w:hAnsi="Calibri" w:cs="Calibri"/>
          <w:sz w:val="22"/>
        </w:rPr>
        <w:tab/>
      </w:r>
      <w:r>
        <w:rPr>
          <w:i/>
        </w:rPr>
        <w:t>+(9N - 4</w:t>
      </w:r>
      <w:r>
        <w:rPr>
          <w:i/>
        </w:rPr>
        <w:t xml:space="preserve"> log</w:t>
      </w:r>
      <w:r>
        <w:rPr>
          <w:i/>
          <w:vertAlign w:val="subscript"/>
        </w:rPr>
        <w:t>2</w:t>
      </w:r>
      <w:r>
        <w:rPr>
          <w:i/>
        </w:rPr>
        <w:t>N – 9)</w:t>
      </w:r>
      <w:r>
        <w:rPr>
          <w:b/>
          <w:i/>
          <w:vertAlign w:val="superscript"/>
        </w:rPr>
        <w:t xml:space="preserve"> .</w:t>
      </w:r>
      <w:r>
        <w:rPr>
          <w:rFonts w:ascii="Segoe UI Symbol" w:eastAsia="Segoe UI Symbol" w:hAnsi="Segoe UI Symbol" w:cs="Segoe UI Symbol"/>
          <w:sz w:val="30"/>
        </w:rPr>
        <w:t></w:t>
      </w:r>
      <w:r>
        <w:rPr>
          <w:i/>
        </w:rPr>
        <w:t xml:space="preserve"> (</w:t>
      </w:r>
      <w:r>
        <w:rPr>
          <w:rFonts w:ascii="Segoe UI Symbol" w:eastAsia="Segoe UI Symbol" w:hAnsi="Segoe UI Symbol" w:cs="Segoe UI Symbol"/>
          <w:sz w:val="30"/>
        </w:rPr>
        <w:t></w:t>
      </w:r>
      <w:r>
        <w:rPr>
          <w:i/>
        </w:rPr>
        <w:t>+64/</w:t>
      </w:r>
      <w:r>
        <w:rPr>
          <w:rFonts w:ascii="Segoe UI Symbol" w:eastAsia="Segoe UI Symbol" w:hAnsi="Segoe UI Symbol" w:cs="Segoe UI Symbol"/>
          <w:sz w:val="30"/>
        </w:rPr>
        <w:t></w:t>
      </w:r>
      <w:r>
        <w:rPr>
          <w:i/>
        </w:rPr>
        <w:t xml:space="preserve">)  </w:t>
      </w:r>
      <w:r>
        <w:t xml:space="preserve"> </w:t>
      </w:r>
      <w:r>
        <w:tab/>
        <w:t xml:space="preserve">   </w:t>
      </w:r>
      <w:r>
        <w:tab/>
        <w:t xml:space="preserve"> </w:t>
      </w:r>
      <w:r>
        <w:tab/>
        <w:t xml:space="preserve">(4). </w:t>
      </w:r>
    </w:p>
    <w:p w:rsidR="002C0F56" w:rsidRDefault="00E67C6E">
      <w:pPr>
        <w:ind w:left="994" w:right="302"/>
      </w:pPr>
      <w:r>
        <w:t xml:space="preserve">Для параллельного алгоритма метода циклической редукции [4], время выполнения составит: </w:t>
      </w:r>
    </w:p>
    <w:p w:rsidR="002C0F56" w:rsidRDefault="00E67C6E">
      <w:pPr>
        <w:tabs>
          <w:tab w:val="center" w:pos="3142"/>
          <w:tab w:val="center" w:pos="5247"/>
          <w:tab w:val="center" w:pos="5958"/>
          <w:tab w:val="center" w:pos="6866"/>
        </w:tabs>
        <w:spacing w:after="0" w:line="259" w:lineRule="auto"/>
        <w:ind w:left="0" w:firstLine="0"/>
        <w:jc w:val="left"/>
      </w:pPr>
      <w:r>
        <w:rPr>
          <w:rFonts w:ascii="Calibri" w:eastAsia="Calibri" w:hAnsi="Calibri" w:cs="Calibri"/>
          <w:sz w:val="22"/>
        </w:rPr>
        <w:tab/>
      </w:r>
      <w:r>
        <w:rPr>
          <w:i/>
        </w:rPr>
        <w:t>T</w:t>
      </w:r>
      <w:r>
        <w:rPr>
          <w:i/>
          <w:sz w:val="18"/>
        </w:rPr>
        <w:t>PCR</w:t>
      </w:r>
      <w:r>
        <w:rPr>
          <w:i/>
        </w:rPr>
        <w:t>=Т</w:t>
      </w:r>
      <w:r>
        <w:rPr>
          <w:i/>
          <w:sz w:val="18"/>
        </w:rPr>
        <w:t xml:space="preserve">Pар </w:t>
      </w:r>
      <w:r>
        <w:rPr>
          <w:i/>
        </w:rPr>
        <w:t>+ Т</w:t>
      </w:r>
      <w:r>
        <w:rPr>
          <w:i/>
          <w:sz w:val="18"/>
        </w:rPr>
        <w:t>Pоп</w:t>
      </w:r>
      <w:r>
        <w:rPr>
          <w:i/>
        </w:rPr>
        <w:t xml:space="preserve"> + T</w:t>
      </w:r>
      <w:r>
        <w:rPr>
          <w:i/>
          <w:sz w:val="18"/>
        </w:rPr>
        <w:t>обм</w:t>
      </w:r>
      <w:r>
        <w:rPr>
          <w:i/>
        </w:rPr>
        <w:t xml:space="preserve"> + </w:t>
      </w:r>
      <w:r>
        <w:rPr>
          <w:rFonts w:ascii="Segoe UI Symbol" w:eastAsia="Segoe UI Symbol" w:hAnsi="Segoe UI Symbol" w:cs="Segoe UI Symbol"/>
          <w:sz w:val="30"/>
        </w:rPr>
        <w:t></w:t>
      </w:r>
      <w:r>
        <w:rPr>
          <w:i/>
        </w:rPr>
        <w:t xml:space="preserve"> </w:t>
      </w:r>
      <w:r>
        <w:rPr>
          <w:i/>
        </w:rPr>
        <w:tab/>
      </w:r>
      <w:r>
        <w:t xml:space="preserve"> </w:t>
      </w:r>
      <w:r>
        <w:tab/>
        <w:t xml:space="preserve"> </w:t>
      </w:r>
      <w:r>
        <w:tab/>
        <w:t xml:space="preserve">(5), </w:t>
      </w:r>
    </w:p>
    <w:p w:rsidR="002C0F56" w:rsidRDefault="00E67C6E">
      <w:pPr>
        <w:tabs>
          <w:tab w:val="center" w:pos="1743"/>
          <w:tab w:val="center" w:pos="2443"/>
          <w:tab w:val="center" w:pos="3027"/>
          <w:tab w:val="center" w:pos="3743"/>
          <w:tab w:val="center" w:pos="5111"/>
          <w:tab w:val="center" w:pos="7124"/>
          <w:tab w:val="center" w:pos="8974"/>
          <w:tab w:val="center" w:pos="9968"/>
          <w:tab w:val="center" w:pos="10521"/>
        </w:tabs>
        <w:spacing w:after="61"/>
        <w:ind w:left="0" w:firstLine="0"/>
        <w:jc w:val="left"/>
      </w:pPr>
      <w:r>
        <w:rPr>
          <w:rFonts w:ascii="Calibri" w:eastAsia="Calibri" w:hAnsi="Calibri" w:cs="Calibri"/>
          <w:sz w:val="22"/>
        </w:rPr>
        <w:tab/>
      </w:r>
      <w:r>
        <w:t xml:space="preserve">где </w:t>
      </w:r>
      <w:r>
        <w:tab/>
      </w:r>
      <w:r>
        <w:rPr>
          <w:i/>
        </w:rPr>
        <w:t>Т</w:t>
      </w:r>
      <w:r>
        <w:rPr>
          <w:i/>
          <w:vertAlign w:val="superscript"/>
        </w:rPr>
        <w:t>P</w:t>
      </w:r>
      <w:r>
        <w:rPr>
          <w:i/>
          <w:vertAlign w:val="subscript"/>
        </w:rPr>
        <w:t>ар</w:t>
      </w:r>
      <w:r>
        <w:rPr>
          <w:i/>
        </w:rPr>
        <w:t xml:space="preserve"> </w:t>
      </w:r>
      <w:r>
        <w:rPr>
          <w:i/>
        </w:rPr>
        <w:tab/>
        <w:t xml:space="preserve">– </w:t>
      </w:r>
      <w:r>
        <w:rPr>
          <w:i/>
        </w:rPr>
        <w:tab/>
      </w:r>
      <w:r>
        <w:t xml:space="preserve">время </w:t>
      </w:r>
      <w:r>
        <w:tab/>
        <w:t xml:space="preserve">выполнения </w:t>
      </w:r>
      <w:r>
        <w:tab/>
        <w:t xml:space="preserve">арифметических </w:t>
      </w:r>
      <w:r>
        <w:tab/>
        <w:t xml:space="preserve">операций </w:t>
      </w:r>
      <w:r>
        <w:tab/>
        <w:t xml:space="preserve">на </w:t>
      </w:r>
      <w:r>
        <w:tab/>
      </w:r>
      <w:r>
        <w:rPr>
          <w:i/>
        </w:rPr>
        <w:t>р</w:t>
      </w:r>
      <w:r>
        <w:t>-</w:t>
      </w:r>
    </w:p>
    <w:p w:rsidR="002C0F56" w:rsidRDefault="00E67C6E">
      <w:pPr>
        <w:ind w:left="994" w:right="302" w:firstLine="0"/>
      </w:pPr>
      <w:r>
        <w:t xml:space="preserve">вычислительных элементах; </w:t>
      </w:r>
      <w:r>
        <w:rPr>
          <w:i/>
        </w:rPr>
        <w:t>Т</w:t>
      </w:r>
      <w:r>
        <w:rPr>
          <w:i/>
          <w:vertAlign w:val="superscript"/>
        </w:rPr>
        <w:t>P</w:t>
      </w:r>
      <w:r>
        <w:rPr>
          <w:i/>
          <w:vertAlign w:val="subscript"/>
        </w:rPr>
        <w:t xml:space="preserve">оп </w:t>
      </w:r>
      <w:r>
        <w:rPr>
          <w:i/>
        </w:rPr>
        <w:t xml:space="preserve"> - </w:t>
      </w:r>
      <w:r>
        <w:t xml:space="preserve">время доступа к оперативной памяти; </w:t>
      </w:r>
      <w:r>
        <w:rPr>
          <w:i/>
        </w:rPr>
        <w:t>T</w:t>
      </w:r>
      <w:r>
        <w:rPr>
          <w:i/>
          <w:vertAlign w:val="subscript"/>
        </w:rPr>
        <w:t xml:space="preserve">обм </w:t>
      </w:r>
      <w:r>
        <w:rPr>
          <w:i/>
        </w:rPr>
        <w:t xml:space="preserve"> - </w:t>
      </w:r>
      <w:r>
        <w:t xml:space="preserve">время выполнения операций обмена информацией между узлами; </w:t>
      </w:r>
      <w:r>
        <w:rPr>
          <w:rFonts w:ascii="Segoe UI Symbol" w:eastAsia="Segoe UI Symbol" w:hAnsi="Segoe UI Symbol" w:cs="Segoe UI Symbol"/>
          <w:sz w:val="30"/>
        </w:rPr>
        <w:t></w:t>
      </w:r>
      <w:r>
        <w:rPr>
          <w:i/>
        </w:rPr>
        <w:t xml:space="preserve"> - </w:t>
      </w:r>
      <w:r>
        <w:t xml:space="preserve">время необходимое на организацию и закрытие параллельных секций. </w:t>
      </w:r>
    </w:p>
    <w:p w:rsidR="002C0F56" w:rsidRDefault="00E67C6E">
      <w:pPr>
        <w:spacing w:after="394"/>
        <w:ind w:left="1558" w:right="302" w:firstLine="0"/>
      </w:pPr>
      <w:r>
        <w:t>Время выполнения арифметических операций определя</w:t>
      </w:r>
      <w:r>
        <w:t xml:space="preserve">ется по формуле: </w:t>
      </w:r>
    </w:p>
    <w:p w:rsidR="002C0F56" w:rsidRDefault="00E67C6E">
      <w:pPr>
        <w:spacing w:after="0" w:line="259" w:lineRule="auto"/>
        <w:ind w:left="1553" w:hanging="10"/>
        <w:jc w:val="left"/>
      </w:pPr>
      <w:r>
        <w:rPr>
          <w:i/>
          <w:sz w:val="43"/>
          <w:vertAlign w:val="superscript"/>
        </w:rPr>
        <w:t>Т</w:t>
      </w:r>
      <w:r>
        <w:rPr>
          <w:i/>
          <w:vertAlign w:val="superscript"/>
        </w:rPr>
        <w:t>p</w:t>
      </w:r>
      <w:r>
        <w:rPr>
          <w:i/>
          <w:sz w:val="18"/>
        </w:rPr>
        <w:t>ар</w:t>
      </w:r>
      <w:r>
        <w:rPr>
          <w:i/>
        </w:rPr>
        <w:t xml:space="preserve"> =</w:t>
      </w:r>
      <w:r>
        <w:rPr>
          <w:i/>
          <w:sz w:val="43"/>
          <w:vertAlign w:val="superscript"/>
        </w:rPr>
        <w:t>Т</w:t>
      </w:r>
      <w:r>
        <w:rPr>
          <w:i/>
          <w:vertAlign w:val="superscript"/>
        </w:rPr>
        <w:t>p</w:t>
      </w:r>
      <w:r>
        <w:rPr>
          <w:i/>
          <w:sz w:val="18"/>
        </w:rPr>
        <w:t xml:space="preserve">пр </w:t>
      </w:r>
      <w:r>
        <w:rPr>
          <w:i/>
        </w:rPr>
        <w:t>+</w:t>
      </w:r>
      <w:r>
        <w:rPr>
          <w:i/>
          <w:sz w:val="43"/>
          <w:vertAlign w:val="superscript"/>
        </w:rPr>
        <w:t>Т</w:t>
      </w:r>
      <w:r>
        <w:rPr>
          <w:i/>
          <w:vertAlign w:val="superscript"/>
        </w:rPr>
        <w:t>p</w:t>
      </w:r>
      <w:r>
        <w:rPr>
          <w:i/>
          <w:sz w:val="18"/>
        </w:rPr>
        <w:t xml:space="preserve">об </w:t>
      </w:r>
      <w:r>
        <w:rPr>
          <w:i/>
        </w:rPr>
        <w:t xml:space="preserve"> = </w:t>
      </w:r>
      <w:r>
        <w:rPr>
          <w:sz w:val="24"/>
        </w:rPr>
        <w:t>12</w:t>
      </w:r>
      <w:r>
        <w:rPr>
          <w:i/>
          <w:sz w:val="24"/>
        </w:rPr>
        <w:t>t</w:t>
      </w:r>
      <w:r>
        <w:rPr>
          <w:i/>
          <w:sz w:val="14"/>
        </w:rPr>
        <w:t>ар</w:t>
      </w:r>
      <w:r>
        <w:rPr>
          <w:sz w:val="14"/>
        </w:rPr>
        <w:t>log2N</w:t>
      </w:r>
      <w:r>
        <w:rPr>
          <w:rFonts w:ascii="Segoe UI Symbol" w:eastAsia="Segoe UI Symbol" w:hAnsi="Segoe UI Symbol" w:cs="Segoe UI Symbol"/>
          <w:sz w:val="56"/>
          <w:vertAlign w:val="superscript"/>
        </w:rPr>
        <w:t></w:t>
      </w:r>
      <w:r>
        <w:rPr>
          <w:sz w:val="22"/>
          <w:vertAlign w:val="subscript"/>
        </w:rPr>
        <w:t>ll</w:t>
      </w:r>
      <w:r>
        <w:rPr>
          <w:rFonts w:ascii="Segoe UI Symbol" w:eastAsia="Segoe UI Symbol" w:hAnsi="Segoe UI Symbol" w:cs="Segoe UI Symbol"/>
          <w:sz w:val="14"/>
        </w:rPr>
        <w:t></w:t>
      </w:r>
      <w:r>
        <w:rPr>
          <w:sz w:val="22"/>
          <w:vertAlign w:val="subscript"/>
        </w:rPr>
        <w:t>1</w:t>
      </w:r>
      <w:r>
        <w:rPr>
          <w:sz w:val="14"/>
        </w:rPr>
        <w:t>-1</w:t>
      </w:r>
      <w:r>
        <w:rPr>
          <w:rFonts w:ascii="Segoe UI Symbol" w:eastAsia="Segoe UI Symbol" w:hAnsi="Segoe UI Symbol" w:cs="Segoe UI Symbol"/>
          <w:sz w:val="24"/>
        </w:rPr>
        <w:t></w:t>
      </w:r>
      <w:r>
        <w:rPr>
          <w:rFonts w:ascii="Segoe UI Symbol" w:eastAsia="Segoe UI Symbol" w:hAnsi="Segoe UI Symbol" w:cs="Segoe UI Symbol"/>
          <w:sz w:val="37"/>
          <w:vertAlign w:val="subscript"/>
        </w:rPr>
        <w:t></w:t>
      </w:r>
      <w:r>
        <w:rPr>
          <w:rFonts w:ascii="Calibri" w:eastAsia="Calibri" w:hAnsi="Calibri" w:cs="Calibri"/>
          <w:noProof/>
          <w:sz w:val="22"/>
        </w:rPr>
        <mc:AlternateContent>
          <mc:Choice Requires="wpg">
            <w:drawing>
              <wp:inline distT="0" distB="0" distL="0" distR="0">
                <wp:extent cx="241587" cy="6320"/>
                <wp:effectExtent l="0" t="0" r="0" b="0"/>
                <wp:docPr id="643432" name="Group 643432"/>
                <wp:cNvGraphicFramePr/>
                <a:graphic xmlns:a="http://schemas.openxmlformats.org/drawingml/2006/main">
                  <a:graphicData uri="http://schemas.microsoft.com/office/word/2010/wordprocessingGroup">
                    <wpg:wgp>
                      <wpg:cNvGrpSpPr/>
                      <wpg:grpSpPr>
                        <a:xfrm>
                          <a:off x="0" y="0"/>
                          <a:ext cx="241587" cy="6320"/>
                          <a:chOff x="0" y="0"/>
                          <a:chExt cx="241587" cy="6320"/>
                        </a:xfrm>
                      </wpg:grpSpPr>
                      <wps:wsp>
                        <wps:cNvPr id="58790" name="Shape 58790"/>
                        <wps:cNvSpPr/>
                        <wps:spPr>
                          <a:xfrm>
                            <a:off x="0" y="0"/>
                            <a:ext cx="241587" cy="0"/>
                          </a:xfrm>
                          <a:custGeom>
                            <a:avLst/>
                            <a:gdLst/>
                            <a:ahLst/>
                            <a:cxnLst/>
                            <a:rect l="0" t="0" r="0" b="0"/>
                            <a:pathLst>
                              <a:path w="241587">
                                <a:moveTo>
                                  <a:pt x="0" y="0"/>
                                </a:moveTo>
                                <a:lnTo>
                                  <a:pt x="241587" y="0"/>
                                </a:lnTo>
                              </a:path>
                            </a:pathLst>
                          </a:custGeom>
                          <a:ln w="632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3432" style="width:19.0226pt;height:0.49761pt;mso-position-horizontal-relative:char;mso-position-vertical-relative:line" coordsize="2415,63">
                <v:shape id="Shape 58790" style="position:absolute;width:2415;height:0;left:0;top:0;" coordsize="241587,0" path="m0,0l241587,0">
                  <v:stroke weight="0.49761pt" endcap="flat" joinstyle="round" on="true" color="#000000"/>
                  <v:fill on="false" color="#000000" opacity="0"/>
                </v:shape>
              </v:group>
            </w:pict>
          </mc:Fallback>
        </mc:AlternateContent>
      </w:r>
      <w:r>
        <w:rPr>
          <w:sz w:val="24"/>
        </w:rPr>
        <w:t>2</w:t>
      </w:r>
      <w:r>
        <w:rPr>
          <w:i/>
          <w:sz w:val="24"/>
        </w:rPr>
        <w:t>N</w:t>
      </w:r>
      <w:r>
        <w:rPr>
          <w:i/>
          <w:sz w:val="22"/>
          <w:vertAlign w:val="subscript"/>
        </w:rPr>
        <w:t xml:space="preserve">l </w:t>
      </w:r>
      <w:r>
        <w:rPr>
          <w:i/>
          <w:sz w:val="24"/>
        </w:rPr>
        <w:t>p</w:t>
      </w:r>
      <w:r>
        <w:rPr>
          <w:rFonts w:ascii="Segoe UI Symbol" w:eastAsia="Segoe UI Symbol" w:hAnsi="Segoe UI Symbol" w:cs="Segoe UI Symbol"/>
          <w:sz w:val="37"/>
          <w:vertAlign w:val="subscript"/>
        </w:rPr>
        <w:t></w:t>
      </w:r>
      <w:r>
        <w:rPr>
          <w:rFonts w:ascii="Segoe UI Symbol" w:eastAsia="Segoe UI Symbol" w:hAnsi="Segoe UI Symbol" w:cs="Segoe UI Symbol"/>
          <w:sz w:val="24"/>
        </w:rPr>
        <w:t></w:t>
      </w:r>
      <w:r>
        <w:rPr>
          <w:rFonts w:ascii="Segoe UI Symbol" w:eastAsia="Segoe UI Symbol" w:hAnsi="Segoe UI Symbol" w:cs="Segoe UI Symbol"/>
          <w:sz w:val="37"/>
          <w:vertAlign w:val="subscript"/>
        </w:rPr>
        <w:t></w:t>
      </w:r>
      <w:r>
        <w:rPr>
          <w:rFonts w:ascii="Segoe UI Symbol" w:eastAsia="Segoe UI Symbol" w:hAnsi="Segoe UI Symbol" w:cs="Segoe UI Symbol"/>
          <w:sz w:val="24"/>
        </w:rPr>
        <w:t></w:t>
      </w:r>
      <w:r>
        <w:rPr>
          <w:sz w:val="24"/>
        </w:rPr>
        <w:t>5</w:t>
      </w:r>
      <w:r>
        <w:rPr>
          <w:i/>
          <w:sz w:val="24"/>
        </w:rPr>
        <w:t>t</w:t>
      </w:r>
      <w:r>
        <w:rPr>
          <w:i/>
          <w:sz w:val="14"/>
        </w:rPr>
        <w:t>ар</w:t>
      </w:r>
      <w:r>
        <w:rPr>
          <w:sz w:val="14"/>
        </w:rPr>
        <w:t>log2N</w:t>
      </w:r>
      <w:r>
        <w:rPr>
          <w:rFonts w:ascii="Segoe UI Symbol" w:eastAsia="Segoe UI Symbol" w:hAnsi="Segoe UI Symbol" w:cs="Segoe UI Symbol"/>
          <w:sz w:val="56"/>
          <w:vertAlign w:val="superscript"/>
        </w:rPr>
        <w:t></w:t>
      </w:r>
      <w:r>
        <w:rPr>
          <w:sz w:val="22"/>
          <w:vertAlign w:val="subscript"/>
        </w:rPr>
        <w:t>ll</w:t>
      </w:r>
      <w:r>
        <w:rPr>
          <w:rFonts w:ascii="Segoe UI Symbol" w:eastAsia="Segoe UI Symbol" w:hAnsi="Segoe UI Symbol" w:cs="Segoe UI Symbol"/>
          <w:sz w:val="14"/>
        </w:rPr>
        <w:t></w:t>
      </w:r>
      <w:r>
        <w:rPr>
          <w:sz w:val="22"/>
          <w:vertAlign w:val="subscript"/>
        </w:rPr>
        <w:t>0</w:t>
      </w:r>
      <w:r>
        <w:rPr>
          <w:sz w:val="14"/>
        </w:rPr>
        <w:t>-1</w:t>
      </w:r>
      <w:r>
        <w:rPr>
          <w:rFonts w:ascii="Segoe UI Symbol" w:eastAsia="Segoe UI Symbol" w:hAnsi="Segoe UI Symbol" w:cs="Segoe UI Symbol"/>
          <w:sz w:val="37"/>
          <w:vertAlign w:val="subscript"/>
        </w:rPr>
        <w:t></w:t>
      </w:r>
      <w:r>
        <w:rPr>
          <w:rFonts w:ascii="Segoe UI Symbol" w:eastAsia="Segoe UI Symbol" w:hAnsi="Segoe UI Symbol" w:cs="Segoe UI Symbol"/>
          <w:sz w:val="37"/>
          <w:vertAlign w:val="subscript"/>
        </w:rPr>
        <w:t></w:t>
      </w:r>
      <w:r>
        <w:rPr>
          <w:rFonts w:ascii="Segoe UI Symbol" w:eastAsia="Segoe UI Symbol" w:hAnsi="Segoe UI Symbol" w:cs="Segoe UI Symbol"/>
          <w:sz w:val="24"/>
        </w:rPr>
        <w:t></w:t>
      </w:r>
      <w:r>
        <w:rPr>
          <w:rFonts w:ascii="Calibri" w:eastAsia="Calibri" w:hAnsi="Calibri" w:cs="Calibri"/>
          <w:noProof/>
          <w:sz w:val="22"/>
        </w:rPr>
        <mc:AlternateContent>
          <mc:Choice Requires="wpg">
            <w:drawing>
              <wp:inline distT="0" distB="0" distL="0" distR="0">
                <wp:extent cx="308342" cy="6320"/>
                <wp:effectExtent l="0" t="0" r="0" b="0"/>
                <wp:docPr id="643433" name="Group 643433"/>
                <wp:cNvGraphicFramePr/>
                <a:graphic xmlns:a="http://schemas.openxmlformats.org/drawingml/2006/main">
                  <a:graphicData uri="http://schemas.microsoft.com/office/word/2010/wordprocessingGroup">
                    <wpg:wgp>
                      <wpg:cNvGrpSpPr/>
                      <wpg:grpSpPr>
                        <a:xfrm>
                          <a:off x="0" y="0"/>
                          <a:ext cx="308342" cy="6320"/>
                          <a:chOff x="0" y="0"/>
                          <a:chExt cx="308342" cy="6320"/>
                        </a:xfrm>
                      </wpg:grpSpPr>
                      <wps:wsp>
                        <wps:cNvPr id="58791" name="Shape 58791"/>
                        <wps:cNvSpPr/>
                        <wps:spPr>
                          <a:xfrm>
                            <a:off x="0" y="0"/>
                            <a:ext cx="308342" cy="0"/>
                          </a:xfrm>
                          <a:custGeom>
                            <a:avLst/>
                            <a:gdLst/>
                            <a:ahLst/>
                            <a:cxnLst/>
                            <a:rect l="0" t="0" r="0" b="0"/>
                            <a:pathLst>
                              <a:path w="308342">
                                <a:moveTo>
                                  <a:pt x="0" y="0"/>
                                </a:moveTo>
                                <a:lnTo>
                                  <a:pt x="308342" y="0"/>
                                </a:lnTo>
                              </a:path>
                            </a:pathLst>
                          </a:custGeom>
                          <a:ln w="632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3433" style="width:24.2789pt;height:0.49761pt;mso-position-horizontal-relative:char;mso-position-vertical-relative:line" coordsize="3083,63">
                <v:shape id="Shape 58791" style="position:absolute;width:3083;height:0;left:0;top:0;" coordsize="308342,0" path="m0,0l308342,0">
                  <v:stroke weight="0.49761pt" endcap="flat" joinstyle="round" on="true" color="#000000"/>
                  <v:fill on="false" color="#000000" opacity="0"/>
                </v:shape>
              </v:group>
            </w:pict>
          </mc:Fallback>
        </mc:AlternateContent>
      </w:r>
      <w:r>
        <w:rPr>
          <w:sz w:val="24"/>
        </w:rPr>
        <w:t>2</w:t>
      </w:r>
      <w:r>
        <w:rPr>
          <w:i/>
          <w:sz w:val="22"/>
          <w:vertAlign w:val="subscript"/>
        </w:rPr>
        <w:t>l</w:t>
      </w:r>
      <w:r>
        <w:rPr>
          <w:i/>
          <w:sz w:val="24"/>
        </w:rPr>
        <w:t>N</w:t>
      </w:r>
      <w:r>
        <w:rPr>
          <w:sz w:val="24"/>
        </w:rPr>
        <w:t>2</w:t>
      </w:r>
      <w:r>
        <w:rPr>
          <w:i/>
          <w:sz w:val="24"/>
        </w:rPr>
        <w:t>p</w:t>
      </w:r>
      <w:r>
        <w:rPr>
          <w:rFonts w:ascii="Segoe UI Symbol" w:eastAsia="Segoe UI Symbol" w:hAnsi="Segoe UI Symbol" w:cs="Segoe UI Symbol"/>
          <w:sz w:val="24"/>
        </w:rPr>
        <w:t></w:t>
      </w:r>
      <w:r>
        <w:rPr>
          <w:rFonts w:ascii="Segoe UI Symbol" w:eastAsia="Segoe UI Symbol" w:hAnsi="Segoe UI Symbol" w:cs="Segoe UI Symbol"/>
          <w:sz w:val="37"/>
          <w:vertAlign w:val="subscript"/>
        </w:rPr>
        <w:t></w:t>
      </w:r>
      <w:r>
        <w:rPr>
          <w:rFonts w:ascii="Segoe UI Symbol" w:eastAsia="Segoe UI Symbol" w:hAnsi="Segoe UI Symbol" w:cs="Segoe UI Symbol"/>
          <w:sz w:val="37"/>
          <w:vertAlign w:val="subscript"/>
        </w:rPr>
        <w:t xml:space="preserve"> </w:t>
      </w:r>
      <w:r>
        <w:rPr>
          <w:i/>
        </w:rPr>
        <w:t xml:space="preserve">= </w:t>
      </w:r>
    </w:p>
    <w:p w:rsidR="002C0F56" w:rsidRDefault="00E67C6E">
      <w:pPr>
        <w:spacing w:after="0" w:line="259" w:lineRule="auto"/>
        <w:ind w:left="4693" w:firstLine="0"/>
        <w:jc w:val="left"/>
      </w:pPr>
      <w:r>
        <w:rPr>
          <w:rFonts w:ascii="Segoe UI Symbol" w:eastAsia="Segoe UI Symbol" w:hAnsi="Segoe UI Symbol" w:cs="Segoe UI Symbol"/>
          <w:sz w:val="37"/>
          <w:vertAlign w:val="subscript"/>
        </w:rPr>
        <w:t></w:t>
      </w:r>
    </w:p>
    <w:p w:rsidR="002C0F56" w:rsidRDefault="00E67C6E">
      <w:pPr>
        <w:tabs>
          <w:tab w:val="center" w:pos="3496"/>
          <w:tab w:val="center" w:pos="5958"/>
          <w:tab w:val="center" w:pos="6866"/>
        </w:tabs>
        <w:spacing w:after="5" w:line="269" w:lineRule="auto"/>
        <w:ind w:left="0" w:firstLine="0"/>
        <w:jc w:val="left"/>
      </w:pPr>
      <w:r>
        <w:rPr>
          <w:rFonts w:ascii="Calibri" w:eastAsia="Calibri" w:hAnsi="Calibri" w:cs="Calibri"/>
          <w:sz w:val="22"/>
        </w:rPr>
        <w:tab/>
      </w:r>
      <w:r>
        <w:rPr>
          <w:i/>
        </w:rPr>
        <w:t>=12 t</w:t>
      </w:r>
      <w:r>
        <w:rPr>
          <w:i/>
          <w:vertAlign w:val="subscript"/>
        </w:rPr>
        <w:t>ар</w:t>
      </w:r>
      <w:r>
        <w:rPr>
          <w:i/>
        </w:rPr>
        <w:t>(</w:t>
      </w:r>
      <w:r>
        <w:rPr>
          <w:i/>
          <w:vertAlign w:val="subscript"/>
        </w:rPr>
        <w:t xml:space="preserve"> </w:t>
      </w:r>
      <w:r>
        <w:rPr>
          <w:i/>
        </w:rPr>
        <w:t>N/p-log</w:t>
      </w:r>
      <w:r>
        <w:rPr>
          <w:i/>
          <w:vertAlign w:val="subscript"/>
        </w:rPr>
        <w:t>2</w:t>
      </w:r>
      <w:r>
        <w:rPr>
          <w:i/>
        </w:rPr>
        <w:t>N-1)+5 t</w:t>
      </w:r>
      <w:r>
        <w:rPr>
          <w:i/>
          <w:vertAlign w:val="subscript"/>
        </w:rPr>
        <w:t>ар</w:t>
      </w:r>
      <w:r>
        <w:rPr>
          <w:i/>
        </w:rPr>
        <w:t xml:space="preserve">(N/p-1)   </w:t>
      </w:r>
      <w:r>
        <w:rPr>
          <w:i/>
        </w:rPr>
        <w:tab/>
        <w:t xml:space="preserve"> </w:t>
      </w:r>
      <w:r>
        <w:rPr>
          <w:i/>
        </w:rPr>
        <w:tab/>
      </w:r>
      <w:r>
        <w:t>(6),</w:t>
      </w:r>
      <w:r>
        <w:rPr>
          <w:i/>
        </w:rPr>
        <w:t xml:space="preserve"> </w:t>
      </w:r>
    </w:p>
    <w:p w:rsidR="002C0F56" w:rsidRDefault="00E67C6E">
      <w:pPr>
        <w:ind w:left="1558" w:right="302" w:firstLine="0"/>
      </w:pPr>
      <w:r>
        <w:t xml:space="preserve">где  </w:t>
      </w:r>
      <w:r>
        <w:rPr>
          <w:i/>
        </w:rPr>
        <w:t>p</w:t>
      </w:r>
      <w:r>
        <w:t xml:space="preserve"> – общее количество вычислительных ядер; квадратные скобки в </w:t>
      </w:r>
    </w:p>
    <w:p w:rsidR="002C0F56" w:rsidRDefault="00E67C6E">
      <w:pPr>
        <w:ind w:left="1558" w:right="302" w:hanging="564"/>
      </w:pPr>
      <w:r>
        <w:lastRenderedPageBreak/>
        <w:t xml:space="preserve">формуле означают операцию округления до целого, не превосходящее данное. Величина </w:t>
      </w:r>
      <w:r>
        <w:rPr>
          <w:i/>
        </w:rPr>
        <w:t>Т</w:t>
      </w:r>
      <w:r>
        <w:rPr>
          <w:i/>
          <w:vertAlign w:val="superscript"/>
        </w:rPr>
        <w:t>p</w:t>
      </w:r>
      <w:r>
        <w:rPr>
          <w:i/>
          <w:vertAlign w:val="subscript"/>
        </w:rPr>
        <w:t xml:space="preserve">оп </w:t>
      </w:r>
      <w:r>
        <w:rPr>
          <w:i/>
        </w:rPr>
        <w:t xml:space="preserve"> </w:t>
      </w:r>
      <w:r>
        <w:t xml:space="preserve">составит: </w:t>
      </w:r>
    </w:p>
    <w:p w:rsidR="002C0F56" w:rsidRDefault="00E67C6E">
      <w:pPr>
        <w:tabs>
          <w:tab w:val="center" w:pos="3802"/>
          <w:tab w:val="center" w:pos="6666"/>
          <w:tab w:val="center" w:pos="7646"/>
        </w:tabs>
        <w:spacing w:after="5" w:line="269" w:lineRule="auto"/>
        <w:ind w:left="0" w:firstLine="0"/>
        <w:jc w:val="left"/>
      </w:pPr>
      <w:r>
        <w:rPr>
          <w:rFonts w:ascii="Calibri" w:eastAsia="Calibri" w:hAnsi="Calibri" w:cs="Calibri"/>
          <w:sz w:val="22"/>
        </w:rPr>
        <w:tab/>
      </w:r>
      <w:r>
        <w:rPr>
          <w:i/>
        </w:rPr>
        <w:t>Т</w:t>
      </w:r>
      <w:r>
        <w:rPr>
          <w:i/>
          <w:vertAlign w:val="superscript"/>
        </w:rPr>
        <w:t>р</w:t>
      </w:r>
      <w:r>
        <w:rPr>
          <w:i/>
          <w:vertAlign w:val="subscript"/>
        </w:rPr>
        <w:t>оп</w:t>
      </w:r>
      <w:r>
        <w:rPr>
          <w:i/>
        </w:rPr>
        <w:t xml:space="preserve"> =(9N - 4 log</w:t>
      </w:r>
      <w:r>
        <w:rPr>
          <w:i/>
          <w:vertAlign w:val="subscript"/>
        </w:rPr>
        <w:t>2</w:t>
      </w:r>
      <w:r>
        <w:rPr>
          <w:i/>
        </w:rPr>
        <w:t>(N/p) – 9)</w:t>
      </w:r>
      <w:r>
        <w:rPr>
          <w:b/>
          <w:i/>
          <w:vertAlign w:val="superscript"/>
        </w:rPr>
        <w:t xml:space="preserve"> . </w:t>
      </w:r>
      <w:r>
        <w:rPr>
          <w:rFonts w:ascii="Segoe UI Symbol" w:eastAsia="Segoe UI Symbol" w:hAnsi="Segoe UI Symbol" w:cs="Segoe UI Symbol"/>
          <w:sz w:val="30"/>
        </w:rPr>
        <w:t></w:t>
      </w:r>
      <w:r>
        <w:rPr>
          <w:i/>
        </w:rPr>
        <w:t xml:space="preserve"> (</w:t>
      </w:r>
      <w:r>
        <w:rPr>
          <w:rFonts w:ascii="Segoe UI Symbol" w:eastAsia="Segoe UI Symbol" w:hAnsi="Segoe UI Symbol" w:cs="Segoe UI Symbol"/>
          <w:sz w:val="30"/>
        </w:rPr>
        <w:t></w:t>
      </w:r>
      <w:r>
        <w:rPr>
          <w:i/>
        </w:rPr>
        <w:t>+64/</w:t>
      </w:r>
      <w:r>
        <w:rPr>
          <w:rFonts w:ascii="Segoe UI Symbol" w:eastAsia="Segoe UI Symbol" w:hAnsi="Segoe UI Symbol" w:cs="Segoe UI Symbol"/>
          <w:sz w:val="30"/>
        </w:rPr>
        <w:t></w:t>
      </w:r>
      <w:r>
        <w:rPr>
          <w:i/>
        </w:rPr>
        <w:t xml:space="preserve">)   </w:t>
      </w:r>
      <w:r>
        <w:t xml:space="preserve"> </w:t>
      </w:r>
      <w:r>
        <w:tab/>
        <w:t xml:space="preserve"> </w:t>
      </w:r>
      <w:r>
        <w:tab/>
        <w:t xml:space="preserve">  (7). </w:t>
      </w:r>
    </w:p>
    <w:p w:rsidR="002C0F56" w:rsidRDefault="00E67C6E">
      <w:pPr>
        <w:ind w:left="994" w:right="302"/>
      </w:pPr>
      <w:r>
        <w:t xml:space="preserve">Чтобы оценить время выполнения операций обмена информацией,  обрабатываемой в различных узлах вычислительной системы, введем следующие обозначения: </w:t>
      </w:r>
      <w:r>
        <w:rPr>
          <w:i/>
        </w:rPr>
        <w:t>k</w:t>
      </w:r>
      <w:r>
        <w:rPr>
          <w:i/>
          <w:vertAlign w:val="subscript"/>
        </w:rPr>
        <w:t>u</w:t>
      </w:r>
      <w:r>
        <w:t xml:space="preserve"> – количество узлов; </w:t>
      </w:r>
      <w:r>
        <w:rPr>
          <w:i/>
        </w:rPr>
        <w:t>k</w:t>
      </w:r>
      <w:r>
        <w:rPr>
          <w:i/>
          <w:vertAlign w:val="subscript"/>
        </w:rPr>
        <w:t>p</w:t>
      </w:r>
      <w:r>
        <w:t xml:space="preserve"> – количество однотипных ядер в узле. Тогда время на обмен между узлами определяетс</w:t>
      </w:r>
      <w:r>
        <w:t xml:space="preserve">я следующим образом: </w:t>
      </w:r>
    </w:p>
    <w:p w:rsidR="002C0F56" w:rsidRDefault="00E67C6E">
      <w:pPr>
        <w:tabs>
          <w:tab w:val="center" w:pos="3393"/>
          <w:tab w:val="center" w:pos="5958"/>
          <w:tab w:val="center" w:pos="6886"/>
          <w:tab w:val="center" w:pos="8085"/>
          <w:tab w:val="center" w:pos="9320"/>
        </w:tabs>
        <w:spacing w:after="5" w:line="269" w:lineRule="auto"/>
        <w:ind w:left="0" w:firstLine="0"/>
        <w:jc w:val="left"/>
      </w:pPr>
      <w:r>
        <w:rPr>
          <w:rFonts w:ascii="Calibri" w:eastAsia="Calibri" w:hAnsi="Calibri" w:cs="Calibri"/>
          <w:sz w:val="22"/>
        </w:rPr>
        <w:tab/>
      </w:r>
      <w:r>
        <w:rPr>
          <w:i/>
        </w:rPr>
        <w:t xml:space="preserve"> Т</w:t>
      </w:r>
      <w:r>
        <w:rPr>
          <w:i/>
          <w:vertAlign w:val="subscript"/>
        </w:rPr>
        <w:t>обм</w:t>
      </w:r>
      <w:r>
        <w:rPr>
          <w:i/>
        </w:rPr>
        <w:t xml:space="preserve"> = 9</w:t>
      </w:r>
      <w:r>
        <w:rPr>
          <w:i/>
          <w:vertAlign w:val="subscript"/>
        </w:rPr>
        <w:t xml:space="preserve"> </w:t>
      </w:r>
      <w:r>
        <w:rPr>
          <w:i/>
        </w:rPr>
        <w:t>log</w:t>
      </w:r>
      <w:r>
        <w:rPr>
          <w:i/>
          <w:vertAlign w:val="subscript"/>
        </w:rPr>
        <w:t>2</w:t>
      </w:r>
      <w:r>
        <w:rPr>
          <w:i/>
        </w:rPr>
        <w:t>(N - 1) (</w:t>
      </w:r>
      <w:r>
        <w:rPr>
          <w:rFonts w:ascii="Segoe UI Symbol" w:eastAsia="Segoe UI Symbol" w:hAnsi="Segoe UI Symbol" w:cs="Segoe UI Symbol"/>
          <w:sz w:val="30"/>
        </w:rPr>
        <w:t></w:t>
      </w:r>
      <w:r>
        <w:rPr>
          <w:i/>
          <w:sz w:val="30"/>
          <w:vertAlign w:val="subscript"/>
        </w:rPr>
        <w:t>inf</w:t>
      </w:r>
      <w:r>
        <w:rPr>
          <w:i/>
        </w:rPr>
        <w:t>+1/</w:t>
      </w:r>
      <w:r>
        <w:rPr>
          <w:rFonts w:ascii="Segoe UI Symbol" w:eastAsia="Segoe UI Symbol" w:hAnsi="Segoe UI Symbol" w:cs="Segoe UI Symbol"/>
          <w:sz w:val="30"/>
        </w:rPr>
        <w:t></w:t>
      </w:r>
      <w:r>
        <w:rPr>
          <w:i/>
          <w:sz w:val="30"/>
          <w:vertAlign w:val="subscript"/>
        </w:rPr>
        <w:t>inf</w:t>
      </w:r>
      <w:r>
        <w:rPr>
          <w:i/>
        </w:rPr>
        <w:t xml:space="preserve">)  </w:t>
      </w:r>
      <w:r>
        <w:rPr>
          <w:i/>
        </w:rPr>
        <w:tab/>
        <w:t xml:space="preserve"> </w:t>
      </w:r>
      <w:r>
        <w:rPr>
          <w:i/>
        </w:rPr>
        <w:tab/>
      </w:r>
      <w:r>
        <w:t>при</w:t>
      </w:r>
      <w:r>
        <w:rPr>
          <w:i/>
        </w:rPr>
        <w:t xml:space="preserve">      </w:t>
      </w:r>
      <w:r>
        <w:rPr>
          <w:i/>
        </w:rPr>
        <w:tab/>
        <w:t xml:space="preserve"> </w:t>
      </w:r>
      <w:r>
        <w:rPr>
          <w:i/>
        </w:rPr>
        <w:tab/>
        <w:t xml:space="preserve"> N/k</w:t>
      </w:r>
      <w:r>
        <w:rPr>
          <w:i/>
          <w:vertAlign w:val="subscript"/>
        </w:rPr>
        <w:t>u</w:t>
      </w:r>
      <w:r>
        <w:rPr>
          <w:i/>
        </w:rPr>
        <w:t>=k</w:t>
      </w:r>
      <w:r>
        <w:rPr>
          <w:i/>
          <w:vertAlign w:val="subscript"/>
        </w:rPr>
        <w:t>p</w:t>
      </w:r>
      <w:r>
        <w:rPr>
          <w:i/>
        </w:rPr>
        <w:t xml:space="preserve">; </w:t>
      </w:r>
    </w:p>
    <w:p w:rsidR="002C0F56" w:rsidRDefault="00E67C6E">
      <w:pPr>
        <w:spacing w:after="24" w:line="259" w:lineRule="auto"/>
        <w:ind w:left="1558" w:firstLine="0"/>
        <w:jc w:val="left"/>
      </w:pPr>
      <w:r>
        <w:rPr>
          <w:i/>
        </w:rPr>
        <w:t xml:space="preserve">    </w:t>
      </w:r>
    </w:p>
    <w:p w:rsidR="002C0F56" w:rsidRDefault="00E67C6E">
      <w:pPr>
        <w:tabs>
          <w:tab w:val="center" w:pos="3887"/>
          <w:tab w:val="center" w:pos="7499"/>
        </w:tabs>
        <w:spacing w:after="5" w:line="269" w:lineRule="auto"/>
        <w:ind w:left="0" w:firstLine="0"/>
        <w:jc w:val="left"/>
      </w:pPr>
      <w:r>
        <w:rPr>
          <w:rFonts w:ascii="Calibri" w:eastAsia="Calibri" w:hAnsi="Calibri" w:cs="Calibri"/>
          <w:sz w:val="22"/>
        </w:rPr>
        <w:tab/>
      </w:r>
      <w:r>
        <w:rPr>
          <w:i/>
        </w:rPr>
        <w:t xml:space="preserve"> Т</w:t>
      </w:r>
      <w:r>
        <w:rPr>
          <w:i/>
          <w:vertAlign w:val="subscript"/>
        </w:rPr>
        <w:t>обм</w:t>
      </w:r>
      <w:r>
        <w:rPr>
          <w:i/>
        </w:rPr>
        <w:t xml:space="preserve"> = (8( log</w:t>
      </w:r>
      <w:r>
        <w:rPr>
          <w:i/>
          <w:vertAlign w:val="subscript"/>
        </w:rPr>
        <w:t>2</w:t>
      </w:r>
      <w:r>
        <w:rPr>
          <w:i/>
        </w:rPr>
        <w:t>N - 1)+log</w:t>
      </w:r>
      <w:r>
        <w:rPr>
          <w:i/>
          <w:vertAlign w:val="subscript"/>
        </w:rPr>
        <w:t>2</w:t>
      </w:r>
      <w:r>
        <w:rPr>
          <w:i/>
        </w:rPr>
        <w:t>p) (</w:t>
      </w:r>
      <w:r>
        <w:rPr>
          <w:rFonts w:ascii="Segoe UI Symbol" w:eastAsia="Segoe UI Symbol" w:hAnsi="Segoe UI Symbol" w:cs="Segoe UI Symbol"/>
          <w:sz w:val="30"/>
        </w:rPr>
        <w:t></w:t>
      </w:r>
      <w:r>
        <w:rPr>
          <w:i/>
          <w:sz w:val="30"/>
          <w:vertAlign w:val="subscript"/>
        </w:rPr>
        <w:t>inf</w:t>
      </w:r>
      <w:r>
        <w:rPr>
          <w:i/>
        </w:rPr>
        <w:t>+1/</w:t>
      </w:r>
      <w:r>
        <w:rPr>
          <w:rFonts w:ascii="Segoe UI Symbol" w:eastAsia="Segoe UI Symbol" w:hAnsi="Segoe UI Symbol" w:cs="Segoe UI Symbol"/>
          <w:sz w:val="30"/>
        </w:rPr>
        <w:t></w:t>
      </w:r>
      <w:r>
        <w:rPr>
          <w:i/>
          <w:sz w:val="30"/>
          <w:vertAlign w:val="subscript"/>
        </w:rPr>
        <w:t>inf</w:t>
      </w:r>
      <w:r>
        <w:rPr>
          <w:i/>
        </w:rPr>
        <w:t xml:space="preserve">)  </w:t>
      </w:r>
      <w:r>
        <w:rPr>
          <w:i/>
        </w:rPr>
        <w:tab/>
      </w:r>
      <w:r>
        <w:t>при</w:t>
      </w:r>
      <w:r>
        <w:rPr>
          <w:i/>
        </w:rPr>
        <w:t xml:space="preserve">    N/k</w:t>
      </w:r>
      <w:r>
        <w:rPr>
          <w:i/>
          <w:vertAlign w:val="subscript"/>
        </w:rPr>
        <w:t>u</w:t>
      </w:r>
      <w:r>
        <w:rPr>
          <w:i/>
        </w:rPr>
        <w:t>&gt;k</w:t>
      </w:r>
      <w:r>
        <w:rPr>
          <w:i/>
          <w:vertAlign w:val="subscript"/>
        </w:rPr>
        <w:t>p</w:t>
      </w:r>
      <w:r>
        <w:rPr>
          <w:i/>
        </w:rPr>
        <w:t xml:space="preserve">, </w:t>
      </w:r>
    </w:p>
    <w:p w:rsidR="002C0F56" w:rsidRDefault="00E67C6E">
      <w:pPr>
        <w:spacing w:after="12"/>
        <w:ind w:left="1558" w:right="302" w:firstLine="0"/>
      </w:pPr>
      <w:r>
        <w:t>где</w:t>
      </w:r>
      <w:r>
        <w:rPr>
          <w:i/>
        </w:rPr>
        <w:t xml:space="preserve"> </w:t>
      </w:r>
      <w:r>
        <w:rPr>
          <w:rFonts w:ascii="Segoe UI Symbol" w:eastAsia="Segoe UI Symbol" w:hAnsi="Segoe UI Symbol" w:cs="Segoe UI Symbol"/>
          <w:sz w:val="30"/>
        </w:rPr>
        <w:t></w:t>
      </w:r>
      <w:r>
        <w:rPr>
          <w:i/>
          <w:sz w:val="30"/>
          <w:vertAlign w:val="subscript"/>
        </w:rPr>
        <w:t xml:space="preserve">inf  </w:t>
      </w:r>
      <w:r>
        <w:rPr>
          <w:i/>
        </w:rPr>
        <w:t xml:space="preserve">– </w:t>
      </w:r>
      <w:r>
        <w:t xml:space="preserve">латентность, определяющая время подготовки к передаче данных </w:t>
      </w:r>
    </w:p>
    <w:p w:rsidR="002C0F56" w:rsidRDefault="00E67C6E">
      <w:pPr>
        <w:spacing w:after="12"/>
        <w:ind w:left="994" w:right="302" w:firstLine="0"/>
      </w:pPr>
      <w:r>
        <w:t xml:space="preserve">по сети; </w:t>
      </w:r>
      <w:r>
        <w:rPr>
          <w:rFonts w:ascii="Segoe UI Symbol" w:eastAsia="Segoe UI Symbol" w:hAnsi="Segoe UI Symbol" w:cs="Segoe UI Symbol"/>
          <w:sz w:val="30"/>
        </w:rPr>
        <w:t></w:t>
      </w:r>
      <w:r>
        <w:rPr>
          <w:i/>
          <w:sz w:val="30"/>
          <w:vertAlign w:val="subscript"/>
        </w:rPr>
        <w:t>inf</w:t>
      </w:r>
      <w:r>
        <w:rPr>
          <w:i/>
        </w:rPr>
        <w:t xml:space="preserve"> - </w:t>
      </w:r>
      <w:r>
        <w:t xml:space="preserve">пропускная способность сети. </w:t>
      </w:r>
    </w:p>
    <w:p w:rsidR="002C0F56" w:rsidRDefault="00E67C6E">
      <w:pPr>
        <w:spacing w:after="5" w:line="268" w:lineRule="auto"/>
        <w:ind w:left="994" w:right="293" w:firstLine="554"/>
        <w:jc w:val="left"/>
      </w:pPr>
      <w:r>
        <w:t xml:space="preserve">Для  оценки  качества  параллельного  алгоритма  используются характеристики, введенные ранее. Графики изменения коэффициента ускорения </w:t>
      </w:r>
      <w:r>
        <w:rPr>
          <w:i/>
        </w:rPr>
        <w:t>Sp</w:t>
      </w:r>
      <w:r>
        <w:t xml:space="preserve"> в зависимости от размерности задачи </w:t>
      </w:r>
      <w:r>
        <w:rPr>
          <w:i/>
        </w:rPr>
        <w:t xml:space="preserve">N </w:t>
      </w:r>
      <w:r>
        <w:t xml:space="preserve">и числа вычислительных элементов (ядер) </w:t>
      </w:r>
      <w:r>
        <w:rPr>
          <w:i/>
        </w:rPr>
        <w:t>р</w:t>
      </w:r>
      <w:r>
        <w:t xml:space="preserve"> предста</w:t>
      </w:r>
      <w:r>
        <w:t xml:space="preserve">влены на рис.1.  </w:t>
      </w:r>
    </w:p>
    <w:p w:rsidR="002C0F56" w:rsidRDefault="00E67C6E">
      <w:pPr>
        <w:spacing w:after="0"/>
        <w:ind w:left="994" w:right="302"/>
      </w:pPr>
      <w:r>
        <w:t xml:space="preserve">Анализ представленных графиков показывает, что при небольших значениях </w:t>
      </w:r>
      <w:r>
        <w:rPr>
          <w:i/>
        </w:rPr>
        <w:t>N</w:t>
      </w:r>
      <w:r>
        <w:t>, ускорение растет до определенного момента. Далее при увеличении числа вычислительных элементов (ядер) ускорение начинает падать. Это говорит о том, что по сравнению</w:t>
      </w:r>
      <w:r>
        <w:t xml:space="preserve"> с объемом вычислений, приходящихся на одно ядро, время на обмены между узлами существенно увеличивается. Аналогично обстоит дело с эффективностью алгоритма. Если считать приемлемыми значениями эффективности величины, попадающие в диапазон от 1 до 0.5 испо</w:t>
      </w:r>
      <w:r>
        <w:t xml:space="preserve">льзование алгоритма эффективно только при решении задач большой размерности с использованием количества вычислительных элементов не более 128 (для рассматриваемой системы это 8 узлов по 16 ядер в каждом). </w:t>
      </w:r>
    </w:p>
    <w:p w:rsidR="002C0F56" w:rsidRDefault="00E67C6E">
      <w:pPr>
        <w:spacing w:after="0" w:line="259" w:lineRule="auto"/>
        <w:ind w:left="1558" w:right="1548" w:firstLine="0"/>
        <w:jc w:val="left"/>
      </w:pPr>
      <w:r>
        <w:t xml:space="preserve"> </w:t>
      </w:r>
    </w:p>
    <w:p w:rsidR="002C0F56" w:rsidRDefault="00E67C6E">
      <w:pPr>
        <w:spacing w:after="0" w:line="259" w:lineRule="auto"/>
        <w:ind w:left="0" w:right="1476" w:firstLine="0"/>
        <w:jc w:val="right"/>
      </w:pPr>
      <w:r>
        <w:rPr>
          <w:noProof/>
        </w:rPr>
        <w:lastRenderedPageBreak/>
        <w:drawing>
          <wp:inline distT="0" distB="0" distL="0" distR="0">
            <wp:extent cx="4189730" cy="2705100"/>
            <wp:effectExtent l="0" t="0" r="0" b="0"/>
            <wp:docPr id="59171" name="Picture 59171"/>
            <wp:cNvGraphicFramePr/>
            <a:graphic xmlns:a="http://schemas.openxmlformats.org/drawingml/2006/main">
              <a:graphicData uri="http://schemas.openxmlformats.org/drawingml/2006/picture">
                <pic:pic xmlns:pic="http://schemas.openxmlformats.org/drawingml/2006/picture">
                  <pic:nvPicPr>
                    <pic:cNvPr id="59171" name="Picture 59171"/>
                    <pic:cNvPicPr/>
                  </pic:nvPicPr>
                  <pic:blipFill>
                    <a:blip r:embed="rId1157"/>
                    <a:stretch>
                      <a:fillRect/>
                    </a:stretch>
                  </pic:blipFill>
                  <pic:spPr>
                    <a:xfrm>
                      <a:off x="0" y="0"/>
                      <a:ext cx="4189730" cy="2705100"/>
                    </a:xfrm>
                    <a:prstGeom prst="rect">
                      <a:avLst/>
                    </a:prstGeom>
                  </pic:spPr>
                </pic:pic>
              </a:graphicData>
            </a:graphic>
          </wp:inline>
        </w:drawing>
      </w:r>
      <w:r>
        <w:t xml:space="preserve"> </w:t>
      </w:r>
    </w:p>
    <w:p w:rsidR="002C0F56" w:rsidRDefault="00E67C6E">
      <w:pPr>
        <w:spacing w:after="5" w:line="271" w:lineRule="auto"/>
        <w:ind w:left="1964" w:right="396" w:hanging="10"/>
        <w:jc w:val="left"/>
      </w:pPr>
      <w:r>
        <w:rPr>
          <w:b/>
          <w:sz w:val="24"/>
        </w:rPr>
        <w:t xml:space="preserve">Рис.1. Графики изменения ускорения </w:t>
      </w:r>
      <w:r>
        <w:rPr>
          <w:b/>
          <w:i/>
          <w:sz w:val="24"/>
        </w:rPr>
        <w:t>Sp</w:t>
      </w:r>
      <w:r>
        <w:rPr>
          <w:b/>
          <w:sz w:val="24"/>
        </w:rPr>
        <w:t xml:space="preserve"> </w:t>
      </w:r>
      <w:r>
        <w:rPr>
          <w:b/>
          <w:sz w:val="24"/>
        </w:rPr>
        <w:t xml:space="preserve">для метода циклической редукции </w:t>
      </w:r>
    </w:p>
    <w:p w:rsidR="002C0F56" w:rsidRDefault="00E67C6E">
      <w:pPr>
        <w:spacing w:after="0" w:line="259" w:lineRule="auto"/>
        <w:ind w:left="1558" w:firstLine="0"/>
        <w:jc w:val="left"/>
      </w:pPr>
      <w:r>
        <w:t xml:space="preserve"> </w:t>
      </w:r>
    </w:p>
    <w:p w:rsidR="002C0F56" w:rsidRDefault="00E67C6E">
      <w:pPr>
        <w:spacing w:after="302"/>
        <w:ind w:left="994" w:right="302"/>
      </w:pPr>
      <w:r>
        <w:t xml:space="preserve">Выполним оценку времени выполнения последовательного алгоритма метода прогонки [1], которая складывается из времени вычислений и времени доступа к оперативной памяти: </w:t>
      </w:r>
      <w:r>
        <w:rPr>
          <w:i/>
          <w:sz w:val="32"/>
        </w:rPr>
        <w:t>T</w:t>
      </w:r>
      <w:r>
        <w:rPr>
          <w:i/>
          <w:sz w:val="19"/>
        </w:rPr>
        <w:t>PR</w:t>
      </w:r>
      <w:r>
        <w:rPr>
          <w:sz w:val="19"/>
        </w:rPr>
        <w:t xml:space="preserve">(1) </w:t>
      </w:r>
      <w:r>
        <w:rPr>
          <w:rFonts w:ascii="Segoe UI Symbol" w:eastAsia="Segoe UI Symbol" w:hAnsi="Segoe UI Symbol" w:cs="Segoe UI Symbol"/>
          <w:sz w:val="32"/>
        </w:rPr>
        <w:t></w:t>
      </w:r>
      <w:r>
        <w:rPr>
          <w:i/>
          <w:sz w:val="32"/>
        </w:rPr>
        <w:t>T</w:t>
      </w:r>
      <w:r>
        <w:rPr>
          <w:i/>
          <w:sz w:val="19"/>
        </w:rPr>
        <w:t>PRар</w:t>
      </w:r>
      <w:r>
        <w:rPr>
          <w:sz w:val="19"/>
        </w:rPr>
        <w:t xml:space="preserve">(1) </w:t>
      </w:r>
      <w:r>
        <w:rPr>
          <w:rFonts w:ascii="Segoe UI Symbol" w:eastAsia="Segoe UI Symbol" w:hAnsi="Segoe UI Symbol" w:cs="Segoe UI Symbol"/>
          <w:sz w:val="32"/>
        </w:rPr>
        <w:t></w:t>
      </w:r>
      <w:r>
        <w:rPr>
          <w:i/>
          <w:sz w:val="32"/>
        </w:rPr>
        <w:t>T</w:t>
      </w:r>
      <w:r>
        <w:rPr>
          <w:i/>
          <w:sz w:val="19"/>
        </w:rPr>
        <w:t>PRОП</w:t>
      </w:r>
      <w:r>
        <w:rPr>
          <w:sz w:val="19"/>
        </w:rPr>
        <w:t xml:space="preserve">(1) </w:t>
      </w:r>
      <w:r>
        <w:rPr>
          <w:i/>
        </w:rPr>
        <w:t>,</w:t>
      </w:r>
      <w:r>
        <w:t xml:space="preserve"> </w:t>
      </w:r>
    </w:p>
    <w:p w:rsidR="002C0F56" w:rsidRDefault="00E67C6E">
      <w:pPr>
        <w:spacing w:after="12"/>
        <w:ind w:left="1558" w:right="302" w:firstLine="0"/>
      </w:pPr>
      <w:r>
        <w:t xml:space="preserve">где  </w:t>
      </w:r>
      <w:r>
        <w:rPr>
          <w:i/>
          <w:sz w:val="49"/>
          <w:vertAlign w:val="superscript"/>
        </w:rPr>
        <w:t>T</w:t>
      </w:r>
      <w:r>
        <w:rPr>
          <w:i/>
          <w:vertAlign w:val="subscript"/>
        </w:rPr>
        <w:t>PR</w:t>
      </w:r>
      <w:r>
        <w:rPr>
          <w:i/>
          <w:vertAlign w:val="superscript"/>
        </w:rPr>
        <w:t>ар</w:t>
      </w:r>
      <w:r>
        <w:rPr>
          <w:vertAlign w:val="subscript"/>
        </w:rPr>
        <w:t>(</w:t>
      </w:r>
      <w:r>
        <w:rPr>
          <w:sz w:val="19"/>
        </w:rPr>
        <w:t>1)</w:t>
      </w:r>
      <w:r>
        <w:rPr>
          <w:i/>
        </w:rPr>
        <w:t xml:space="preserve">– </w:t>
      </w:r>
      <w:r>
        <w:t>время</w:t>
      </w:r>
      <w:r>
        <w:rPr>
          <w:i/>
        </w:rPr>
        <w:t xml:space="preserve"> </w:t>
      </w:r>
      <w:r>
        <w:t xml:space="preserve">выполнения арифметических операций;  </w:t>
      </w:r>
      <w:r>
        <w:rPr>
          <w:i/>
          <w:sz w:val="29"/>
        </w:rPr>
        <w:t>T</w:t>
      </w:r>
      <w:r>
        <w:rPr>
          <w:i/>
          <w:vertAlign w:val="subscript"/>
        </w:rPr>
        <w:t>PR</w:t>
      </w:r>
      <w:r>
        <w:rPr>
          <w:i/>
          <w:vertAlign w:val="superscript"/>
        </w:rPr>
        <w:t>ОП</w:t>
      </w:r>
      <w:r>
        <w:rPr>
          <w:vertAlign w:val="subscript"/>
        </w:rPr>
        <w:t>(1)</w:t>
      </w:r>
      <w:r>
        <w:rPr>
          <w:i/>
        </w:rPr>
        <w:t xml:space="preserve">– </w:t>
      </w:r>
      <w:r>
        <w:t xml:space="preserve">время </w:t>
      </w:r>
    </w:p>
    <w:p w:rsidR="002C0F56" w:rsidRDefault="00E67C6E">
      <w:pPr>
        <w:spacing w:after="12"/>
        <w:ind w:left="994" w:right="302" w:firstLine="0"/>
      </w:pPr>
      <w:r>
        <w:t xml:space="preserve">доступа к памяти. </w:t>
      </w:r>
    </w:p>
    <w:p w:rsidR="002C0F56" w:rsidRDefault="00E67C6E">
      <w:pPr>
        <w:spacing w:after="166"/>
        <w:ind w:left="994" w:right="302"/>
      </w:pPr>
      <w:r>
        <w:t xml:space="preserve">Время на выполнение вычислений для последовательного алгоритма  определяется следующим образом: </w:t>
      </w:r>
    </w:p>
    <w:p w:rsidR="002C0F56" w:rsidRDefault="00E67C6E">
      <w:pPr>
        <w:spacing w:after="0" w:line="401" w:lineRule="auto"/>
        <w:ind w:left="1558" w:right="302" w:firstLine="26"/>
      </w:pPr>
      <w:r>
        <w:rPr>
          <w:i/>
        </w:rPr>
        <w:t>T</w:t>
      </w:r>
      <w:r>
        <w:rPr>
          <w:i/>
          <w:sz w:val="17"/>
        </w:rPr>
        <w:t>PR</w:t>
      </w:r>
      <w:r>
        <w:rPr>
          <w:sz w:val="17"/>
        </w:rPr>
        <w:t>(1)</w:t>
      </w:r>
      <w:r>
        <w:rPr>
          <w:i/>
          <w:sz w:val="17"/>
        </w:rPr>
        <w:t xml:space="preserve">ар </w:t>
      </w:r>
      <w:r>
        <w:rPr>
          <w:rFonts w:ascii="Segoe UI Symbol" w:eastAsia="Segoe UI Symbol" w:hAnsi="Segoe UI Symbol" w:cs="Segoe UI Symbol"/>
        </w:rPr>
        <w:t></w:t>
      </w:r>
      <w:r>
        <w:rPr>
          <w:i/>
        </w:rPr>
        <w:t>T</w:t>
      </w:r>
      <w:r>
        <w:rPr>
          <w:i/>
          <w:sz w:val="17"/>
        </w:rPr>
        <w:t>PRпр</w:t>
      </w:r>
      <w:r>
        <w:rPr>
          <w:sz w:val="17"/>
        </w:rPr>
        <w:t xml:space="preserve">(1) </w:t>
      </w:r>
      <w:r>
        <w:rPr>
          <w:rFonts w:ascii="Segoe UI Symbol" w:eastAsia="Segoe UI Symbol" w:hAnsi="Segoe UI Symbol" w:cs="Segoe UI Symbol"/>
        </w:rPr>
        <w:t></w:t>
      </w:r>
      <w:r>
        <w:rPr>
          <w:i/>
        </w:rPr>
        <w:t>T</w:t>
      </w:r>
      <w:r>
        <w:rPr>
          <w:i/>
          <w:sz w:val="17"/>
        </w:rPr>
        <w:t>PRобр</w:t>
      </w:r>
      <w:r>
        <w:rPr>
          <w:sz w:val="17"/>
        </w:rPr>
        <w:t xml:space="preserve">(1) </w:t>
      </w:r>
      <w:r>
        <w:rPr>
          <w:rFonts w:ascii="Segoe UI Symbol" w:eastAsia="Segoe UI Symbol" w:hAnsi="Segoe UI Symbol" w:cs="Segoe UI Symbol"/>
        </w:rPr>
        <w:t></w:t>
      </w:r>
      <w:r>
        <w:rPr>
          <w:i/>
        </w:rPr>
        <w:t>(6(N-1)+2+2N+5)</w:t>
      </w:r>
      <w:r>
        <w:rPr>
          <w:i/>
          <w:sz w:val="32"/>
        </w:rPr>
        <w:t>t</w:t>
      </w:r>
      <w:r>
        <w:rPr>
          <w:i/>
          <w:sz w:val="18"/>
        </w:rPr>
        <w:t>а</w:t>
      </w:r>
      <w:r>
        <w:rPr>
          <w:i/>
        </w:rPr>
        <w:t xml:space="preserve"> = (8N+1) </w:t>
      </w:r>
      <w:r>
        <w:rPr>
          <w:i/>
          <w:sz w:val="32"/>
        </w:rPr>
        <w:t>t</w:t>
      </w:r>
      <w:r>
        <w:rPr>
          <w:i/>
          <w:sz w:val="18"/>
        </w:rPr>
        <w:t xml:space="preserve">а </w:t>
      </w:r>
      <w:r>
        <w:rPr>
          <w:i/>
        </w:rPr>
        <w:t xml:space="preserve">,      </w:t>
      </w:r>
      <w:r>
        <w:t>(8)</w:t>
      </w:r>
      <w:r>
        <w:rPr>
          <w:i/>
        </w:rPr>
        <w:t xml:space="preserve"> </w:t>
      </w:r>
      <w:r>
        <w:t xml:space="preserve">где  </w:t>
      </w:r>
      <w:r>
        <w:rPr>
          <w:i/>
          <w:sz w:val="25"/>
        </w:rPr>
        <w:t>t</w:t>
      </w:r>
      <w:r>
        <w:rPr>
          <w:i/>
          <w:sz w:val="23"/>
          <w:vertAlign w:val="subscript"/>
        </w:rPr>
        <w:t>а</w:t>
      </w:r>
      <w:r>
        <w:t xml:space="preserve">– </w:t>
      </w:r>
      <w:r>
        <w:t xml:space="preserve">среднее время выполнения базовой арифметической операции; </w:t>
      </w:r>
      <w:r>
        <w:rPr>
          <w:i/>
        </w:rPr>
        <w:t>N</w:t>
      </w:r>
      <w:r>
        <w:t xml:space="preserve"> – </w:t>
      </w:r>
    </w:p>
    <w:p w:rsidR="002C0F56" w:rsidRDefault="00E67C6E">
      <w:pPr>
        <w:spacing w:after="12"/>
        <w:ind w:left="994" w:right="302" w:firstLine="0"/>
      </w:pPr>
      <w:r>
        <w:t xml:space="preserve">размерность задачи. </w:t>
      </w:r>
    </w:p>
    <w:p w:rsidR="002C0F56" w:rsidRDefault="00E67C6E">
      <w:pPr>
        <w:spacing w:after="447"/>
        <w:ind w:left="994" w:right="302"/>
      </w:pPr>
      <w:r>
        <w:t xml:space="preserve">Временные затраты на извлечение необходимых данных из оперативной памяти составят: </w:t>
      </w:r>
    </w:p>
    <w:p w:rsidR="002C0F56" w:rsidRDefault="00E67C6E">
      <w:pPr>
        <w:spacing w:after="316" w:line="259" w:lineRule="auto"/>
        <w:ind w:left="1578" w:hanging="10"/>
        <w:jc w:val="left"/>
      </w:pPr>
      <w:r>
        <w:rPr>
          <w:i/>
        </w:rPr>
        <w:t>T</w:t>
      </w:r>
      <w:r>
        <w:rPr>
          <w:i/>
          <w:sz w:val="16"/>
        </w:rPr>
        <w:t>PRОП</w:t>
      </w:r>
      <w:r>
        <w:rPr>
          <w:sz w:val="16"/>
        </w:rPr>
        <w:t xml:space="preserve">(1) </w:t>
      </w:r>
      <w:r>
        <w:rPr>
          <w:rFonts w:ascii="Segoe UI Symbol" w:eastAsia="Segoe UI Symbol" w:hAnsi="Segoe UI Symbol" w:cs="Segoe UI Symbol"/>
        </w:rPr>
        <w:t></w:t>
      </w:r>
      <w:r>
        <w:rPr>
          <w:rFonts w:ascii="Segoe UI Symbol" w:eastAsia="Segoe UI Symbol" w:hAnsi="Segoe UI Symbol" w:cs="Segoe UI Symbol"/>
          <w:sz w:val="29"/>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sz w:val="29"/>
        </w:rPr>
        <w:t></w:t>
      </w:r>
      <w:r>
        <w:rPr>
          <w:rFonts w:ascii="Segoe UI Symbol" w:eastAsia="Segoe UI Symbol" w:hAnsi="Segoe UI Symbol" w:cs="Segoe UI Symbol"/>
        </w:rPr>
        <w:t></w:t>
      </w:r>
      <w:r>
        <w:t>6</w:t>
      </w:r>
      <w:r>
        <w:rPr>
          <w:rFonts w:ascii="Calibri" w:eastAsia="Calibri" w:hAnsi="Calibri" w:cs="Calibri"/>
          <w:noProof/>
          <w:sz w:val="22"/>
        </w:rPr>
        <mc:AlternateContent>
          <mc:Choice Requires="wpg">
            <w:drawing>
              <wp:inline distT="0" distB="0" distL="0" distR="0">
                <wp:extent cx="186964" cy="7260"/>
                <wp:effectExtent l="0" t="0" r="0" b="0"/>
                <wp:docPr id="642137" name="Group 642137"/>
                <wp:cNvGraphicFramePr/>
                <a:graphic xmlns:a="http://schemas.openxmlformats.org/drawingml/2006/main">
                  <a:graphicData uri="http://schemas.microsoft.com/office/word/2010/wordprocessingGroup">
                    <wpg:wgp>
                      <wpg:cNvGrpSpPr/>
                      <wpg:grpSpPr>
                        <a:xfrm>
                          <a:off x="0" y="0"/>
                          <a:ext cx="186964" cy="7260"/>
                          <a:chOff x="0" y="0"/>
                          <a:chExt cx="186964" cy="7260"/>
                        </a:xfrm>
                      </wpg:grpSpPr>
                      <wps:wsp>
                        <wps:cNvPr id="59301" name="Shape 59301"/>
                        <wps:cNvSpPr/>
                        <wps:spPr>
                          <a:xfrm>
                            <a:off x="0" y="0"/>
                            <a:ext cx="186964" cy="0"/>
                          </a:xfrm>
                          <a:custGeom>
                            <a:avLst/>
                            <a:gdLst/>
                            <a:ahLst/>
                            <a:cxnLst/>
                            <a:rect l="0" t="0" r="0" b="0"/>
                            <a:pathLst>
                              <a:path w="186964">
                                <a:moveTo>
                                  <a:pt x="0" y="0"/>
                                </a:moveTo>
                                <a:lnTo>
                                  <a:pt x="186964" y="0"/>
                                </a:lnTo>
                              </a:path>
                            </a:pathLst>
                          </a:custGeom>
                          <a:ln w="726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2137" style="width:14.7216pt;height:0.571666pt;mso-position-horizontal-relative:char;mso-position-vertical-relative:line" coordsize="1869,72">
                <v:shape id="Shape 59301" style="position:absolute;width:1869;height:0;left:0;top:0;" coordsize="186964,0" path="m0,0l186964,0">
                  <v:stroke weight="0.571666pt" endcap="flat" joinstyle="round" on="true" color="#000000"/>
                  <v:fill on="false" color="#000000" opacity="0"/>
                </v:shape>
              </v:group>
            </w:pict>
          </mc:Fallback>
        </mc:AlternateContent>
      </w:r>
      <w:r>
        <w:t>64</w:t>
      </w:r>
      <w:r>
        <w:rPr>
          <w:rFonts w:ascii="Segoe UI Symbol" w:eastAsia="Segoe UI Symbol" w:hAnsi="Segoe UI Symbol" w:cs="Segoe UI Symbol"/>
          <w:sz w:val="29"/>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sz w:val="36"/>
        </w:rPr>
        <w:t></w:t>
      </w:r>
      <w:r>
        <w:rPr>
          <w:i/>
        </w:rPr>
        <w:t>N</w:t>
      </w:r>
      <w:r>
        <w:rPr>
          <w:rFonts w:ascii="Segoe UI Symbol" w:eastAsia="Segoe UI Symbol" w:hAnsi="Segoe UI Symbol" w:cs="Segoe UI Symbol"/>
        </w:rPr>
        <w:t></w:t>
      </w:r>
      <w:r>
        <w:t>1</w:t>
      </w:r>
      <w:r>
        <w:rPr>
          <w:rFonts w:ascii="Segoe UI Symbol" w:eastAsia="Segoe UI Symbol" w:hAnsi="Segoe UI Symbol" w:cs="Segoe UI Symbol"/>
          <w:sz w:val="36"/>
        </w:rPr>
        <w:t></w:t>
      </w:r>
      <w:r>
        <w:rPr>
          <w:rFonts w:ascii="Segoe UI Symbol" w:eastAsia="Segoe UI Symbol" w:hAnsi="Segoe UI Symbol" w:cs="Segoe UI Symbol"/>
        </w:rPr>
        <w:t></w:t>
      </w:r>
      <w:r>
        <w:rPr>
          <w:rFonts w:ascii="Segoe UI Symbol" w:eastAsia="Segoe UI Symbol" w:hAnsi="Segoe UI Symbol" w:cs="Segoe UI Symbol"/>
          <w:sz w:val="29"/>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sz w:val="29"/>
        </w:rPr>
        <w:t></w:t>
      </w:r>
      <w:r>
        <w:rPr>
          <w:rFonts w:ascii="Segoe UI Symbol" w:eastAsia="Segoe UI Symbol" w:hAnsi="Segoe UI Symbol" w:cs="Segoe UI Symbol"/>
        </w:rPr>
        <w:t></w:t>
      </w:r>
      <w:r>
        <w:t>2</w:t>
      </w:r>
      <w:r>
        <w:rPr>
          <w:rFonts w:ascii="Calibri" w:eastAsia="Calibri" w:hAnsi="Calibri" w:cs="Calibri"/>
          <w:noProof/>
          <w:sz w:val="22"/>
        </w:rPr>
        <mc:AlternateContent>
          <mc:Choice Requires="wpg">
            <w:drawing>
              <wp:inline distT="0" distB="0" distL="0" distR="0">
                <wp:extent cx="186849" cy="7260"/>
                <wp:effectExtent l="0" t="0" r="0" b="0"/>
                <wp:docPr id="642138" name="Group 642138"/>
                <wp:cNvGraphicFramePr/>
                <a:graphic xmlns:a="http://schemas.openxmlformats.org/drawingml/2006/main">
                  <a:graphicData uri="http://schemas.microsoft.com/office/word/2010/wordprocessingGroup">
                    <wpg:wgp>
                      <wpg:cNvGrpSpPr/>
                      <wpg:grpSpPr>
                        <a:xfrm>
                          <a:off x="0" y="0"/>
                          <a:ext cx="186849" cy="7260"/>
                          <a:chOff x="0" y="0"/>
                          <a:chExt cx="186849" cy="7260"/>
                        </a:xfrm>
                      </wpg:grpSpPr>
                      <wps:wsp>
                        <wps:cNvPr id="59304" name="Shape 59304"/>
                        <wps:cNvSpPr/>
                        <wps:spPr>
                          <a:xfrm>
                            <a:off x="0" y="0"/>
                            <a:ext cx="186849" cy="0"/>
                          </a:xfrm>
                          <a:custGeom>
                            <a:avLst/>
                            <a:gdLst/>
                            <a:ahLst/>
                            <a:cxnLst/>
                            <a:rect l="0" t="0" r="0" b="0"/>
                            <a:pathLst>
                              <a:path w="186849">
                                <a:moveTo>
                                  <a:pt x="0" y="0"/>
                                </a:moveTo>
                                <a:lnTo>
                                  <a:pt x="186849" y="0"/>
                                </a:lnTo>
                              </a:path>
                            </a:pathLst>
                          </a:custGeom>
                          <a:ln w="726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2138" style="width:14.7126pt;height:0.571666pt;mso-position-horizontal-relative:char;mso-position-vertical-relative:line" coordsize="1868,72">
                <v:shape id="Shape 59304" style="position:absolute;width:1868;height:0;left:0;top:0;" coordsize="186849,0" path="m0,0l186849,0">
                  <v:stroke weight="0.571666pt" endcap="flat" joinstyle="round" on="true" color="#000000"/>
                  <v:fill on="false" color="#000000" opacity="0"/>
                </v:shape>
              </v:group>
            </w:pict>
          </mc:Fallback>
        </mc:AlternateContent>
      </w:r>
      <w:r>
        <w:t>64</w:t>
      </w:r>
      <w:r>
        <w:rPr>
          <w:rFonts w:ascii="Segoe UI Symbol" w:eastAsia="Segoe UI Symbol" w:hAnsi="Segoe UI Symbol" w:cs="Segoe UI Symbol"/>
          <w:sz w:val="29"/>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sz w:val="36"/>
        </w:rPr>
        <w:t></w:t>
      </w:r>
      <w:r>
        <w:rPr>
          <w:i/>
        </w:rPr>
        <w:t>N</w:t>
      </w:r>
      <w:r>
        <w:rPr>
          <w:rFonts w:ascii="Segoe UI Symbol" w:eastAsia="Segoe UI Symbol" w:hAnsi="Segoe UI Symbol" w:cs="Segoe UI Symbol"/>
        </w:rPr>
        <w:t></w:t>
      </w:r>
      <w:r>
        <w:t>1</w:t>
      </w:r>
      <w:r>
        <w:rPr>
          <w:rFonts w:ascii="Segoe UI Symbol" w:eastAsia="Segoe UI Symbol" w:hAnsi="Segoe UI Symbol" w:cs="Segoe UI Symbol"/>
          <w:sz w:val="36"/>
        </w:rPr>
        <w:t></w:t>
      </w:r>
      <w:r>
        <w:rPr>
          <w:i/>
        </w:rPr>
        <w:t xml:space="preserve">        </w:t>
      </w:r>
      <w:r>
        <w:t xml:space="preserve">(9). </w:t>
      </w:r>
    </w:p>
    <w:p w:rsidR="002C0F56" w:rsidRDefault="00E67C6E">
      <w:pPr>
        <w:spacing w:after="388"/>
        <w:ind w:left="994" w:right="302"/>
      </w:pPr>
      <w:r>
        <w:t xml:space="preserve">Время выполнения последовательного алгоритма получено суммированием выражений (8) и (9): </w:t>
      </w:r>
    </w:p>
    <w:p w:rsidR="002C0F56" w:rsidRDefault="00E67C6E">
      <w:pPr>
        <w:spacing w:after="156" w:line="256" w:lineRule="auto"/>
        <w:ind w:left="1567" w:firstLine="0"/>
        <w:jc w:val="left"/>
      </w:pPr>
      <w:r>
        <w:rPr>
          <w:i/>
          <w:sz w:val="25"/>
        </w:rPr>
        <w:lastRenderedPageBreak/>
        <w:t>T</w:t>
      </w:r>
      <w:r>
        <w:rPr>
          <w:i/>
          <w:sz w:val="23"/>
          <w:vertAlign w:val="subscript"/>
        </w:rPr>
        <w:t>PR</w:t>
      </w:r>
      <w:r>
        <w:rPr>
          <w:sz w:val="23"/>
          <w:vertAlign w:val="subscript"/>
        </w:rPr>
        <w:t xml:space="preserve">(1) </w:t>
      </w:r>
      <w:r>
        <w:rPr>
          <w:rFonts w:ascii="Segoe UI Symbol" w:eastAsia="Segoe UI Symbol" w:hAnsi="Segoe UI Symbol" w:cs="Segoe UI Symbol"/>
          <w:sz w:val="25"/>
        </w:rPr>
        <w:t xml:space="preserve"> </w:t>
      </w:r>
      <w:r>
        <w:rPr>
          <w:sz w:val="25"/>
        </w:rPr>
        <w:t>(8</w:t>
      </w:r>
      <w:r>
        <w:rPr>
          <w:i/>
          <w:sz w:val="25"/>
        </w:rPr>
        <w:t xml:space="preserve">N </w:t>
      </w:r>
      <w:r>
        <w:rPr>
          <w:rFonts w:ascii="Segoe UI Symbol" w:eastAsia="Segoe UI Symbol" w:hAnsi="Segoe UI Symbol" w:cs="Segoe UI Symbol"/>
          <w:sz w:val="25"/>
        </w:rPr>
        <w:t></w:t>
      </w:r>
      <w:r>
        <w:rPr>
          <w:sz w:val="25"/>
        </w:rPr>
        <w:t>1)</w:t>
      </w:r>
      <w:r>
        <w:rPr>
          <w:rFonts w:ascii="Segoe UI Symbol" w:eastAsia="Segoe UI Symbol" w:hAnsi="Segoe UI Symbol" w:cs="Segoe UI Symbol"/>
          <w:sz w:val="25"/>
        </w:rPr>
        <w:t></w:t>
      </w:r>
      <w:r>
        <w:rPr>
          <w:i/>
          <w:sz w:val="25"/>
        </w:rPr>
        <w:t>t</w:t>
      </w:r>
      <w:r>
        <w:rPr>
          <w:i/>
          <w:sz w:val="23"/>
          <w:vertAlign w:val="subscript"/>
        </w:rPr>
        <w:t xml:space="preserve">а </w:t>
      </w:r>
      <w:r>
        <w:rPr>
          <w:rFonts w:ascii="Segoe UI Symbol" w:eastAsia="Segoe UI Symbol" w:hAnsi="Segoe UI Symbol" w:cs="Segoe UI Symbol"/>
          <w:sz w:val="25"/>
        </w:rPr>
        <w:t></w:t>
      </w:r>
      <w:r>
        <w:rPr>
          <w:rFonts w:ascii="Segoe UI Symbol" w:eastAsia="Segoe UI Symbol" w:hAnsi="Segoe UI Symbol" w:cs="Segoe UI Symbol"/>
          <w:sz w:val="41"/>
          <w:vertAlign w:val="superscript"/>
        </w:rPr>
        <w:t></w:t>
      </w:r>
      <w:r>
        <w:rPr>
          <w:rFonts w:ascii="Segoe UI Symbol" w:eastAsia="Segoe UI Symbol" w:hAnsi="Segoe UI Symbol" w:cs="Segoe UI Symbol"/>
          <w:sz w:val="39"/>
          <w:vertAlign w:val="superscript"/>
        </w:rPr>
        <w:t></w:t>
      </w:r>
      <w:r>
        <w:rPr>
          <w:rFonts w:ascii="Segoe UI Symbol" w:eastAsia="Segoe UI Symbol" w:hAnsi="Segoe UI Symbol" w:cs="Segoe UI Symbol"/>
          <w:sz w:val="39"/>
          <w:vertAlign w:val="subscript"/>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7"/>
        </w:rPr>
        <w:t></w:t>
      </w:r>
      <w:r>
        <w:rPr>
          <w:rFonts w:ascii="Segoe UI Symbol" w:eastAsia="Segoe UI Symbol" w:hAnsi="Segoe UI Symbol" w:cs="Segoe UI Symbol"/>
          <w:sz w:val="25"/>
        </w:rPr>
        <w:t xml:space="preserve"> </w:t>
      </w:r>
      <w:r>
        <w:rPr>
          <w:sz w:val="25"/>
        </w:rPr>
        <w:t>6</w:t>
      </w:r>
      <w:r>
        <w:rPr>
          <w:rFonts w:ascii="Calibri" w:eastAsia="Calibri" w:hAnsi="Calibri" w:cs="Calibri"/>
          <w:noProof/>
          <w:sz w:val="22"/>
        </w:rPr>
        <mc:AlternateContent>
          <mc:Choice Requires="wpg">
            <w:drawing>
              <wp:inline distT="0" distB="0" distL="0" distR="0">
                <wp:extent cx="178871" cy="6706"/>
                <wp:effectExtent l="0" t="0" r="0" b="0"/>
                <wp:docPr id="642139" name="Group 642139"/>
                <wp:cNvGraphicFramePr/>
                <a:graphic xmlns:a="http://schemas.openxmlformats.org/drawingml/2006/main">
                  <a:graphicData uri="http://schemas.microsoft.com/office/word/2010/wordprocessingGroup">
                    <wpg:wgp>
                      <wpg:cNvGrpSpPr/>
                      <wpg:grpSpPr>
                        <a:xfrm>
                          <a:off x="0" y="0"/>
                          <a:ext cx="178871" cy="6706"/>
                          <a:chOff x="0" y="0"/>
                          <a:chExt cx="178871" cy="6706"/>
                        </a:xfrm>
                      </wpg:grpSpPr>
                      <wps:wsp>
                        <wps:cNvPr id="59359" name="Shape 59359"/>
                        <wps:cNvSpPr/>
                        <wps:spPr>
                          <a:xfrm>
                            <a:off x="0" y="0"/>
                            <a:ext cx="178871" cy="0"/>
                          </a:xfrm>
                          <a:custGeom>
                            <a:avLst/>
                            <a:gdLst/>
                            <a:ahLst/>
                            <a:cxnLst/>
                            <a:rect l="0" t="0" r="0" b="0"/>
                            <a:pathLst>
                              <a:path w="178871">
                                <a:moveTo>
                                  <a:pt x="0" y="0"/>
                                </a:moveTo>
                                <a:lnTo>
                                  <a:pt x="178871" y="0"/>
                                </a:lnTo>
                              </a:path>
                            </a:pathLst>
                          </a:custGeom>
                          <a:ln w="670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2139" style="width:14.0844pt;height:0.528064pt;mso-position-horizontal-relative:char;mso-position-vertical-relative:line" coordsize="1788,67">
                <v:shape id="Shape 59359" style="position:absolute;width:1788;height:0;left:0;top:0;" coordsize="178871,0" path="m0,0l178871,0">
                  <v:stroke weight="0.528064pt" endcap="flat" joinstyle="round" on="true" color="#000000"/>
                  <v:fill on="false" color="#000000" opacity="0"/>
                </v:shape>
              </v:group>
            </w:pict>
          </mc:Fallback>
        </mc:AlternateContent>
      </w:r>
      <w:r>
        <w:rPr>
          <w:sz w:val="25"/>
        </w:rPr>
        <w:t>64</w:t>
      </w:r>
      <w:r>
        <w:rPr>
          <w:rFonts w:ascii="Segoe UI Symbol" w:eastAsia="Segoe UI Symbol" w:hAnsi="Segoe UI Symbol" w:cs="Segoe UI Symbol"/>
          <w:sz w:val="41"/>
          <w:vertAlign w:val="subscript"/>
        </w:rPr>
        <w:t xml:space="preserve"> </w:t>
      </w:r>
      <w:r>
        <w:rPr>
          <w:rFonts w:ascii="Segoe UI Symbol" w:eastAsia="Segoe UI Symbol" w:hAnsi="Segoe UI Symbol" w:cs="Segoe UI Symbol"/>
          <w:sz w:val="25"/>
        </w:rPr>
        <w:t></w:t>
      </w:r>
      <w:r>
        <w:rPr>
          <w:rFonts w:ascii="Segoe UI Symbol" w:eastAsia="Segoe UI Symbol" w:hAnsi="Segoe UI Symbol" w:cs="Segoe UI Symbol"/>
          <w:sz w:val="39"/>
          <w:vertAlign w:val="subscript"/>
        </w:rPr>
        <w:t></w:t>
      </w:r>
      <w:r>
        <w:rPr>
          <w:rFonts w:ascii="Segoe UI Symbol" w:eastAsia="Segoe UI Symbol" w:hAnsi="Segoe UI Symbol" w:cs="Segoe UI Symbol"/>
          <w:sz w:val="39"/>
          <w:vertAlign w:val="subscript"/>
        </w:rPr>
        <w:t></w:t>
      </w:r>
      <w:r>
        <w:rPr>
          <w:rFonts w:ascii="Segoe UI Symbol" w:eastAsia="Segoe UI Symbol" w:hAnsi="Segoe UI Symbol" w:cs="Segoe UI Symbol"/>
          <w:sz w:val="39"/>
          <w:vertAlign w:val="superscript"/>
        </w:rPr>
        <w:t></w:t>
      </w:r>
      <w:r>
        <w:rPr>
          <w:rFonts w:ascii="Segoe UI Symbol" w:eastAsia="Segoe UI Symbol" w:hAnsi="Segoe UI Symbol" w:cs="Segoe UI Symbol"/>
          <w:sz w:val="34"/>
        </w:rPr>
        <w:t></w:t>
      </w:r>
      <w:r>
        <w:rPr>
          <w:i/>
          <w:sz w:val="25"/>
        </w:rPr>
        <w:t xml:space="preserve">N </w:t>
      </w:r>
      <w:r>
        <w:rPr>
          <w:rFonts w:ascii="Segoe UI Symbol" w:eastAsia="Segoe UI Symbol" w:hAnsi="Segoe UI Symbol" w:cs="Segoe UI Symbol"/>
          <w:sz w:val="25"/>
        </w:rPr>
        <w:t></w:t>
      </w:r>
      <w:r>
        <w:rPr>
          <w:sz w:val="25"/>
        </w:rPr>
        <w:t>1</w:t>
      </w:r>
      <w:r>
        <w:rPr>
          <w:rFonts w:ascii="Segoe UI Symbol" w:eastAsia="Segoe UI Symbol" w:hAnsi="Segoe UI Symbol" w:cs="Segoe UI Symbol"/>
          <w:sz w:val="34"/>
        </w:rPr>
        <w:t></w:t>
      </w:r>
      <w:r>
        <w:rPr>
          <w:rFonts w:ascii="Segoe UI Symbol" w:eastAsia="Segoe UI Symbol" w:hAnsi="Segoe UI Symbol" w:cs="Segoe UI Symbol"/>
          <w:sz w:val="25"/>
        </w:rPr>
        <w:t></w:t>
      </w:r>
      <w:r>
        <w:rPr>
          <w:rFonts w:ascii="Segoe UI Symbol" w:eastAsia="Segoe UI Symbol" w:hAnsi="Segoe UI Symbol" w:cs="Segoe UI Symbol"/>
          <w:sz w:val="41"/>
          <w:vertAlign w:val="superscript"/>
        </w:rPr>
        <w:t></w:t>
      </w:r>
      <w:r>
        <w:rPr>
          <w:rFonts w:ascii="Segoe UI Symbol" w:eastAsia="Segoe UI Symbol" w:hAnsi="Segoe UI Symbol" w:cs="Segoe UI Symbol"/>
          <w:sz w:val="39"/>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39"/>
          <w:vertAlign w:val="subscript"/>
        </w:rPr>
        <w:t></w:t>
      </w:r>
      <w:r>
        <w:rPr>
          <w:rFonts w:ascii="Segoe UI Symbol" w:eastAsia="Segoe UI Symbol" w:hAnsi="Segoe UI Symbol" w:cs="Segoe UI Symbol"/>
          <w:sz w:val="39"/>
          <w:vertAlign w:val="subscript"/>
        </w:rPr>
        <w:t></w:t>
      </w:r>
      <w:r>
        <w:rPr>
          <w:rFonts w:ascii="Segoe UI Symbol" w:eastAsia="Segoe UI Symbol" w:hAnsi="Segoe UI Symbol" w:cs="Segoe UI Symbol"/>
          <w:sz w:val="27"/>
        </w:rPr>
        <w:t></w:t>
      </w:r>
      <w:r>
        <w:rPr>
          <w:rFonts w:ascii="Segoe UI Symbol" w:eastAsia="Segoe UI Symbol" w:hAnsi="Segoe UI Symbol" w:cs="Segoe UI Symbol"/>
          <w:sz w:val="25"/>
        </w:rPr>
        <w:t xml:space="preserve"> </w:t>
      </w:r>
      <w:r>
        <w:rPr>
          <w:sz w:val="25"/>
        </w:rPr>
        <w:t>2</w:t>
      </w:r>
      <w:r>
        <w:rPr>
          <w:rFonts w:ascii="Calibri" w:eastAsia="Calibri" w:hAnsi="Calibri" w:cs="Calibri"/>
          <w:noProof/>
          <w:sz w:val="22"/>
        </w:rPr>
        <mc:AlternateContent>
          <mc:Choice Requires="wpg">
            <w:drawing>
              <wp:inline distT="0" distB="0" distL="0" distR="0">
                <wp:extent cx="178599" cy="6706"/>
                <wp:effectExtent l="0" t="0" r="0" b="0"/>
                <wp:docPr id="642140" name="Group 642140"/>
                <wp:cNvGraphicFramePr/>
                <a:graphic xmlns:a="http://schemas.openxmlformats.org/drawingml/2006/main">
                  <a:graphicData uri="http://schemas.microsoft.com/office/word/2010/wordprocessingGroup">
                    <wpg:wgp>
                      <wpg:cNvGrpSpPr/>
                      <wpg:grpSpPr>
                        <a:xfrm>
                          <a:off x="0" y="0"/>
                          <a:ext cx="178599" cy="6706"/>
                          <a:chOff x="0" y="0"/>
                          <a:chExt cx="178599" cy="6706"/>
                        </a:xfrm>
                      </wpg:grpSpPr>
                      <wps:wsp>
                        <wps:cNvPr id="59362" name="Shape 59362"/>
                        <wps:cNvSpPr/>
                        <wps:spPr>
                          <a:xfrm>
                            <a:off x="0" y="0"/>
                            <a:ext cx="178599" cy="0"/>
                          </a:xfrm>
                          <a:custGeom>
                            <a:avLst/>
                            <a:gdLst/>
                            <a:ahLst/>
                            <a:cxnLst/>
                            <a:rect l="0" t="0" r="0" b="0"/>
                            <a:pathLst>
                              <a:path w="178599">
                                <a:moveTo>
                                  <a:pt x="0" y="0"/>
                                </a:moveTo>
                                <a:lnTo>
                                  <a:pt x="178599" y="0"/>
                                </a:lnTo>
                              </a:path>
                            </a:pathLst>
                          </a:custGeom>
                          <a:ln w="670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2140" style="width:14.0629pt;height:0.528064pt;mso-position-horizontal-relative:char;mso-position-vertical-relative:line" coordsize="1785,67">
                <v:shape id="Shape 59362" style="position:absolute;width:1785;height:0;left:0;top:0;" coordsize="178599,0" path="m0,0l178599,0">
                  <v:stroke weight="0.528064pt" endcap="flat" joinstyle="round" on="true" color="#000000"/>
                  <v:fill on="false" color="#000000" opacity="0"/>
                </v:shape>
              </v:group>
            </w:pict>
          </mc:Fallback>
        </mc:AlternateContent>
      </w:r>
      <w:r>
        <w:rPr>
          <w:sz w:val="25"/>
        </w:rPr>
        <w:t>64</w:t>
      </w:r>
      <w:r>
        <w:rPr>
          <w:rFonts w:ascii="Segoe UI Symbol" w:eastAsia="Segoe UI Symbol" w:hAnsi="Segoe UI Symbol" w:cs="Segoe UI Symbol"/>
          <w:sz w:val="41"/>
          <w:vertAlign w:val="subscript"/>
        </w:rPr>
        <w:t xml:space="preserve"> </w:t>
      </w:r>
      <w:r>
        <w:rPr>
          <w:rFonts w:ascii="Segoe UI Symbol" w:eastAsia="Segoe UI Symbol" w:hAnsi="Segoe UI Symbol" w:cs="Segoe UI Symbol"/>
          <w:sz w:val="39"/>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39"/>
          <w:vertAlign w:val="subscript"/>
        </w:rPr>
        <w:t></w:t>
      </w:r>
      <w:r>
        <w:rPr>
          <w:rFonts w:ascii="Segoe UI Symbol" w:eastAsia="Segoe UI Symbol" w:hAnsi="Segoe UI Symbol" w:cs="Segoe UI Symbol"/>
          <w:sz w:val="39"/>
          <w:vertAlign w:val="subscript"/>
        </w:rPr>
        <w:t></w:t>
      </w:r>
      <w:r>
        <w:rPr>
          <w:rFonts w:ascii="Segoe UI Symbol" w:eastAsia="Segoe UI Symbol" w:hAnsi="Segoe UI Symbol" w:cs="Segoe UI Symbol"/>
          <w:sz w:val="34"/>
        </w:rPr>
        <w:t></w:t>
      </w:r>
      <w:r>
        <w:rPr>
          <w:i/>
          <w:sz w:val="25"/>
        </w:rPr>
        <w:t xml:space="preserve">N </w:t>
      </w:r>
      <w:r>
        <w:rPr>
          <w:rFonts w:ascii="Segoe UI Symbol" w:eastAsia="Segoe UI Symbol" w:hAnsi="Segoe UI Symbol" w:cs="Segoe UI Symbol"/>
          <w:sz w:val="25"/>
        </w:rPr>
        <w:t></w:t>
      </w:r>
      <w:r>
        <w:rPr>
          <w:sz w:val="25"/>
        </w:rPr>
        <w:t>1</w:t>
      </w:r>
      <w:r>
        <w:rPr>
          <w:rFonts w:ascii="Segoe UI Symbol" w:eastAsia="Segoe UI Symbol" w:hAnsi="Segoe UI Symbol" w:cs="Segoe UI Symbol"/>
          <w:sz w:val="34"/>
        </w:rPr>
        <w:t></w:t>
      </w:r>
      <w:r>
        <w:rPr>
          <w:i/>
        </w:rPr>
        <w:t xml:space="preserve">    </w:t>
      </w:r>
      <w:r>
        <w:t xml:space="preserve">(10). </w:t>
      </w:r>
    </w:p>
    <w:p w:rsidR="002C0F56" w:rsidRDefault="00E67C6E">
      <w:pPr>
        <w:spacing w:after="238"/>
        <w:ind w:left="994" w:right="302"/>
      </w:pPr>
      <w:r>
        <w:t>Рассмотрим время выполнения параллельного алгоритма метода прогонки (</w:t>
      </w:r>
      <w:r>
        <w:t xml:space="preserve">метод  Н.Н.Яненко - А.Н.Коновалова), в основе которого лежит идея метода встречных прогонок [5]: </w:t>
      </w:r>
    </w:p>
    <w:p w:rsidR="002C0F56" w:rsidRDefault="00E67C6E">
      <w:pPr>
        <w:spacing w:after="184" w:line="259" w:lineRule="auto"/>
        <w:ind w:left="1588" w:firstLine="0"/>
        <w:jc w:val="left"/>
      </w:pPr>
      <w:r>
        <w:rPr>
          <w:i/>
          <w:sz w:val="32"/>
        </w:rPr>
        <w:t>T</w:t>
      </w:r>
      <w:r>
        <w:rPr>
          <w:i/>
          <w:sz w:val="19"/>
        </w:rPr>
        <w:t>PR</w:t>
      </w:r>
      <w:r>
        <w:rPr>
          <w:sz w:val="19"/>
        </w:rPr>
        <w:t>(</w:t>
      </w:r>
      <w:r>
        <w:rPr>
          <w:i/>
          <w:sz w:val="19"/>
        </w:rPr>
        <w:t>р</w:t>
      </w:r>
      <w:r>
        <w:rPr>
          <w:sz w:val="19"/>
        </w:rPr>
        <w:t xml:space="preserve">) </w:t>
      </w:r>
      <w:r>
        <w:rPr>
          <w:rFonts w:ascii="Segoe UI Symbol" w:eastAsia="Segoe UI Symbol" w:hAnsi="Segoe UI Symbol" w:cs="Segoe UI Symbol"/>
          <w:sz w:val="32"/>
        </w:rPr>
        <w:t></w:t>
      </w:r>
      <w:r>
        <w:rPr>
          <w:i/>
          <w:sz w:val="32"/>
        </w:rPr>
        <w:t>T</w:t>
      </w:r>
      <w:r>
        <w:rPr>
          <w:i/>
          <w:sz w:val="19"/>
        </w:rPr>
        <w:t>PRар</w:t>
      </w:r>
      <w:r>
        <w:rPr>
          <w:sz w:val="19"/>
        </w:rPr>
        <w:t>(</w:t>
      </w:r>
      <w:r>
        <w:rPr>
          <w:i/>
          <w:sz w:val="19"/>
        </w:rPr>
        <w:t>р</w:t>
      </w:r>
      <w:r>
        <w:rPr>
          <w:sz w:val="19"/>
        </w:rPr>
        <w:t xml:space="preserve">) </w:t>
      </w:r>
      <w:r>
        <w:rPr>
          <w:rFonts w:ascii="Segoe UI Symbol" w:eastAsia="Segoe UI Symbol" w:hAnsi="Segoe UI Symbol" w:cs="Segoe UI Symbol"/>
          <w:sz w:val="32"/>
        </w:rPr>
        <w:t></w:t>
      </w:r>
      <w:r>
        <w:rPr>
          <w:i/>
          <w:sz w:val="32"/>
        </w:rPr>
        <w:t>T</w:t>
      </w:r>
      <w:r>
        <w:rPr>
          <w:i/>
          <w:sz w:val="19"/>
        </w:rPr>
        <w:t>PRОП</w:t>
      </w:r>
      <w:r>
        <w:rPr>
          <w:sz w:val="19"/>
        </w:rPr>
        <w:t>(</w:t>
      </w:r>
      <w:r>
        <w:rPr>
          <w:i/>
          <w:sz w:val="19"/>
        </w:rPr>
        <w:t>р</w:t>
      </w:r>
      <w:r>
        <w:rPr>
          <w:sz w:val="19"/>
        </w:rPr>
        <w:t xml:space="preserve">) </w:t>
      </w:r>
      <w:r>
        <w:rPr>
          <w:rFonts w:ascii="Segoe UI Symbol" w:eastAsia="Segoe UI Symbol" w:hAnsi="Segoe UI Symbol" w:cs="Segoe UI Symbol"/>
          <w:sz w:val="32"/>
        </w:rPr>
        <w:t></w:t>
      </w:r>
      <w:r>
        <w:rPr>
          <w:i/>
          <w:sz w:val="32"/>
        </w:rPr>
        <w:t>T</w:t>
      </w:r>
      <w:r>
        <w:rPr>
          <w:i/>
          <w:sz w:val="19"/>
        </w:rPr>
        <w:t>PRобм</w:t>
      </w:r>
      <w:r>
        <w:rPr>
          <w:sz w:val="19"/>
        </w:rPr>
        <w:t>(</w:t>
      </w:r>
      <w:r>
        <w:rPr>
          <w:i/>
          <w:sz w:val="19"/>
        </w:rPr>
        <w:t>р</w:t>
      </w:r>
      <w:r>
        <w:rPr>
          <w:sz w:val="19"/>
        </w:rPr>
        <w:t xml:space="preserve">) </w:t>
      </w:r>
      <w:r>
        <w:rPr>
          <w:rFonts w:ascii="Segoe UI Symbol" w:eastAsia="Segoe UI Symbol" w:hAnsi="Segoe UI Symbol" w:cs="Segoe UI Symbol"/>
          <w:sz w:val="32"/>
        </w:rPr>
        <w:t></w:t>
      </w:r>
      <w:r>
        <w:rPr>
          <w:rFonts w:ascii="Segoe UI Symbol" w:eastAsia="Segoe UI Symbol" w:hAnsi="Segoe UI Symbol" w:cs="Segoe UI Symbol"/>
          <w:sz w:val="34"/>
        </w:rPr>
        <w:t></w:t>
      </w:r>
      <w:r>
        <w:rPr>
          <w:i/>
        </w:rPr>
        <w:t xml:space="preserve">     </w:t>
      </w:r>
      <w:r>
        <w:t xml:space="preserve">(11), </w:t>
      </w:r>
    </w:p>
    <w:p w:rsidR="002C0F56" w:rsidRDefault="00E67C6E">
      <w:pPr>
        <w:spacing w:after="223"/>
        <w:ind w:left="1558" w:right="302" w:firstLine="0"/>
      </w:pPr>
      <w:r>
        <w:t xml:space="preserve">где </w:t>
      </w:r>
      <w:r>
        <w:rPr>
          <w:i/>
          <w:sz w:val="29"/>
        </w:rPr>
        <w:t>T</w:t>
      </w:r>
      <w:r>
        <w:rPr>
          <w:i/>
          <w:vertAlign w:val="subscript"/>
        </w:rPr>
        <w:t>PR</w:t>
      </w:r>
      <w:r>
        <w:rPr>
          <w:i/>
          <w:vertAlign w:val="superscript"/>
        </w:rPr>
        <w:t>ар</w:t>
      </w:r>
      <w:r>
        <w:rPr>
          <w:vertAlign w:val="subscript"/>
        </w:rPr>
        <w:t>(</w:t>
      </w:r>
      <w:r>
        <w:rPr>
          <w:i/>
          <w:vertAlign w:val="subscript"/>
        </w:rPr>
        <w:t>р</w:t>
      </w:r>
      <w:r>
        <w:rPr>
          <w:vertAlign w:val="subscript"/>
        </w:rPr>
        <w:t>)</w:t>
      </w:r>
      <w:r>
        <w:rPr>
          <w:i/>
        </w:rPr>
        <w:t xml:space="preserve"> – </w:t>
      </w:r>
      <w:r>
        <w:t xml:space="preserve">время выполнения арифметических операций на </w:t>
      </w:r>
      <w:r>
        <w:rPr>
          <w:i/>
        </w:rPr>
        <w:t>р</w:t>
      </w:r>
      <w:r>
        <w:t>-</w:t>
      </w:r>
    </w:p>
    <w:p w:rsidR="002C0F56" w:rsidRDefault="00E67C6E">
      <w:pPr>
        <w:ind w:left="994" w:right="302" w:firstLine="0"/>
      </w:pPr>
      <w:r>
        <w:t xml:space="preserve">вычислительных ядрах; </w:t>
      </w:r>
      <w:r>
        <w:rPr>
          <w:i/>
        </w:rPr>
        <w:t>T</w:t>
      </w:r>
      <w:r>
        <w:rPr>
          <w:i/>
          <w:sz w:val="25"/>
          <w:vertAlign w:val="subscript"/>
        </w:rPr>
        <w:t>PR</w:t>
      </w:r>
      <w:r>
        <w:rPr>
          <w:i/>
          <w:sz w:val="25"/>
          <w:vertAlign w:val="superscript"/>
        </w:rPr>
        <w:t>ОП</w:t>
      </w:r>
      <w:r>
        <w:rPr>
          <w:sz w:val="25"/>
          <w:vertAlign w:val="subscript"/>
        </w:rPr>
        <w:t>(</w:t>
      </w:r>
      <w:r>
        <w:rPr>
          <w:i/>
          <w:sz w:val="25"/>
          <w:vertAlign w:val="subscript"/>
        </w:rPr>
        <w:t>р</w:t>
      </w:r>
      <w:r>
        <w:rPr>
          <w:sz w:val="25"/>
          <w:vertAlign w:val="subscript"/>
        </w:rPr>
        <w:t>)</w:t>
      </w:r>
      <w:r>
        <w:rPr>
          <w:i/>
        </w:rPr>
        <w:t xml:space="preserve"> - </w:t>
      </w:r>
      <w:r>
        <w:t xml:space="preserve">время доступа к оперативной памяти; </w:t>
      </w:r>
      <w:r>
        <w:rPr>
          <w:i/>
        </w:rPr>
        <w:t>T</w:t>
      </w:r>
      <w:r>
        <w:rPr>
          <w:i/>
          <w:sz w:val="25"/>
          <w:vertAlign w:val="subscript"/>
        </w:rPr>
        <w:t>PR</w:t>
      </w:r>
      <w:r>
        <w:rPr>
          <w:i/>
          <w:sz w:val="25"/>
          <w:vertAlign w:val="superscript"/>
        </w:rPr>
        <w:t>обм</w:t>
      </w:r>
      <w:r>
        <w:rPr>
          <w:sz w:val="25"/>
          <w:vertAlign w:val="subscript"/>
        </w:rPr>
        <w:t>(</w:t>
      </w:r>
      <w:r>
        <w:rPr>
          <w:i/>
          <w:sz w:val="25"/>
          <w:vertAlign w:val="subscript"/>
        </w:rPr>
        <w:t>р</w:t>
      </w:r>
      <w:r>
        <w:rPr>
          <w:sz w:val="25"/>
          <w:vertAlign w:val="subscript"/>
        </w:rPr>
        <w:t xml:space="preserve">) </w:t>
      </w:r>
      <w:r>
        <w:rPr>
          <w:i/>
        </w:rPr>
        <w:t xml:space="preserve">- </w:t>
      </w:r>
      <w:r>
        <w:t xml:space="preserve">время выполнения операций обмена информацией между узлами по сети; </w:t>
      </w:r>
      <w:r>
        <w:rPr>
          <w:rFonts w:ascii="Segoe UI Symbol" w:eastAsia="Segoe UI Symbol" w:hAnsi="Segoe UI Symbol" w:cs="Segoe UI Symbol"/>
          <w:sz w:val="30"/>
        </w:rPr>
        <w:t></w:t>
      </w:r>
      <w:r>
        <w:rPr>
          <w:i/>
        </w:rPr>
        <w:t xml:space="preserve"> - </w:t>
      </w:r>
      <w:r>
        <w:t xml:space="preserve">время необходимое на организацию и закрытие параллельных секций. </w:t>
      </w:r>
    </w:p>
    <w:p w:rsidR="002C0F56" w:rsidRDefault="00E67C6E">
      <w:pPr>
        <w:spacing w:after="448"/>
        <w:ind w:left="994" w:right="302"/>
      </w:pPr>
      <w:r>
        <w:t>Время выполнения арифметических операций при вычислении коэффициентов о</w:t>
      </w:r>
      <w:r>
        <w:t xml:space="preserve">пределяется по формуле: </w:t>
      </w:r>
    </w:p>
    <w:p w:rsidR="002C0F56" w:rsidRDefault="00E67C6E">
      <w:pPr>
        <w:tabs>
          <w:tab w:val="center" w:pos="1940"/>
          <w:tab w:val="center" w:pos="2925"/>
          <w:tab w:val="center" w:pos="4568"/>
        </w:tabs>
        <w:spacing w:after="65" w:line="25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column">
                  <wp:posOffset>1885364</wp:posOffset>
                </wp:positionH>
                <wp:positionV relativeFrom="paragraph">
                  <wp:posOffset>85361</wp:posOffset>
                </wp:positionV>
                <wp:extent cx="431183" cy="7194"/>
                <wp:effectExtent l="0" t="0" r="0" b="0"/>
                <wp:wrapSquare wrapText="bothSides"/>
                <wp:docPr id="641247" name="Group 641247"/>
                <wp:cNvGraphicFramePr/>
                <a:graphic xmlns:a="http://schemas.openxmlformats.org/drawingml/2006/main">
                  <a:graphicData uri="http://schemas.microsoft.com/office/word/2010/wordprocessingGroup">
                    <wpg:wgp>
                      <wpg:cNvGrpSpPr/>
                      <wpg:grpSpPr>
                        <a:xfrm>
                          <a:off x="0" y="0"/>
                          <a:ext cx="431183" cy="7194"/>
                          <a:chOff x="0" y="0"/>
                          <a:chExt cx="431183" cy="7194"/>
                        </a:xfrm>
                      </wpg:grpSpPr>
                      <wps:wsp>
                        <wps:cNvPr id="59530" name="Shape 59530"/>
                        <wps:cNvSpPr/>
                        <wps:spPr>
                          <a:xfrm>
                            <a:off x="0" y="0"/>
                            <a:ext cx="431183" cy="0"/>
                          </a:xfrm>
                          <a:custGeom>
                            <a:avLst/>
                            <a:gdLst/>
                            <a:ahLst/>
                            <a:cxnLst/>
                            <a:rect l="0" t="0" r="0" b="0"/>
                            <a:pathLst>
                              <a:path w="431183">
                                <a:moveTo>
                                  <a:pt x="0" y="0"/>
                                </a:moveTo>
                                <a:lnTo>
                                  <a:pt x="431183" y="0"/>
                                </a:lnTo>
                              </a:path>
                            </a:pathLst>
                          </a:custGeom>
                          <a:ln w="719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41247" style="width:33.9514pt;height:0.566459pt;position:absolute;mso-position-horizontal-relative:text;mso-position-horizontal:absolute;margin-left:148.454pt;mso-position-vertical-relative:text;margin-top:6.72131pt;" coordsize="4311,71">
                <v:shape id="Shape 59530" style="position:absolute;width:4311;height:0;left:0;top:0;" coordsize="431183,0" path="m0,0l431183,0">
                  <v:stroke weight="0.566459pt" endcap="flat" joinstyle="round" on="true" color="#000000"/>
                  <v:fill on="false" color="#000000" opacity="0"/>
                </v:shape>
                <w10:wrap type="square"/>
              </v:group>
            </w:pict>
          </mc:Fallback>
        </mc:AlternateContent>
      </w:r>
      <w:r>
        <w:rPr>
          <w:rFonts w:ascii="Calibri" w:eastAsia="Calibri" w:hAnsi="Calibri" w:cs="Calibri"/>
          <w:sz w:val="22"/>
        </w:rPr>
        <w:tab/>
      </w:r>
      <w:r>
        <w:rPr>
          <w:i/>
          <w:sz w:val="16"/>
        </w:rPr>
        <w:t>ар р</w:t>
      </w:r>
      <w:r>
        <w:rPr>
          <w:i/>
          <w:sz w:val="16"/>
        </w:rPr>
        <w:tab/>
      </w:r>
      <w:r>
        <w:rPr>
          <w:rFonts w:ascii="Segoe UI Symbol" w:eastAsia="Segoe UI Symbol" w:hAnsi="Segoe UI Symbol" w:cs="Segoe UI Symbol"/>
          <w:sz w:val="27"/>
        </w:rPr>
        <w:t></w:t>
      </w:r>
      <w:r>
        <w:rPr>
          <w:rFonts w:ascii="Segoe UI Symbol" w:eastAsia="Segoe UI Symbol" w:hAnsi="Segoe UI Symbol" w:cs="Segoe UI Symbol"/>
          <w:sz w:val="27"/>
        </w:rPr>
        <w:t></w:t>
      </w:r>
      <w:r>
        <w:rPr>
          <w:rFonts w:ascii="Segoe UI Symbol" w:eastAsia="Segoe UI Symbol" w:hAnsi="Segoe UI Symbol" w:cs="Segoe UI Symbol"/>
          <w:sz w:val="27"/>
        </w:rPr>
        <w:t></w:t>
      </w:r>
      <w:r>
        <w:rPr>
          <w:rFonts w:ascii="Segoe UI Symbol" w:eastAsia="Segoe UI Symbol" w:hAnsi="Segoe UI Symbol" w:cs="Segoe UI Symbol"/>
          <w:sz w:val="27"/>
        </w:rPr>
        <w:t></w:t>
      </w:r>
      <w:r>
        <w:rPr>
          <w:sz w:val="27"/>
        </w:rPr>
        <w:t>17</w:t>
      </w:r>
      <w:r>
        <w:rPr>
          <w:rFonts w:ascii="Segoe UI Symbol" w:eastAsia="Segoe UI Symbol" w:hAnsi="Segoe UI Symbol" w:cs="Segoe UI Symbol"/>
          <w:sz w:val="27"/>
        </w:rPr>
        <w:t xml:space="preserve"> </w:t>
      </w:r>
      <w:r>
        <w:rPr>
          <w:i/>
          <w:sz w:val="27"/>
        </w:rPr>
        <w:t>k N</w:t>
      </w:r>
      <w:r>
        <w:rPr>
          <w:i/>
          <w:sz w:val="27"/>
        </w:rPr>
        <w:tab/>
      </w:r>
      <w:r>
        <w:rPr>
          <w:rFonts w:ascii="Segoe UI Symbol" w:eastAsia="Segoe UI Symbol" w:hAnsi="Segoe UI Symbol" w:cs="Segoe UI Symbol"/>
          <w:sz w:val="27"/>
        </w:rPr>
        <w:t></w:t>
      </w:r>
      <w:r>
        <w:rPr>
          <w:sz w:val="27"/>
        </w:rPr>
        <w:t>18</w:t>
      </w:r>
      <w:r>
        <w:rPr>
          <w:rFonts w:ascii="Segoe UI Symbol" w:eastAsia="Segoe UI Symbol" w:hAnsi="Segoe UI Symbol" w:cs="Segoe UI Symbol"/>
          <w:sz w:val="27"/>
        </w:rPr>
        <w:t></w:t>
      </w:r>
      <w:r>
        <w:rPr>
          <w:i/>
          <w:sz w:val="27"/>
        </w:rPr>
        <w:t>k</w:t>
      </w:r>
      <w:r>
        <w:rPr>
          <w:i/>
          <w:sz w:val="16"/>
        </w:rPr>
        <w:t xml:space="preserve">u </w:t>
      </w:r>
      <w:r>
        <w:rPr>
          <w:rFonts w:ascii="Segoe UI Symbol" w:eastAsia="Segoe UI Symbol" w:hAnsi="Segoe UI Symbol" w:cs="Segoe UI Symbol"/>
          <w:sz w:val="27"/>
        </w:rPr>
        <w:t xml:space="preserve"> </w:t>
      </w:r>
      <w:r>
        <w:rPr>
          <w:sz w:val="27"/>
        </w:rPr>
        <w:t>23</w:t>
      </w:r>
      <w:r>
        <w:rPr>
          <w:rFonts w:ascii="Segoe UI Symbol" w:eastAsia="Segoe UI Symbol" w:hAnsi="Segoe UI Symbol" w:cs="Segoe UI Symbol"/>
          <w:sz w:val="27"/>
        </w:rPr>
        <w:t></w:t>
      </w:r>
      <w:r>
        <w:rPr>
          <w:rFonts w:ascii="Segoe UI Symbol" w:eastAsia="Segoe UI Symbol" w:hAnsi="Segoe UI Symbol" w:cs="Segoe UI Symbol"/>
          <w:sz w:val="27"/>
        </w:rPr>
        <w:t></w:t>
      </w:r>
      <w:r>
        <w:rPr>
          <w:rFonts w:ascii="Segoe UI Symbol" w:eastAsia="Segoe UI Symbol" w:hAnsi="Segoe UI Symbol" w:cs="Segoe UI Symbol"/>
          <w:sz w:val="27"/>
        </w:rPr>
        <w:t></w:t>
      </w:r>
      <w:r>
        <w:rPr>
          <w:rFonts w:ascii="Segoe UI Symbol" w:eastAsia="Segoe UI Symbol" w:hAnsi="Segoe UI Symbol" w:cs="Segoe UI Symbol"/>
          <w:sz w:val="27"/>
        </w:rPr>
        <w:t></w:t>
      </w:r>
      <w:r>
        <w:rPr>
          <w:i/>
          <w:sz w:val="27"/>
        </w:rPr>
        <w:t>t</w:t>
      </w:r>
      <w:r>
        <w:rPr>
          <w:i/>
          <w:sz w:val="16"/>
        </w:rPr>
        <w:t>а</w:t>
      </w:r>
      <w:r>
        <w:t xml:space="preserve"> </w:t>
      </w:r>
    </w:p>
    <w:p w:rsidR="002C0F56" w:rsidRDefault="00E67C6E">
      <w:pPr>
        <w:spacing w:after="0" w:line="259" w:lineRule="auto"/>
        <w:ind w:left="1578" w:hanging="10"/>
        <w:jc w:val="left"/>
      </w:pPr>
      <w:r>
        <w:rPr>
          <w:i/>
          <w:sz w:val="27"/>
        </w:rPr>
        <w:t>T</w:t>
      </w:r>
      <w:r>
        <w:rPr>
          <w:i/>
          <w:sz w:val="16"/>
        </w:rPr>
        <w:t>PR</w:t>
      </w:r>
      <w:r>
        <w:rPr>
          <w:sz w:val="16"/>
        </w:rPr>
        <w:t xml:space="preserve">( ) </w:t>
      </w:r>
      <w:r>
        <w:rPr>
          <w:rFonts w:ascii="Segoe UI Symbol" w:eastAsia="Segoe UI Symbol" w:hAnsi="Segoe UI Symbol" w:cs="Segoe UI Symbol"/>
          <w:sz w:val="27"/>
        </w:rPr>
        <w:t></w:t>
      </w:r>
    </w:p>
    <w:p w:rsidR="002C0F56" w:rsidRDefault="00E67C6E">
      <w:pPr>
        <w:tabs>
          <w:tab w:val="center" w:pos="3358"/>
          <w:tab w:val="center" w:pos="5090"/>
        </w:tabs>
        <w:spacing w:after="122" w:line="259" w:lineRule="auto"/>
        <w:ind w:left="0" w:firstLine="0"/>
        <w:jc w:val="left"/>
      </w:pPr>
      <w:r>
        <w:rPr>
          <w:rFonts w:ascii="Calibri" w:eastAsia="Calibri" w:hAnsi="Calibri" w:cs="Calibri"/>
          <w:sz w:val="22"/>
        </w:rPr>
        <w:tab/>
      </w:r>
      <w:r>
        <w:rPr>
          <w:i/>
          <w:sz w:val="16"/>
        </w:rPr>
        <w:t xml:space="preserve">u </w:t>
      </w:r>
      <w:r>
        <w:rPr>
          <w:rFonts w:ascii="Segoe UI Symbol" w:eastAsia="Segoe UI Symbol" w:hAnsi="Segoe UI Symbol" w:cs="Segoe UI Symbol"/>
          <w:sz w:val="27"/>
        </w:rPr>
        <w:t></w:t>
      </w:r>
      <w:r>
        <w:rPr>
          <w:i/>
          <w:sz w:val="27"/>
        </w:rPr>
        <w:t>k</w:t>
      </w:r>
      <w:r>
        <w:rPr>
          <w:i/>
          <w:sz w:val="16"/>
        </w:rPr>
        <w:t>p</w:t>
      </w:r>
      <w:r>
        <w:rPr>
          <w:i/>
          <w:sz w:val="16"/>
        </w:rPr>
        <w:tab/>
      </w:r>
      <w:r>
        <w:rPr>
          <w:rFonts w:ascii="Segoe UI Symbol" w:eastAsia="Segoe UI Symbol" w:hAnsi="Segoe UI Symbol" w:cs="Segoe UI Symbol"/>
          <w:sz w:val="27"/>
        </w:rPr>
        <w:t></w:t>
      </w:r>
    </w:p>
    <w:p w:rsidR="002C0F56" w:rsidRDefault="00E67C6E">
      <w:pPr>
        <w:spacing w:after="149"/>
        <w:ind w:left="1558" w:right="302" w:firstLine="0"/>
      </w:pPr>
      <w:r>
        <w:t xml:space="preserve">где  </w:t>
      </w:r>
      <w:r>
        <w:rPr>
          <w:i/>
        </w:rPr>
        <w:t>N</w:t>
      </w:r>
      <w:r>
        <w:t xml:space="preserve"> – размерность задачи; </w:t>
      </w:r>
      <w:r>
        <w:rPr>
          <w:i/>
          <w:sz w:val="25"/>
        </w:rPr>
        <w:t>k</w:t>
      </w:r>
      <w:r>
        <w:rPr>
          <w:i/>
          <w:sz w:val="23"/>
          <w:vertAlign w:val="subscript"/>
        </w:rPr>
        <w:t>u</w:t>
      </w:r>
      <w:r>
        <w:t xml:space="preserve"> – общее количество узлов; </w:t>
      </w:r>
      <w:r>
        <w:rPr>
          <w:i/>
          <w:sz w:val="24"/>
        </w:rPr>
        <w:t>k</w:t>
      </w:r>
      <w:r>
        <w:rPr>
          <w:i/>
          <w:sz w:val="22"/>
          <w:vertAlign w:val="subscript"/>
        </w:rPr>
        <w:t>p</w:t>
      </w:r>
      <w:r>
        <w:t xml:space="preserve"> - количество </w:t>
      </w:r>
    </w:p>
    <w:p w:rsidR="002C0F56" w:rsidRDefault="00E67C6E">
      <w:pPr>
        <w:spacing w:after="270"/>
        <w:ind w:left="994" w:right="302" w:firstLine="0"/>
      </w:pPr>
      <w:r>
        <w:t xml:space="preserve">ядер в одном узле; </w:t>
      </w:r>
      <w:r>
        <w:rPr>
          <w:i/>
          <w:sz w:val="25"/>
        </w:rPr>
        <w:t>t</w:t>
      </w:r>
      <w:r>
        <w:rPr>
          <w:i/>
          <w:sz w:val="23"/>
          <w:vertAlign w:val="subscript"/>
        </w:rPr>
        <w:t>а</w:t>
      </w:r>
      <w:r>
        <w:t xml:space="preserve">- среднее время выполнения арифметической операции. </w:t>
      </w:r>
    </w:p>
    <w:p w:rsidR="002C0F56" w:rsidRDefault="00E67C6E">
      <w:pPr>
        <w:spacing w:after="378" w:line="358" w:lineRule="auto"/>
        <w:ind w:left="994" w:right="302"/>
      </w:pPr>
      <w:r>
        <w:t xml:space="preserve">Величина </w:t>
      </w:r>
      <w:r>
        <w:rPr>
          <w:i/>
          <w:sz w:val="30"/>
        </w:rPr>
        <w:t>T</w:t>
      </w:r>
      <w:r>
        <w:rPr>
          <w:i/>
          <w:vertAlign w:val="subscript"/>
        </w:rPr>
        <w:t>PR</w:t>
      </w:r>
      <w:r>
        <w:rPr>
          <w:i/>
          <w:vertAlign w:val="superscript"/>
        </w:rPr>
        <w:t>ОП</w:t>
      </w:r>
      <w:r>
        <w:rPr>
          <w:vertAlign w:val="subscript"/>
        </w:rPr>
        <w:t>(</w:t>
      </w:r>
      <w:r>
        <w:rPr>
          <w:i/>
          <w:vertAlign w:val="subscript"/>
        </w:rPr>
        <w:t>р</w:t>
      </w:r>
      <w:r>
        <w:rPr>
          <w:vertAlign w:val="subscript"/>
        </w:rPr>
        <w:t xml:space="preserve">) </w:t>
      </w:r>
      <w:r>
        <w:rPr>
          <w:i/>
        </w:rPr>
        <w:t xml:space="preserve">, </w:t>
      </w:r>
      <w:r>
        <w:t xml:space="preserve">характеризующая временные затраты на извлечение из оперативной памяти необходимых данных, составит: </w:t>
      </w:r>
    </w:p>
    <w:p w:rsidR="002C0F56" w:rsidRDefault="00E67C6E">
      <w:pPr>
        <w:spacing w:after="156" w:line="256" w:lineRule="auto"/>
        <w:ind w:left="4652" w:hanging="3085"/>
        <w:jc w:val="left"/>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2020605</wp:posOffset>
                </wp:positionH>
                <wp:positionV relativeFrom="paragraph">
                  <wp:posOffset>56684</wp:posOffset>
                </wp:positionV>
                <wp:extent cx="719269" cy="6528"/>
                <wp:effectExtent l="0" t="0" r="0" b="0"/>
                <wp:wrapNone/>
                <wp:docPr id="641248" name="Group 641248"/>
                <wp:cNvGraphicFramePr/>
                <a:graphic xmlns:a="http://schemas.openxmlformats.org/drawingml/2006/main">
                  <a:graphicData uri="http://schemas.microsoft.com/office/word/2010/wordprocessingGroup">
                    <wpg:wgp>
                      <wpg:cNvGrpSpPr/>
                      <wpg:grpSpPr>
                        <a:xfrm>
                          <a:off x="0" y="0"/>
                          <a:ext cx="719269" cy="6528"/>
                          <a:chOff x="0" y="0"/>
                          <a:chExt cx="719269" cy="6528"/>
                        </a:xfrm>
                      </wpg:grpSpPr>
                      <wps:wsp>
                        <wps:cNvPr id="59607" name="Shape 59607"/>
                        <wps:cNvSpPr/>
                        <wps:spPr>
                          <a:xfrm>
                            <a:off x="0" y="0"/>
                            <a:ext cx="170724" cy="0"/>
                          </a:xfrm>
                          <a:custGeom>
                            <a:avLst/>
                            <a:gdLst/>
                            <a:ahLst/>
                            <a:cxnLst/>
                            <a:rect l="0" t="0" r="0" b="0"/>
                            <a:pathLst>
                              <a:path w="170724">
                                <a:moveTo>
                                  <a:pt x="0" y="0"/>
                                </a:moveTo>
                                <a:lnTo>
                                  <a:pt x="170724" y="0"/>
                                </a:lnTo>
                              </a:path>
                            </a:pathLst>
                          </a:custGeom>
                          <a:ln w="6528" cap="flat">
                            <a:round/>
                          </a:ln>
                        </wps:spPr>
                        <wps:style>
                          <a:lnRef idx="1">
                            <a:srgbClr val="000000"/>
                          </a:lnRef>
                          <a:fillRef idx="0">
                            <a:srgbClr val="000000">
                              <a:alpha val="0"/>
                            </a:srgbClr>
                          </a:fillRef>
                          <a:effectRef idx="0">
                            <a:scrgbClr r="0" g="0" b="0"/>
                          </a:effectRef>
                          <a:fontRef idx="none"/>
                        </wps:style>
                        <wps:bodyPr/>
                      </wps:wsp>
                      <wps:wsp>
                        <wps:cNvPr id="59608" name="Shape 59608"/>
                        <wps:cNvSpPr/>
                        <wps:spPr>
                          <a:xfrm>
                            <a:off x="330415" y="0"/>
                            <a:ext cx="388854" cy="0"/>
                          </a:xfrm>
                          <a:custGeom>
                            <a:avLst/>
                            <a:gdLst/>
                            <a:ahLst/>
                            <a:cxnLst/>
                            <a:rect l="0" t="0" r="0" b="0"/>
                            <a:pathLst>
                              <a:path w="388854">
                                <a:moveTo>
                                  <a:pt x="0" y="0"/>
                                </a:moveTo>
                                <a:lnTo>
                                  <a:pt x="388854" y="0"/>
                                </a:lnTo>
                              </a:path>
                            </a:pathLst>
                          </a:custGeom>
                          <a:ln w="652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41248" style="width:56.6353pt;height:0.514055pt;position:absolute;z-index:181;mso-position-horizontal-relative:text;mso-position-horizontal:absolute;margin-left:159.103pt;mso-position-vertical-relative:text;margin-top:4.46329pt;" coordsize="7192,65">
                <v:shape id="Shape 59607" style="position:absolute;width:1707;height:0;left:0;top:0;" coordsize="170724,0" path="m0,0l170724,0">
                  <v:stroke weight="0.514055pt" endcap="flat" joinstyle="round" on="true" color="#000000"/>
                  <v:fill on="false" color="#000000" opacity="0"/>
                </v:shape>
                <v:shape id="Shape 59608" style="position:absolute;width:3888;height:0;left:3304;top:0;" coordsize="388854,0" path="m0,0l388854,0">
                  <v:stroke weight="0.514055pt" endcap="flat"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671552" behindDoc="0" locked="0" layoutInCell="1" allowOverlap="1">
                <wp:simplePos x="0" y="0"/>
                <wp:positionH relativeFrom="column">
                  <wp:posOffset>5221814</wp:posOffset>
                </wp:positionH>
                <wp:positionV relativeFrom="paragraph">
                  <wp:posOffset>56684</wp:posOffset>
                </wp:positionV>
                <wp:extent cx="1372442" cy="6528"/>
                <wp:effectExtent l="0" t="0" r="0" b="0"/>
                <wp:wrapNone/>
                <wp:docPr id="641250" name="Group 641250"/>
                <wp:cNvGraphicFramePr/>
                <a:graphic xmlns:a="http://schemas.openxmlformats.org/drawingml/2006/main">
                  <a:graphicData uri="http://schemas.microsoft.com/office/word/2010/wordprocessingGroup">
                    <wpg:wgp>
                      <wpg:cNvGrpSpPr/>
                      <wpg:grpSpPr>
                        <a:xfrm>
                          <a:off x="0" y="0"/>
                          <a:ext cx="1372442" cy="6528"/>
                          <a:chOff x="0" y="0"/>
                          <a:chExt cx="1372442" cy="6528"/>
                        </a:xfrm>
                      </wpg:grpSpPr>
                      <wps:wsp>
                        <wps:cNvPr id="59610" name="Shape 59610"/>
                        <wps:cNvSpPr/>
                        <wps:spPr>
                          <a:xfrm>
                            <a:off x="0" y="0"/>
                            <a:ext cx="170672" cy="0"/>
                          </a:xfrm>
                          <a:custGeom>
                            <a:avLst/>
                            <a:gdLst/>
                            <a:ahLst/>
                            <a:cxnLst/>
                            <a:rect l="0" t="0" r="0" b="0"/>
                            <a:pathLst>
                              <a:path w="170672">
                                <a:moveTo>
                                  <a:pt x="0" y="0"/>
                                </a:moveTo>
                                <a:lnTo>
                                  <a:pt x="170672" y="0"/>
                                </a:lnTo>
                              </a:path>
                            </a:pathLst>
                          </a:custGeom>
                          <a:ln w="6528" cap="flat">
                            <a:round/>
                          </a:ln>
                        </wps:spPr>
                        <wps:style>
                          <a:lnRef idx="1">
                            <a:srgbClr val="000000"/>
                          </a:lnRef>
                          <a:fillRef idx="0">
                            <a:srgbClr val="000000">
                              <a:alpha val="0"/>
                            </a:srgbClr>
                          </a:fillRef>
                          <a:effectRef idx="0">
                            <a:scrgbClr r="0" g="0" b="0"/>
                          </a:effectRef>
                          <a:fontRef idx="none"/>
                        </wps:style>
                        <wps:bodyPr/>
                      </wps:wsp>
                      <wps:wsp>
                        <wps:cNvPr id="59611" name="Shape 59611"/>
                        <wps:cNvSpPr/>
                        <wps:spPr>
                          <a:xfrm>
                            <a:off x="270536" y="0"/>
                            <a:ext cx="553243" cy="0"/>
                          </a:xfrm>
                          <a:custGeom>
                            <a:avLst/>
                            <a:gdLst/>
                            <a:ahLst/>
                            <a:cxnLst/>
                            <a:rect l="0" t="0" r="0" b="0"/>
                            <a:pathLst>
                              <a:path w="553243">
                                <a:moveTo>
                                  <a:pt x="0" y="0"/>
                                </a:moveTo>
                                <a:lnTo>
                                  <a:pt x="553243" y="0"/>
                                </a:lnTo>
                              </a:path>
                            </a:pathLst>
                          </a:custGeom>
                          <a:ln w="6528" cap="flat">
                            <a:round/>
                          </a:ln>
                        </wps:spPr>
                        <wps:style>
                          <a:lnRef idx="1">
                            <a:srgbClr val="000000"/>
                          </a:lnRef>
                          <a:fillRef idx="0">
                            <a:srgbClr val="000000">
                              <a:alpha val="0"/>
                            </a:srgbClr>
                          </a:fillRef>
                          <a:effectRef idx="0">
                            <a:scrgbClr r="0" g="0" b="0"/>
                          </a:effectRef>
                          <a:fontRef idx="none"/>
                        </wps:style>
                        <wps:bodyPr/>
                      </wps:wsp>
                      <wps:wsp>
                        <wps:cNvPr id="59612" name="Shape 59612"/>
                        <wps:cNvSpPr/>
                        <wps:spPr>
                          <a:xfrm>
                            <a:off x="983457" y="0"/>
                            <a:ext cx="388985" cy="0"/>
                          </a:xfrm>
                          <a:custGeom>
                            <a:avLst/>
                            <a:gdLst/>
                            <a:ahLst/>
                            <a:cxnLst/>
                            <a:rect l="0" t="0" r="0" b="0"/>
                            <a:pathLst>
                              <a:path w="388985">
                                <a:moveTo>
                                  <a:pt x="0" y="0"/>
                                </a:moveTo>
                                <a:lnTo>
                                  <a:pt x="388985" y="0"/>
                                </a:lnTo>
                              </a:path>
                            </a:pathLst>
                          </a:custGeom>
                          <a:ln w="652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41250" style="width:108.066pt;height:0.514055pt;position:absolute;z-index:185;mso-position-horizontal-relative:text;mso-position-horizontal:absolute;margin-left:411.166pt;mso-position-vertical-relative:text;margin-top:4.46329pt;" coordsize="13724,65">
                <v:shape id="Shape 59610" style="position:absolute;width:1706;height:0;left:0;top:0;" coordsize="170672,0" path="m0,0l170672,0">
                  <v:stroke weight="0.514055pt" endcap="flat" joinstyle="round" on="true" color="#000000"/>
                  <v:fill on="false" color="#000000" opacity="0"/>
                </v:shape>
                <v:shape id="Shape 59611" style="position:absolute;width:5532;height:0;left:2705;top:0;" coordsize="553243,0" path="m0,0l553243,0">
                  <v:stroke weight="0.514055pt" endcap="flat" joinstyle="round" on="true" color="#000000"/>
                  <v:fill on="false" color="#000000" opacity="0"/>
                </v:shape>
                <v:shape id="Shape 59612" style="position:absolute;width:3889;height:0;left:9834;top:0;" coordsize="388985,0" path="m0,0l388985,0">
                  <v:stroke weight="0.514055pt" endcap="flat" joinstyle="round" on="true" color="#000000"/>
                  <v:fill on="false" color="#000000" opacity="0"/>
                </v:shape>
              </v:group>
            </w:pict>
          </mc:Fallback>
        </mc:AlternateContent>
      </w:r>
      <w:r>
        <w:rPr>
          <w:i/>
          <w:sz w:val="25"/>
        </w:rPr>
        <w:t>T</w:t>
      </w:r>
      <w:r>
        <w:rPr>
          <w:i/>
          <w:sz w:val="14"/>
        </w:rPr>
        <w:t>PR</w:t>
      </w:r>
      <w:r>
        <w:rPr>
          <w:i/>
          <w:sz w:val="22"/>
          <w:vertAlign w:val="superscript"/>
        </w:rPr>
        <w:t>ОП</w:t>
      </w:r>
      <w:r>
        <w:rPr>
          <w:sz w:val="14"/>
        </w:rPr>
        <w:t>(</w:t>
      </w:r>
      <w:r>
        <w:rPr>
          <w:i/>
          <w:sz w:val="22"/>
          <w:vertAlign w:val="subscript"/>
        </w:rPr>
        <w:t>р</w:t>
      </w:r>
      <w:r>
        <w:rPr>
          <w:sz w:val="14"/>
        </w:rPr>
        <w:t xml:space="preserve">) </w:t>
      </w:r>
      <w:r>
        <w:rPr>
          <w:rFonts w:ascii="Segoe UI Symbol" w:eastAsia="Segoe UI Symbol" w:hAnsi="Segoe UI Symbol" w:cs="Segoe UI Symbol"/>
          <w:sz w:val="25"/>
        </w:rPr>
        <w:t></w:t>
      </w:r>
      <w:r>
        <w:rPr>
          <w:rFonts w:ascii="Segoe UI Symbol" w:eastAsia="Segoe UI Symbol" w:hAnsi="Segoe UI Symbol" w:cs="Segoe UI Symbol"/>
          <w:sz w:val="26"/>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38"/>
          <w:vertAlign w:val="superscript"/>
        </w:rPr>
        <w:t></w:t>
      </w:r>
      <w:r>
        <w:rPr>
          <w:rFonts w:ascii="Segoe UI Symbol" w:eastAsia="Segoe UI Symbol" w:hAnsi="Segoe UI Symbol" w:cs="Segoe UI Symbol"/>
          <w:sz w:val="26"/>
        </w:rPr>
        <w:t></w:t>
      </w:r>
      <w:r>
        <w:rPr>
          <w:rFonts w:ascii="Segoe UI Symbol" w:eastAsia="Segoe UI Symbol" w:hAnsi="Segoe UI Symbol" w:cs="Segoe UI Symbol"/>
          <w:sz w:val="25"/>
        </w:rPr>
        <w:t></w:t>
      </w:r>
      <w:r>
        <w:rPr>
          <w:sz w:val="25"/>
        </w:rPr>
        <w:t>864</w:t>
      </w:r>
      <w:r>
        <w:rPr>
          <w:rFonts w:ascii="Segoe UI Symbol" w:eastAsia="Segoe UI Symbol" w:hAnsi="Segoe UI Symbol" w:cs="Segoe UI Symbol"/>
          <w:sz w:val="26"/>
        </w:rPr>
        <w:t xml:space="preserve"> </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38"/>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38"/>
          <w:vertAlign w:val="superscript"/>
        </w:rPr>
        <w:t></w:t>
      </w:r>
      <w:r>
        <w:rPr>
          <w:rFonts w:ascii="Segoe UI Symbol" w:eastAsia="Segoe UI Symbol" w:hAnsi="Segoe UI Symbol" w:cs="Segoe UI Symbol"/>
          <w:sz w:val="25"/>
        </w:rPr>
        <w:t xml:space="preserve"> </w:t>
      </w:r>
      <w:r>
        <w:rPr>
          <w:i/>
          <w:sz w:val="25"/>
        </w:rPr>
        <w:t>k</w:t>
      </w:r>
      <w:r>
        <w:rPr>
          <w:i/>
          <w:sz w:val="14"/>
        </w:rPr>
        <w:t>u</w:t>
      </w:r>
      <w:r>
        <w:rPr>
          <w:i/>
          <w:sz w:val="25"/>
        </w:rPr>
        <w:t>N</w:t>
      </w:r>
      <w:r>
        <w:rPr>
          <w:rFonts w:ascii="Segoe UI Symbol" w:eastAsia="Segoe UI Symbol" w:hAnsi="Segoe UI Symbol" w:cs="Segoe UI Symbol"/>
          <w:sz w:val="25"/>
        </w:rPr>
        <w:t></w:t>
      </w:r>
      <w:r>
        <w:rPr>
          <w:i/>
          <w:sz w:val="25"/>
        </w:rPr>
        <w:t>k</w:t>
      </w:r>
      <w:r>
        <w:rPr>
          <w:i/>
          <w:sz w:val="14"/>
        </w:rPr>
        <w:t xml:space="preserve">p </w:t>
      </w:r>
      <w:r>
        <w:rPr>
          <w:rFonts w:ascii="Segoe UI Symbol" w:eastAsia="Segoe UI Symbol" w:hAnsi="Segoe UI Symbol" w:cs="Segoe UI Symbol"/>
          <w:sz w:val="25"/>
        </w:rPr>
        <w:t></w:t>
      </w:r>
      <w:r>
        <w:rPr>
          <w:sz w:val="25"/>
        </w:rPr>
        <w:t>1</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 xml:space="preserve"> </w:t>
      </w:r>
      <w:r>
        <w:rPr>
          <w:rFonts w:ascii="Segoe UI Symbol" w:eastAsia="Segoe UI Symbol" w:hAnsi="Segoe UI Symbol" w:cs="Segoe UI Symbol"/>
          <w:sz w:val="25"/>
        </w:rPr>
        <w:t></w:t>
      </w:r>
      <w:r>
        <w:rPr>
          <w:rFonts w:ascii="Segoe UI Symbol" w:eastAsia="Segoe UI Symbol" w:hAnsi="Segoe UI Symbol" w:cs="Segoe UI Symbol"/>
          <w:sz w:val="40"/>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38"/>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6"/>
        </w:rPr>
        <w:t></w:t>
      </w:r>
      <w:r>
        <w:rPr>
          <w:rFonts w:ascii="Segoe UI Symbol" w:eastAsia="Segoe UI Symbol" w:hAnsi="Segoe UI Symbol" w:cs="Segoe UI Symbol"/>
          <w:sz w:val="25"/>
        </w:rPr>
        <w:t xml:space="preserve"> </w:t>
      </w:r>
      <w:r>
        <w:rPr>
          <w:sz w:val="25"/>
        </w:rPr>
        <w:t>7</w:t>
      </w:r>
      <w:r>
        <w:rPr>
          <w:rFonts w:ascii="Calibri" w:eastAsia="Calibri" w:hAnsi="Calibri" w:cs="Calibri"/>
          <w:noProof/>
          <w:sz w:val="22"/>
        </w:rPr>
        <mc:AlternateContent>
          <mc:Choice Requires="wpg">
            <w:drawing>
              <wp:inline distT="0" distB="0" distL="0" distR="0">
                <wp:extent cx="170672" cy="6528"/>
                <wp:effectExtent l="0" t="0" r="0" b="0"/>
                <wp:docPr id="641249" name="Group 641249"/>
                <wp:cNvGraphicFramePr/>
                <a:graphic xmlns:a="http://schemas.openxmlformats.org/drawingml/2006/main">
                  <a:graphicData uri="http://schemas.microsoft.com/office/word/2010/wordprocessingGroup">
                    <wpg:wgp>
                      <wpg:cNvGrpSpPr/>
                      <wpg:grpSpPr>
                        <a:xfrm>
                          <a:off x="0" y="0"/>
                          <a:ext cx="170672" cy="6528"/>
                          <a:chOff x="0" y="0"/>
                          <a:chExt cx="170672" cy="6528"/>
                        </a:xfrm>
                      </wpg:grpSpPr>
                      <wps:wsp>
                        <wps:cNvPr id="59609" name="Shape 59609"/>
                        <wps:cNvSpPr/>
                        <wps:spPr>
                          <a:xfrm>
                            <a:off x="0" y="0"/>
                            <a:ext cx="170672" cy="0"/>
                          </a:xfrm>
                          <a:custGeom>
                            <a:avLst/>
                            <a:gdLst/>
                            <a:ahLst/>
                            <a:cxnLst/>
                            <a:rect l="0" t="0" r="0" b="0"/>
                            <a:pathLst>
                              <a:path w="170672">
                                <a:moveTo>
                                  <a:pt x="0" y="0"/>
                                </a:moveTo>
                                <a:lnTo>
                                  <a:pt x="170672" y="0"/>
                                </a:lnTo>
                              </a:path>
                            </a:pathLst>
                          </a:custGeom>
                          <a:ln w="652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1249" style="width:13.4388pt;height:0.514055pt;mso-position-horizontal-relative:char;mso-position-vertical-relative:line" coordsize="1706,65">
                <v:shape id="Shape 59609" style="position:absolute;width:1706;height:0;left:0;top:0;" coordsize="170672,0" path="m0,0l170672,0">
                  <v:stroke weight="0.514055pt" endcap="flat" joinstyle="round" on="true" color="#000000"/>
                  <v:fill on="false" color="#000000" opacity="0"/>
                </v:shape>
              </v:group>
            </w:pict>
          </mc:Fallback>
        </mc:AlternateContent>
      </w:r>
      <w:r>
        <w:rPr>
          <w:sz w:val="25"/>
        </w:rPr>
        <w:t>64</w:t>
      </w:r>
      <w:r>
        <w:rPr>
          <w:rFonts w:ascii="Segoe UI Symbol" w:eastAsia="Segoe UI Symbol" w:hAnsi="Segoe UI Symbol" w:cs="Segoe UI Symbol"/>
          <w:sz w:val="40"/>
          <w:vertAlign w:val="subscript"/>
        </w:rPr>
        <w:t xml:space="preserve"> </w:t>
      </w:r>
      <w:r>
        <w:rPr>
          <w:rFonts w:ascii="Segoe UI Symbol" w:eastAsia="Segoe UI Symbol" w:hAnsi="Segoe UI Symbol" w:cs="Segoe UI Symbol"/>
          <w:sz w:val="38"/>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sz w:val="25"/>
        </w:rPr>
        <w:t xml:space="preserve">(log </w:t>
      </w:r>
      <w:r>
        <w:rPr>
          <w:sz w:val="22"/>
          <w:vertAlign w:val="subscript"/>
        </w:rPr>
        <w:t xml:space="preserve">2 </w:t>
      </w:r>
      <w:r>
        <w:rPr>
          <w:i/>
          <w:sz w:val="25"/>
        </w:rPr>
        <w:t xml:space="preserve">N </w:t>
      </w:r>
      <w:r>
        <w:rPr>
          <w:rFonts w:ascii="Segoe UI Symbol" w:eastAsia="Segoe UI Symbol" w:hAnsi="Segoe UI Symbol" w:cs="Segoe UI Symbol"/>
          <w:sz w:val="25"/>
        </w:rPr>
        <w:t></w:t>
      </w:r>
      <w:r>
        <w:rPr>
          <w:sz w:val="25"/>
        </w:rPr>
        <w:t xml:space="preserve">1) </w:t>
      </w:r>
      <w:r>
        <w:rPr>
          <w:rFonts w:ascii="Segoe UI Symbol" w:eastAsia="Segoe UI Symbol" w:hAnsi="Segoe UI Symbol" w:cs="Segoe UI Symbol"/>
          <w:sz w:val="25"/>
        </w:rPr>
        <w:t></w:t>
      </w:r>
      <w:r>
        <w:rPr>
          <w:rFonts w:ascii="Segoe UI Symbol" w:eastAsia="Segoe UI Symbol" w:hAnsi="Segoe UI Symbol" w:cs="Segoe UI Symbol"/>
          <w:sz w:val="40"/>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6"/>
        </w:rPr>
        <w:t></w:t>
      </w:r>
      <w:r>
        <w:rPr>
          <w:rFonts w:ascii="Segoe UI Symbol" w:eastAsia="Segoe UI Symbol" w:hAnsi="Segoe UI Symbol" w:cs="Segoe UI Symbol"/>
          <w:sz w:val="25"/>
        </w:rPr>
        <w:t xml:space="preserve"> </w:t>
      </w:r>
      <w:r>
        <w:rPr>
          <w:sz w:val="25"/>
        </w:rPr>
        <w:t>64</w:t>
      </w:r>
      <w:r>
        <w:rPr>
          <w:rFonts w:ascii="Segoe UI Symbol" w:eastAsia="Segoe UI Symbol" w:hAnsi="Segoe UI Symbol" w:cs="Segoe UI Symbol"/>
          <w:sz w:val="40"/>
          <w:vertAlign w:val="subscript"/>
        </w:rPr>
        <w:t xml:space="preserve"> </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 xml:space="preserve"> </w:t>
      </w:r>
      <w:r>
        <w:rPr>
          <w:sz w:val="25"/>
        </w:rPr>
        <w:t>2</w:t>
      </w:r>
      <w:r>
        <w:rPr>
          <w:rFonts w:ascii="Segoe UI Symbol" w:eastAsia="Segoe UI Symbol" w:hAnsi="Segoe UI Symbol" w:cs="Segoe UI Symbol"/>
          <w:sz w:val="25"/>
        </w:rPr>
        <w:t></w:t>
      </w:r>
      <w:r>
        <w:rPr>
          <w:i/>
          <w:sz w:val="25"/>
        </w:rPr>
        <w:t>kN</w:t>
      </w:r>
      <w:r>
        <w:rPr>
          <w:i/>
          <w:sz w:val="22"/>
          <w:vertAlign w:val="subscript"/>
        </w:rPr>
        <w:t xml:space="preserve">u </w:t>
      </w:r>
      <w:r>
        <w:rPr>
          <w:rFonts w:ascii="Segoe UI Symbol" w:eastAsia="Segoe UI Symbol" w:hAnsi="Segoe UI Symbol" w:cs="Segoe UI Symbol"/>
          <w:sz w:val="25"/>
        </w:rPr>
        <w:t></w:t>
      </w:r>
      <w:r>
        <w:rPr>
          <w:i/>
          <w:sz w:val="25"/>
        </w:rPr>
        <w:t>k</w:t>
      </w:r>
      <w:r>
        <w:rPr>
          <w:i/>
          <w:sz w:val="22"/>
          <w:vertAlign w:val="subscript"/>
        </w:rPr>
        <w:t xml:space="preserve">p </w:t>
      </w:r>
      <w:r>
        <w:rPr>
          <w:rFonts w:ascii="Segoe UI Symbol" w:eastAsia="Segoe UI Symbol" w:hAnsi="Segoe UI Symbol" w:cs="Segoe UI Symbol"/>
          <w:sz w:val="25"/>
        </w:rPr>
        <w:t xml:space="preserve"> </w:t>
      </w:r>
      <w:r>
        <w:rPr>
          <w:i/>
          <w:sz w:val="25"/>
        </w:rPr>
        <w:t>k</w:t>
      </w:r>
      <w:r>
        <w:rPr>
          <w:sz w:val="25"/>
        </w:rPr>
        <w:t>3</w:t>
      </w:r>
      <w:r>
        <w:rPr>
          <w:i/>
          <w:sz w:val="22"/>
          <w:vertAlign w:val="subscript"/>
        </w:rPr>
        <w:t>u</w:t>
      </w:r>
      <w:r>
        <w:rPr>
          <w:rFonts w:ascii="Segoe UI Symbol" w:eastAsia="Segoe UI Symbol" w:hAnsi="Segoe UI Symbol" w:cs="Segoe UI Symbol"/>
          <w:sz w:val="38"/>
          <w:vertAlign w:val="superscript"/>
        </w:rPr>
        <w:t></w:t>
      </w:r>
      <w:r>
        <w:rPr>
          <w:rFonts w:ascii="Segoe UI Symbol" w:eastAsia="Segoe UI Symbol" w:hAnsi="Segoe UI Symbol" w:cs="Segoe UI Symbol"/>
          <w:sz w:val="25"/>
        </w:rPr>
        <w:t></w:t>
      </w:r>
      <w:r>
        <w:rPr>
          <w:i/>
          <w:sz w:val="25"/>
        </w:rPr>
        <w:t>Nk</w:t>
      </w:r>
      <w:r>
        <w:rPr>
          <w:i/>
          <w:sz w:val="22"/>
          <w:vertAlign w:val="subscript"/>
        </w:rPr>
        <w:t xml:space="preserve">p </w:t>
      </w:r>
      <w:r>
        <w:rPr>
          <w:rFonts w:ascii="Segoe UI Symbol" w:eastAsia="Segoe UI Symbol" w:hAnsi="Segoe UI Symbol" w:cs="Segoe UI Symbol"/>
          <w:sz w:val="25"/>
        </w:rPr>
        <w:t></w:t>
      </w:r>
      <w:r>
        <w:rPr>
          <w:sz w:val="25"/>
        </w:rPr>
        <w:t>1</w:t>
      </w:r>
      <w:r>
        <w:rPr>
          <w:rFonts w:ascii="Segoe UI Symbol" w:eastAsia="Segoe UI Symbol" w:hAnsi="Segoe UI Symbol" w:cs="Segoe UI Symbol"/>
          <w:sz w:val="38"/>
          <w:vertAlign w:val="superscript"/>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w:t>
      </w:r>
      <w:r>
        <w:rPr>
          <w:rFonts w:ascii="Segoe UI Symbol" w:eastAsia="Segoe UI Symbol" w:hAnsi="Segoe UI Symbol" w:cs="Segoe UI Symbol"/>
          <w:sz w:val="25"/>
        </w:rPr>
        <w:t xml:space="preserve"> </w:t>
      </w:r>
      <w:r>
        <w:rPr>
          <w:rFonts w:ascii="Segoe UI Symbol" w:eastAsia="Segoe UI Symbol" w:hAnsi="Segoe UI Symbol" w:cs="Segoe UI Symbol"/>
          <w:sz w:val="25"/>
        </w:rPr>
        <w:t></w:t>
      </w:r>
    </w:p>
    <w:p w:rsidR="002C0F56" w:rsidRDefault="00E67C6E">
      <w:pPr>
        <w:spacing w:after="12"/>
        <w:ind w:left="994" w:right="302" w:firstLine="0"/>
      </w:pPr>
      <w:r>
        <w:t xml:space="preserve">. </w:t>
      </w:r>
    </w:p>
    <w:p w:rsidR="002C0F56" w:rsidRDefault="00E67C6E">
      <w:pPr>
        <w:spacing w:after="379"/>
        <w:ind w:left="994" w:right="302"/>
      </w:pPr>
      <w:r>
        <w:t xml:space="preserve">Время выполнения операций обмена информацией, обрабатываемой в различных узлах вычислительной системы,  вычисляется по формуле: </w:t>
      </w:r>
    </w:p>
    <w:p w:rsidR="002C0F56" w:rsidRDefault="00E67C6E">
      <w:pPr>
        <w:spacing w:after="374" w:line="259" w:lineRule="auto"/>
        <w:ind w:left="1589" w:firstLine="0"/>
        <w:jc w:val="left"/>
      </w:pPr>
      <w:r>
        <w:rPr>
          <w:i/>
          <w:sz w:val="33"/>
        </w:rPr>
        <w:t>T</w:t>
      </w:r>
      <w:r>
        <w:rPr>
          <w:i/>
          <w:sz w:val="19"/>
        </w:rPr>
        <w:t>PRобм</w:t>
      </w:r>
      <w:r>
        <w:rPr>
          <w:sz w:val="19"/>
        </w:rPr>
        <w:t>(</w:t>
      </w:r>
      <w:r>
        <w:rPr>
          <w:i/>
          <w:sz w:val="19"/>
        </w:rPr>
        <w:t>р</w:t>
      </w:r>
      <w:r>
        <w:rPr>
          <w:sz w:val="19"/>
        </w:rPr>
        <w:t xml:space="preserve">) </w:t>
      </w:r>
      <w:r>
        <w:t xml:space="preserve">= </w:t>
      </w:r>
      <w:r>
        <w:rPr>
          <w:i/>
          <w:sz w:val="24"/>
        </w:rPr>
        <w:t>k</w:t>
      </w:r>
      <w:r>
        <w:rPr>
          <w:i/>
          <w:sz w:val="14"/>
        </w:rPr>
        <w:t xml:space="preserve">u </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sz w:val="24"/>
        </w:rPr>
        <w:t>2</w:t>
      </w:r>
      <w:r>
        <w:rPr>
          <w:rFonts w:ascii="Segoe UI Symbol" w:eastAsia="Segoe UI Symbol" w:hAnsi="Segoe UI Symbol" w:cs="Segoe UI Symbol"/>
          <w:sz w:val="24"/>
        </w:rPr>
        <w:t></w:t>
      </w:r>
      <w:r>
        <w:rPr>
          <w:rFonts w:ascii="Segoe UI Symbol" w:eastAsia="Segoe UI Symbol" w:hAnsi="Segoe UI Symbol" w:cs="Segoe UI Symbol"/>
          <w:sz w:val="25"/>
        </w:rPr>
        <w:t></w:t>
      </w:r>
      <w:r>
        <w:rPr>
          <w:sz w:val="14"/>
        </w:rPr>
        <w:t xml:space="preserve">inf </w:t>
      </w:r>
      <w:r>
        <w:rPr>
          <w:rFonts w:ascii="Segoe UI Symbol" w:eastAsia="Segoe UI Symbol" w:hAnsi="Segoe UI Symbol" w:cs="Segoe UI Symbol"/>
          <w:sz w:val="24"/>
        </w:rPr>
        <w:t xml:space="preserve"> </w:t>
      </w:r>
      <w:r>
        <w:rPr>
          <w:rFonts w:ascii="Calibri" w:eastAsia="Calibri" w:hAnsi="Calibri" w:cs="Calibri"/>
          <w:noProof/>
          <w:sz w:val="22"/>
        </w:rPr>
        <mc:AlternateContent>
          <mc:Choice Requires="wpg">
            <w:drawing>
              <wp:inline distT="0" distB="0" distL="0" distR="0">
                <wp:extent cx="235931" cy="6220"/>
                <wp:effectExtent l="0" t="0" r="0" b="0"/>
                <wp:docPr id="641251" name="Group 641251"/>
                <wp:cNvGraphicFramePr/>
                <a:graphic xmlns:a="http://schemas.openxmlformats.org/drawingml/2006/main">
                  <a:graphicData uri="http://schemas.microsoft.com/office/word/2010/wordprocessingGroup">
                    <wpg:wgp>
                      <wpg:cNvGrpSpPr/>
                      <wpg:grpSpPr>
                        <a:xfrm>
                          <a:off x="0" y="0"/>
                          <a:ext cx="235931" cy="6220"/>
                          <a:chOff x="0" y="0"/>
                          <a:chExt cx="235931" cy="6220"/>
                        </a:xfrm>
                      </wpg:grpSpPr>
                      <wps:wsp>
                        <wps:cNvPr id="59728" name="Shape 59728"/>
                        <wps:cNvSpPr/>
                        <wps:spPr>
                          <a:xfrm>
                            <a:off x="0" y="0"/>
                            <a:ext cx="235931" cy="0"/>
                          </a:xfrm>
                          <a:custGeom>
                            <a:avLst/>
                            <a:gdLst/>
                            <a:ahLst/>
                            <a:cxnLst/>
                            <a:rect l="0" t="0" r="0" b="0"/>
                            <a:pathLst>
                              <a:path w="235931">
                                <a:moveTo>
                                  <a:pt x="0" y="0"/>
                                </a:moveTo>
                                <a:lnTo>
                                  <a:pt x="235931" y="0"/>
                                </a:lnTo>
                              </a:path>
                            </a:pathLst>
                          </a:custGeom>
                          <a:ln w="622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1251" style="width:18.5772pt;height:0.489787pt;mso-position-horizontal-relative:char;mso-position-vertical-relative:line" coordsize="2359,62">
                <v:shape id="Shape 59728" style="position:absolute;width:2359;height:0;left:0;top:0;" coordsize="235931,0" path="m0,0l235931,0">
                  <v:stroke weight="0.489787pt" endcap="flat" joinstyle="round" on="true" color="#000000"/>
                  <v:fill on="false" color="#000000" opacity="0"/>
                </v:shape>
              </v:group>
            </w:pict>
          </mc:Fallback>
        </mc:AlternateContent>
      </w:r>
      <w:r>
        <w:rPr>
          <w:rFonts w:ascii="Segoe UI Symbol" w:eastAsia="Segoe UI Symbol" w:hAnsi="Segoe UI Symbol" w:cs="Segoe UI Symbol"/>
          <w:sz w:val="25"/>
        </w:rPr>
        <w:t></w:t>
      </w:r>
      <w:r>
        <w:rPr>
          <w:sz w:val="24"/>
        </w:rPr>
        <w:t>8</w:t>
      </w:r>
      <w:r>
        <w:rPr>
          <w:sz w:val="14"/>
        </w:rPr>
        <w:t xml:space="preserve">inf </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t xml:space="preserve">. </w:t>
      </w:r>
    </w:p>
    <w:p w:rsidR="002C0F56" w:rsidRDefault="00E67C6E">
      <w:pPr>
        <w:ind w:left="994" w:right="302"/>
      </w:pPr>
      <w:r>
        <w:lastRenderedPageBreak/>
        <w:t xml:space="preserve">Для  оценки  качества  параллельного  алгоритма  используются характеристики, введенные ранее. Графики изменения коэффициента ускорения </w:t>
      </w:r>
      <w:r>
        <w:rPr>
          <w:i/>
        </w:rPr>
        <w:t>Sp</w:t>
      </w:r>
      <w:r>
        <w:t xml:space="preserve"> в зависимости от размерности задачи </w:t>
      </w:r>
      <w:r>
        <w:rPr>
          <w:i/>
        </w:rPr>
        <w:t xml:space="preserve">N </w:t>
      </w:r>
      <w:r>
        <w:t xml:space="preserve">и числа вычислительных элементов (ядер) </w:t>
      </w:r>
      <w:r>
        <w:rPr>
          <w:i/>
        </w:rPr>
        <w:t>р</w:t>
      </w:r>
      <w:r>
        <w:t xml:space="preserve"> представлены на рис.2.  </w:t>
      </w:r>
    </w:p>
    <w:p w:rsidR="002C0F56" w:rsidRDefault="00E67C6E">
      <w:pPr>
        <w:spacing w:after="0" w:line="259" w:lineRule="auto"/>
        <w:ind w:left="0" w:right="600" w:firstLine="0"/>
        <w:jc w:val="right"/>
      </w:pPr>
      <w:r>
        <w:rPr>
          <w:noProof/>
        </w:rPr>
        <w:drawing>
          <wp:inline distT="0" distB="0" distL="0" distR="0">
            <wp:extent cx="5303520" cy="2141220"/>
            <wp:effectExtent l="0" t="0" r="0" b="0"/>
            <wp:docPr id="59771" name="Picture 59771"/>
            <wp:cNvGraphicFramePr/>
            <a:graphic xmlns:a="http://schemas.openxmlformats.org/drawingml/2006/main">
              <a:graphicData uri="http://schemas.openxmlformats.org/drawingml/2006/picture">
                <pic:pic xmlns:pic="http://schemas.openxmlformats.org/drawingml/2006/picture">
                  <pic:nvPicPr>
                    <pic:cNvPr id="59771" name="Picture 59771"/>
                    <pic:cNvPicPr/>
                  </pic:nvPicPr>
                  <pic:blipFill>
                    <a:blip r:embed="rId1158"/>
                    <a:stretch>
                      <a:fillRect/>
                    </a:stretch>
                  </pic:blipFill>
                  <pic:spPr>
                    <a:xfrm>
                      <a:off x="0" y="0"/>
                      <a:ext cx="5303520" cy="2141220"/>
                    </a:xfrm>
                    <a:prstGeom prst="rect">
                      <a:avLst/>
                    </a:prstGeom>
                  </pic:spPr>
                </pic:pic>
              </a:graphicData>
            </a:graphic>
          </wp:inline>
        </w:drawing>
      </w:r>
      <w:r>
        <w:rPr>
          <w:b/>
        </w:rPr>
        <w:t xml:space="preserve"> </w:t>
      </w:r>
    </w:p>
    <w:p w:rsidR="002C0F56" w:rsidRDefault="00E67C6E">
      <w:pPr>
        <w:spacing w:after="5" w:line="271" w:lineRule="auto"/>
        <w:ind w:left="2660" w:right="396" w:hanging="10"/>
        <w:jc w:val="left"/>
      </w:pPr>
      <w:r>
        <w:rPr>
          <w:b/>
          <w:sz w:val="24"/>
        </w:rPr>
        <w:t xml:space="preserve">Рис.2. Графики изменения ускорения </w:t>
      </w:r>
      <w:r>
        <w:rPr>
          <w:b/>
          <w:i/>
          <w:sz w:val="24"/>
        </w:rPr>
        <w:t>Sp</w:t>
      </w:r>
      <w:r>
        <w:rPr>
          <w:b/>
          <w:sz w:val="24"/>
        </w:rPr>
        <w:t xml:space="preserve">  для метода прогонки </w:t>
      </w:r>
    </w:p>
    <w:p w:rsidR="002C0F56" w:rsidRDefault="00E67C6E">
      <w:pPr>
        <w:spacing w:after="0"/>
        <w:ind w:left="994" w:right="302"/>
      </w:pPr>
      <w:r>
        <w:t>Анализ поведения коэффициента ускорения в зависимости от количества используемых ядер и размерности трехдиагональной системы показывает, что параллельный алгоритм прогонки дает ускорение только пр</w:t>
      </w:r>
      <w:r>
        <w:t>и решении задач большой размерности (более 10</w:t>
      </w:r>
      <w:r>
        <w:rPr>
          <w:vertAlign w:val="superscript"/>
        </w:rPr>
        <w:t>5</w:t>
      </w:r>
      <w:r>
        <w:t>) на небольшом количестве ядер (не более 64).  Если считать приемлемыми значениями коэффициента эффективности величины не менее 0.5, то ни для каких размерностей трехдиагональных систем параллельный алгоритм не</w:t>
      </w:r>
      <w:r>
        <w:t xml:space="preserve"> является эффективным при параллельной реализации на данном HPC-кластере. </w:t>
      </w:r>
    </w:p>
    <w:p w:rsidR="002C0F56" w:rsidRDefault="00E67C6E">
      <w:pPr>
        <w:spacing w:after="24" w:line="259" w:lineRule="auto"/>
        <w:ind w:left="1318" w:firstLine="0"/>
        <w:jc w:val="center"/>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74"/>
        </w:numPr>
        <w:ind w:right="302"/>
      </w:pPr>
      <w:r>
        <w:t xml:space="preserve">Самарский А.А., Николаев Е.С. Методы решения сеточных уравнений. </w:t>
      </w:r>
    </w:p>
    <w:p w:rsidR="002C0F56" w:rsidRDefault="00E67C6E">
      <w:pPr>
        <w:ind w:left="994" w:right="302" w:firstLine="0"/>
      </w:pPr>
      <w:r>
        <w:t xml:space="preserve">М.: Наука, 1978. - 592с. </w:t>
      </w:r>
    </w:p>
    <w:p w:rsidR="002C0F56" w:rsidRDefault="00E67C6E">
      <w:pPr>
        <w:numPr>
          <w:ilvl w:val="0"/>
          <w:numId w:val="174"/>
        </w:numPr>
        <w:ind w:right="302"/>
      </w:pPr>
      <w:r>
        <w:t>Георги М.Ю., Иванов К.А., Лапин Д.В., Лагунцов Е.Н., Самоваров О.И.</w:t>
      </w:r>
      <w:r>
        <w:t>, Стрижак С.В., Сухинов А.И., Целых А.Н.. Многопроцессорная вычислительная система ТТИ ЮФУ.// В материалах Всероссийской суперкомпьютерной конференции «Научный сервис в сети Интернет: масштабируемость, параллельность, эффективность».- М.: Изд-во МГУ, 2009.</w:t>
      </w:r>
      <w:r>
        <w:t>- С. 320-331. 3.</w:t>
      </w:r>
      <w:r>
        <w:rPr>
          <w:rFonts w:ascii="Arial" w:eastAsia="Arial" w:hAnsi="Arial" w:cs="Arial"/>
        </w:rPr>
        <w:t xml:space="preserve"> </w:t>
      </w:r>
      <w:r>
        <w:t xml:space="preserve">Гергель В.П. Высокопроизводительные вычисления для многоядерных многопроцессорных систем: учебное пособие. – Н.Новгород: Изд-во ННГУ им. Н.И.Лобачевского, 2010. – 425с. </w:t>
      </w:r>
    </w:p>
    <w:p w:rsidR="002C0F56" w:rsidRDefault="00E67C6E">
      <w:pPr>
        <w:numPr>
          <w:ilvl w:val="0"/>
          <w:numId w:val="175"/>
        </w:numPr>
        <w:ind w:right="302"/>
      </w:pPr>
      <w:r>
        <w:t>Сухинов А.И., Овчаренко О.И. Алгоритмы решения систем линейных уравне</w:t>
      </w:r>
      <w:r>
        <w:t xml:space="preserve">ний с трехдиагональной матрицей на HPC – кластере. // Актуальные вопросы технических наук: теоретический и практический аспекты. Коллективная монография. Уфа. - 2016. С. 171-188. </w:t>
      </w:r>
    </w:p>
    <w:p w:rsidR="002C0F56" w:rsidRDefault="00E67C6E">
      <w:pPr>
        <w:numPr>
          <w:ilvl w:val="0"/>
          <w:numId w:val="175"/>
        </w:numPr>
        <w:ind w:right="302"/>
      </w:pPr>
      <w:r>
        <w:lastRenderedPageBreak/>
        <w:t>Яненко Н.Н., Коновалов А.Н., Бугров А.Н., Шустов Г.В. Об организации паралле</w:t>
      </w:r>
      <w:r>
        <w:t xml:space="preserve">льных вычислений и «распараллеливании» прогонки. // Численные методы механики сплошной среды. -1978. - №7. – С.139-146.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25" w:line="259" w:lineRule="auto"/>
        <w:ind w:left="10" w:right="308" w:hanging="10"/>
        <w:jc w:val="right"/>
      </w:pPr>
      <w:r>
        <w:rPr>
          <w:b/>
        </w:rPr>
        <w:t xml:space="preserve">Осипов Д.А. </w:t>
      </w:r>
    </w:p>
    <w:p w:rsidR="002C0F56" w:rsidRDefault="00E67C6E">
      <w:pPr>
        <w:spacing w:after="11" w:line="270" w:lineRule="auto"/>
        <w:ind w:left="10" w:right="308" w:hanging="10"/>
        <w:jc w:val="right"/>
      </w:pPr>
      <w:r>
        <w:t xml:space="preserve">Научный руководитель: Овчаренко О.И., к.т.н., доц. </w:t>
      </w:r>
    </w:p>
    <w:p w:rsidR="002C0F56" w:rsidRDefault="00E67C6E">
      <w:pPr>
        <w:spacing w:after="0" w:line="267" w:lineRule="auto"/>
        <w:ind w:left="905" w:right="311" w:hanging="10"/>
        <w:jc w:val="right"/>
      </w:pPr>
      <w:r>
        <w:rPr>
          <w:i/>
        </w:rPr>
        <w:t xml:space="preserve">Таганрогский институт управления и экономики </w:t>
      </w:r>
    </w:p>
    <w:p w:rsidR="002C0F56" w:rsidRDefault="00E67C6E">
      <w:pPr>
        <w:spacing w:after="0" w:line="259" w:lineRule="auto"/>
        <w:ind w:left="1558" w:firstLine="0"/>
        <w:jc w:val="left"/>
      </w:pPr>
      <w:r>
        <w:t xml:space="preserve"> </w:t>
      </w:r>
    </w:p>
    <w:p w:rsidR="002C0F56" w:rsidRDefault="00E67C6E">
      <w:pPr>
        <w:pStyle w:val="1"/>
        <w:ind w:left="700" w:right="6"/>
      </w:pPr>
      <w:r>
        <w:t xml:space="preserve">ИСПОЛЬЗОВАНИЕ ОБЛАЧНЫХ ТЕХНОЛОГИЙ ДЛЯ </w:t>
      </w:r>
    </w:p>
    <w:p w:rsidR="002C0F56" w:rsidRDefault="00E67C6E">
      <w:pPr>
        <w:pStyle w:val="1"/>
        <w:ind w:left="700" w:right="6"/>
      </w:pPr>
      <w:r>
        <w:t xml:space="preserve">СОВЕРШЕНСТВОВАНИЯ HRM-ПРОЦЕССОВ </w:t>
      </w:r>
    </w:p>
    <w:p w:rsidR="002C0F56" w:rsidRDefault="00E67C6E">
      <w:pPr>
        <w:spacing w:after="0" w:line="259" w:lineRule="auto"/>
        <w:ind w:left="1558" w:firstLine="0"/>
        <w:jc w:val="left"/>
      </w:pPr>
      <w:r>
        <w:t xml:space="preserve"> </w:t>
      </w:r>
    </w:p>
    <w:p w:rsidR="002C0F56" w:rsidRDefault="00E67C6E">
      <w:pPr>
        <w:ind w:left="994" w:right="302"/>
      </w:pPr>
      <w:r>
        <w:t>Для современного менеджмента характерны возрастание интереса и внимания к роли человеческих ресурсов и возможности полной реализации профессионального потенциала персонала. Поэтому з</w:t>
      </w:r>
      <w:r>
        <w:t xml:space="preserve">адача разработки современных технологий и качественного инструментария для обеспечения оперативного и эффективного подбора персонала становится одной их наиболее значимых, ключевых в работе служб персонала.  </w:t>
      </w:r>
    </w:p>
    <w:p w:rsidR="002C0F56" w:rsidRDefault="00E67C6E">
      <w:pPr>
        <w:spacing w:after="3"/>
        <w:ind w:left="994" w:right="302"/>
      </w:pPr>
      <w:r>
        <w:t>В данной работе рассмотрены решения в области H</w:t>
      </w:r>
      <w:r>
        <w:t xml:space="preserve">RM-систем, связанные с использованием облачных технологий. Показано, что возможности облачной технологии имеют огромный потенциал для дальнейшего развития и усовершенствования по сравнению с имеющимися технологиями. </w:t>
      </w:r>
    </w:p>
    <w:p w:rsidR="002C0F56" w:rsidRDefault="00E67C6E">
      <w:pPr>
        <w:ind w:left="994" w:right="302"/>
      </w:pPr>
      <w:r>
        <w:t>Качественно, с наибольшей отдачей управ</w:t>
      </w:r>
      <w:r>
        <w:t xml:space="preserve">лять человеческими ресурсами призваны современные IT-системы автоматизации управления персоналом, оптимизирующие все процессы кадровой деятельности в области Human Resources Management (HRM).  </w:t>
      </w:r>
    </w:p>
    <w:p w:rsidR="002C0F56" w:rsidRDefault="00E67C6E">
      <w:pPr>
        <w:ind w:left="994" w:right="302"/>
      </w:pPr>
      <w:r>
        <w:t xml:space="preserve"> Функционал автоматизированных HRM-систем можно разделить на т</w:t>
      </w:r>
      <w:r>
        <w:t xml:space="preserve">ри уровня [1]: </w:t>
      </w:r>
    </w:p>
    <w:p w:rsidR="002C0F56" w:rsidRDefault="00E67C6E">
      <w:pPr>
        <w:numPr>
          <w:ilvl w:val="0"/>
          <w:numId w:val="176"/>
        </w:numPr>
        <w:ind w:right="302"/>
      </w:pPr>
      <w:r>
        <w:t xml:space="preserve">уровень: автоматизация расчета зарплаты; характеризуются низкой  функциональностью и невозможностью дальнейшей настройки; </w:t>
      </w:r>
    </w:p>
    <w:p w:rsidR="002C0F56" w:rsidRDefault="00E67C6E">
      <w:pPr>
        <w:numPr>
          <w:ilvl w:val="0"/>
          <w:numId w:val="176"/>
        </w:numPr>
        <w:ind w:right="302"/>
      </w:pPr>
      <w:r>
        <w:t xml:space="preserve">уровень: комплексные программно-аппаратные продукты, обладающие большим управленческим функционалом; </w:t>
      </w:r>
    </w:p>
    <w:p w:rsidR="002C0F56" w:rsidRDefault="00E67C6E">
      <w:pPr>
        <w:numPr>
          <w:ilvl w:val="0"/>
          <w:numId w:val="176"/>
        </w:numPr>
        <w:ind w:right="302"/>
      </w:pPr>
      <w:r>
        <w:t>уровень: являют</w:t>
      </w:r>
      <w:r>
        <w:t xml:space="preserve">ся модулем ERP-систем или обладают возможностями интеграции с ERP-системами. </w:t>
      </w:r>
    </w:p>
    <w:p w:rsidR="002C0F56" w:rsidRDefault="00E67C6E">
      <w:pPr>
        <w:spacing w:after="5"/>
        <w:ind w:left="994" w:right="302"/>
      </w:pPr>
      <w:r>
        <w:t>Если раньше первоочередными функциями HRM-</w:t>
      </w:r>
      <w:r>
        <w:t xml:space="preserve">систем считались  расчет заработной платы и  учет кадров, то в настоящее время на первый план выходят такие функции, как управление талантами и рекрутингом. Исследования показывают, что эта тенденция будет стремительно расти: за последние </w:t>
      </w:r>
      <w:r>
        <w:lastRenderedPageBreak/>
        <w:t>несколько лет исп</w:t>
      </w:r>
      <w:r>
        <w:t xml:space="preserve">ользование данных функций российскими компаниями возросло на 20%. </w:t>
      </w:r>
    </w:p>
    <w:p w:rsidR="002C0F56" w:rsidRDefault="00E67C6E">
      <w:pPr>
        <w:ind w:left="994" w:right="302"/>
      </w:pPr>
      <w:r>
        <w:t>Еще одним популярным направлением является подбор персонала через социальные сети,  интеграция с интернет-ресурсами, развитие внутреннего рекрутинга, использование онлайн-инструментов центр</w:t>
      </w:r>
      <w:r>
        <w:t xml:space="preserve">ализованной оценки, тестирования персонала и управления талантами.  </w:t>
      </w:r>
    </w:p>
    <w:p w:rsidR="002C0F56" w:rsidRDefault="00E67C6E">
      <w:pPr>
        <w:spacing w:after="2"/>
        <w:ind w:left="994" w:right="302"/>
      </w:pPr>
      <w:r>
        <w:t>Но одним из самых инновационных решений в области HRM является использование компаниями облачной системы управления человеческим капиталом. Можно без преувеличения сказать, что облачная с</w:t>
      </w:r>
      <w:r>
        <w:t xml:space="preserve">истема является трендом IT-технологий, HR-рынок переходит в «облако» [2]. </w:t>
      </w:r>
    </w:p>
    <w:p w:rsidR="002C0F56" w:rsidRDefault="00E67C6E">
      <w:pPr>
        <w:ind w:left="994" w:right="302"/>
      </w:pPr>
      <w:r>
        <w:t xml:space="preserve">Облако можно представить в виде пирамиды (рис.1): основанием является «инфраструктура» – это набор физических устройств (серверы, диски и т.д.), над ней выстраивается «платформа» - </w:t>
      </w:r>
      <w:r>
        <w:t xml:space="preserve">набор услуг и заключительный элемент  - «программное обеспечение», предоставляемое пользователям. </w:t>
      </w:r>
    </w:p>
    <w:p w:rsidR="002C0F56" w:rsidRDefault="00E67C6E">
      <w:pPr>
        <w:spacing w:after="59"/>
        <w:ind w:left="994" w:right="302"/>
      </w:pPr>
      <w:r>
        <w:t xml:space="preserve">В качестве основных функций облачных HRM-систем можно выделить следующие:  </w:t>
      </w:r>
    </w:p>
    <w:p w:rsidR="002C0F56" w:rsidRDefault="00E67C6E">
      <w:pPr>
        <w:numPr>
          <w:ilvl w:val="0"/>
          <w:numId w:val="177"/>
        </w:numPr>
        <w:spacing w:after="12"/>
        <w:ind w:right="302" w:firstLine="0"/>
      </w:pPr>
      <w:r>
        <w:t xml:space="preserve">управление начислением заработной платы, налогов и льгот; </w:t>
      </w:r>
    </w:p>
    <w:p w:rsidR="002C0F56" w:rsidRDefault="00E67C6E">
      <w:pPr>
        <w:numPr>
          <w:ilvl w:val="0"/>
          <w:numId w:val="177"/>
        </w:numPr>
        <w:spacing w:after="12"/>
        <w:ind w:right="302" w:firstLine="0"/>
      </w:pPr>
      <w:r>
        <w:t>отслеживание личной ин</w:t>
      </w:r>
      <w:r>
        <w:t xml:space="preserve">формации сотрудников; </w:t>
      </w:r>
    </w:p>
    <w:p w:rsidR="002C0F56" w:rsidRDefault="00E67C6E">
      <w:pPr>
        <w:numPr>
          <w:ilvl w:val="0"/>
          <w:numId w:val="177"/>
        </w:numPr>
        <w:spacing w:after="12"/>
        <w:ind w:right="302" w:firstLine="0"/>
      </w:pPr>
      <w:r>
        <w:t xml:space="preserve">осуществление поиска персонала; </w:t>
      </w:r>
    </w:p>
    <w:p w:rsidR="002C0F56" w:rsidRDefault="00E67C6E">
      <w:pPr>
        <w:numPr>
          <w:ilvl w:val="0"/>
          <w:numId w:val="177"/>
        </w:numPr>
        <w:spacing w:after="10"/>
        <w:ind w:right="302" w:firstLine="0"/>
      </w:pPr>
      <w:r>
        <w:t xml:space="preserve">планирование работы персонала, его развития и продвижения; </w:t>
      </w:r>
      <w:r>
        <w:rPr>
          <w:rFonts w:ascii="Segoe UI Symbol" w:eastAsia="Segoe UI Symbol" w:hAnsi="Segoe UI Symbol" w:cs="Segoe UI Symbol"/>
        </w:rPr>
        <w:t>•</w:t>
      </w:r>
      <w:r>
        <w:rPr>
          <w:rFonts w:ascii="Arial" w:eastAsia="Arial" w:hAnsi="Arial" w:cs="Arial"/>
        </w:rPr>
        <w:t xml:space="preserve"> </w:t>
      </w:r>
      <w:r>
        <w:t xml:space="preserve">осуществление массового подбора; </w:t>
      </w:r>
    </w:p>
    <w:p w:rsidR="002C0F56" w:rsidRDefault="00E67C6E">
      <w:pPr>
        <w:numPr>
          <w:ilvl w:val="0"/>
          <w:numId w:val="177"/>
        </w:numPr>
        <w:spacing w:after="12"/>
        <w:ind w:right="302" w:firstLine="0"/>
      </w:pPr>
      <w:r>
        <w:t xml:space="preserve">развитие талантов. </w:t>
      </w:r>
    </w:p>
    <w:p w:rsidR="002C0F56" w:rsidRDefault="00E67C6E">
      <w:pPr>
        <w:spacing w:after="0" w:line="259" w:lineRule="auto"/>
        <w:ind w:left="1558" w:firstLine="0"/>
        <w:jc w:val="left"/>
      </w:pPr>
      <w:r>
        <w:t xml:space="preserve"> </w:t>
      </w:r>
    </w:p>
    <w:p w:rsidR="002C0F56" w:rsidRDefault="00E67C6E">
      <w:pPr>
        <w:spacing w:after="0" w:line="259" w:lineRule="auto"/>
        <w:ind w:left="3459" w:firstLine="0"/>
        <w:jc w:val="left"/>
      </w:pPr>
      <w:r>
        <w:rPr>
          <w:noProof/>
        </w:rPr>
        <w:drawing>
          <wp:inline distT="0" distB="0" distL="0" distR="0">
            <wp:extent cx="3346450" cy="2254250"/>
            <wp:effectExtent l="0" t="0" r="0" b="0"/>
            <wp:docPr id="60115" name="Picture 60115"/>
            <wp:cNvGraphicFramePr/>
            <a:graphic xmlns:a="http://schemas.openxmlformats.org/drawingml/2006/main">
              <a:graphicData uri="http://schemas.openxmlformats.org/drawingml/2006/picture">
                <pic:pic xmlns:pic="http://schemas.openxmlformats.org/drawingml/2006/picture">
                  <pic:nvPicPr>
                    <pic:cNvPr id="60115" name="Picture 60115"/>
                    <pic:cNvPicPr/>
                  </pic:nvPicPr>
                  <pic:blipFill>
                    <a:blip r:embed="rId1159"/>
                    <a:stretch>
                      <a:fillRect/>
                    </a:stretch>
                  </pic:blipFill>
                  <pic:spPr>
                    <a:xfrm>
                      <a:off x="0" y="0"/>
                      <a:ext cx="3346450" cy="2254250"/>
                    </a:xfrm>
                    <a:prstGeom prst="rect">
                      <a:avLst/>
                    </a:prstGeom>
                  </pic:spPr>
                </pic:pic>
              </a:graphicData>
            </a:graphic>
          </wp:inline>
        </w:drawing>
      </w:r>
      <w:r>
        <w:t xml:space="preserve"> </w:t>
      </w:r>
    </w:p>
    <w:p w:rsidR="002C0F56" w:rsidRDefault="00E67C6E">
      <w:pPr>
        <w:pStyle w:val="4"/>
        <w:ind w:left="1181" w:right="4"/>
      </w:pPr>
      <w:r>
        <w:t xml:space="preserve">Рис.1. Структура «облака» </w:t>
      </w:r>
    </w:p>
    <w:p w:rsidR="002C0F56" w:rsidRDefault="00E67C6E">
      <w:pPr>
        <w:spacing w:after="0" w:line="259" w:lineRule="auto"/>
        <w:ind w:left="1558" w:firstLine="0"/>
        <w:jc w:val="left"/>
      </w:pPr>
      <w:r>
        <w:t xml:space="preserve"> </w:t>
      </w:r>
    </w:p>
    <w:p w:rsidR="002C0F56" w:rsidRDefault="00E67C6E">
      <w:pPr>
        <w:spacing w:after="60"/>
        <w:ind w:left="994" w:right="302"/>
      </w:pPr>
      <w:r>
        <w:t xml:space="preserve">В рамках инфраструктурной архитектуры организации можно выделить следующие типы облачных сервисов (моделей предоставления облачных технологий) [3]: </w:t>
      </w:r>
    </w:p>
    <w:p w:rsidR="002C0F56" w:rsidRDefault="00E67C6E">
      <w:pPr>
        <w:numPr>
          <w:ilvl w:val="0"/>
          <w:numId w:val="178"/>
        </w:numPr>
        <w:spacing w:after="59"/>
        <w:ind w:right="302"/>
      </w:pPr>
      <w:r>
        <w:lastRenderedPageBreak/>
        <w:t>программное обеспечение (ПО) как услуга (SAAS) – потребителю предоставляются программные средства – приложе</w:t>
      </w:r>
      <w:r>
        <w:t xml:space="preserve">ния, выполняемые на облачной инфраструктуре; </w:t>
      </w:r>
    </w:p>
    <w:p w:rsidR="002C0F56" w:rsidRDefault="00E67C6E">
      <w:pPr>
        <w:numPr>
          <w:ilvl w:val="0"/>
          <w:numId w:val="178"/>
        </w:numPr>
        <w:spacing w:after="62"/>
        <w:ind w:right="302"/>
      </w:pPr>
      <w:r>
        <w:t xml:space="preserve">платформа как услуга (PAAS) –предоставляется возможность использования облачной инфраструктуры для размещения базового ПО с целью решения на нем новых или существующих прикладных задач; </w:t>
      </w:r>
    </w:p>
    <w:p w:rsidR="002C0F56" w:rsidRDefault="00E67C6E">
      <w:pPr>
        <w:numPr>
          <w:ilvl w:val="0"/>
          <w:numId w:val="178"/>
        </w:numPr>
        <w:spacing w:after="64"/>
        <w:ind w:right="302"/>
      </w:pPr>
      <w:r>
        <w:t>инфраструктура как услу</w:t>
      </w:r>
      <w:r>
        <w:t xml:space="preserve">га (IaaS) – предоставляется возможность использования облачной инфраструктуры для самостоятельного управления вычислительными ресурсами и запуска любого прикладного или системного ПО; </w:t>
      </w:r>
    </w:p>
    <w:p w:rsidR="002C0F56" w:rsidRDefault="00E67C6E">
      <w:pPr>
        <w:numPr>
          <w:ilvl w:val="0"/>
          <w:numId w:val="178"/>
        </w:numPr>
        <w:spacing w:after="63"/>
        <w:ind w:right="302"/>
      </w:pPr>
      <w:r>
        <w:t>рабочее место как услуга (WaaS) –предоставляется рабочее место, укомпле</w:t>
      </w:r>
      <w:r>
        <w:t xml:space="preserve">ктованное необходимыми вычислительными, информационными и коммуникационными ресурсами для эффективного использования функционала данной должностной позиции; </w:t>
      </w:r>
    </w:p>
    <w:p w:rsidR="002C0F56" w:rsidRDefault="00E67C6E">
      <w:pPr>
        <w:numPr>
          <w:ilvl w:val="0"/>
          <w:numId w:val="178"/>
        </w:numPr>
        <w:ind w:right="302"/>
      </w:pPr>
      <w:r>
        <w:t>все как услуга (AaaS) - вся информационная система организации и коммуникационные технологии отдан</w:t>
      </w:r>
      <w:r>
        <w:t xml:space="preserve">ы на аутсорсинг и предоставляются как услуга облачного провайдера.  </w:t>
      </w:r>
    </w:p>
    <w:p w:rsidR="002C0F56" w:rsidRDefault="00E67C6E">
      <w:pPr>
        <w:spacing w:after="58"/>
        <w:ind w:left="994" w:right="302"/>
      </w:pPr>
      <w:r>
        <w:t xml:space="preserve">Сегодня все больше компаний стремятся перенести HR-данные с сервера в облако и это обуславливается следующими преимуществами облачных HRтехнологий: </w:t>
      </w:r>
    </w:p>
    <w:p w:rsidR="002C0F56" w:rsidRDefault="00E67C6E">
      <w:pPr>
        <w:numPr>
          <w:ilvl w:val="0"/>
          <w:numId w:val="178"/>
        </w:numPr>
        <w:spacing w:after="59"/>
        <w:ind w:right="302"/>
      </w:pPr>
      <w:r>
        <w:t>доступ к данным в режиме реального вре</w:t>
      </w:r>
      <w:r>
        <w:t xml:space="preserve">мени с любого компьютера в независимости от времени и местонахождения; </w:t>
      </w:r>
    </w:p>
    <w:p w:rsidR="002C0F56" w:rsidRDefault="00E67C6E">
      <w:pPr>
        <w:numPr>
          <w:ilvl w:val="0"/>
          <w:numId w:val="178"/>
        </w:numPr>
        <w:spacing w:after="58"/>
        <w:ind w:right="302"/>
      </w:pPr>
      <w:r>
        <w:t xml:space="preserve">отсутствие необходимости приобретения, обслуживания и ремонта сетевого оборудования; </w:t>
      </w:r>
    </w:p>
    <w:p w:rsidR="002C0F56" w:rsidRDefault="00E67C6E">
      <w:pPr>
        <w:numPr>
          <w:ilvl w:val="0"/>
          <w:numId w:val="178"/>
        </w:numPr>
        <w:spacing w:after="12"/>
        <w:ind w:right="302"/>
      </w:pPr>
      <w:r>
        <w:t xml:space="preserve">техническое обслуживание и консультирование специалистами; </w:t>
      </w:r>
    </w:p>
    <w:p w:rsidR="002C0F56" w:rsidRDefault="00E67C6E">
      <w:pPr>
        <w:numPr>
          <w:ilvl w:val="0"/>
          <w:numId w:val="178"/>
        </w:numPr>
        <w:spacing w:after="15" w:line="268" w:lineRule="auto"/>
        <w:ind w:right="302"/>
      </w:pPr>
      <w:r>
        <w:t>получение в любой момент времени актуа</w:t>
      </w:r>
      <w:r>
        <w:t xml:space="preserve">лизированной информации; </w:t>
      </w:r>
    </w:p>
    <w:p w:rsidR="002C0F56" w:rsidRDefault="00E67C6E">
      <w:pPr>
        <w:numPr>
          <w:ilvl w:val="0"/>
          <w:numId w:val="178"/>
        </w:numPr>
        <w:ind w:right="302"/>
      </w:pPr>
      <w:r>
        <w:t xml:space="preserve">надежность и доступность по стоимости; </w:t>
      </w:r>
    </w:p>
    <w:p w:rsidR="002C0F56" w:rsidRDefault="00E67C6E">
      <w:pPr>
        <w:numPr>
          <w:ilvl w:val="0"/>
          <w:numId w:val="178"/>
        </w:numPr>
        <w:spacing w:after="12"/>
        <w:ind w:right="302"/>
      </w:pPr>
      <w:r>
        <w:t xml:space="preserve">высокий уровень безопасности хранения данных; </w:t>
      </w:r>
    </w:p>
    <w:p w:rsidR="002C0F56" w:rsidRDefault="00E67C6E">
      <w:pPr>
        <w:numPr>
          <w:ilvl w:val="0"/>
          <w:numId w:val="178"/>
        </w:numPr>
        <w:spacing w:after="12"/>
        <w:ind w:right="302"/>
      </w:pPr>
      <w:r>
        <w:t xml:space="preserve">возможность проведения собеседований в режиме онлайн; </w:t>
      </w:r>
    </w:p>
    <w:p w:rsidR="002C0F56" w:rsidRDefault="00E67C6E">
      <w:pPr>
        <w:numPr>
          <w:ilvl w:val="0"/>
          <w:numId w:val="178"/>
        </w:numPr>
        <w:ind w:right="302"/>
      </w:pPr>
      <w:r>
        <w:t xml:space="preserve">использование облака как вычислительной технологии, которая может анализировать предоставленную информацию, составлять отчеты, прогнозы и т.д. </w:t>
      </w:r>
      <w:r>
        <w:rPr>
          <w:i/>
        </w:rPr>
        <w:t xml:space="preserve"> </w:t>
      </w:r>
    </w:p>
    <w:p w:rsidR="002C0F56" w:rsidRDefault="00E67C6E">
      <w:pPr>
        <w:ind w:left="994" w:right="302"/>
      </w:pPr>
      <w:r>
        <w:t xml:space="preserve">Но есть и определенные недостатки при использовании облачных сервисов: </w:t>
      </w:r>
    </w:p>
    <w:p w:rsidR="002C0F56" w:rsidRDefault="00E67C6E">
      <w:pPr>
        <w:numPr>
          <w:ilvl w:val="0"/>
          <w:numId w:val="178"/>
        </w:numPr>
        <w:ind w:right="302"/>
      </w:pPr>
      <w:r>
        <w:t xml:space="preserve">необходимость постоянного соединения с Интернетом; </w:t>
      </w:r>
    </w:p>
    <w:p w:rsidR="002C0F56" w:rsidRDefault="00E67C6E">
      <w:pPr>
        <w:numPr>
          <w:ilvl w:val="0"/>
          <w:numId w:val="178"/>
        </w:numPr>
        <w:ind w:right="302"/>
      </w:pPr>
      <w:r>
        <w:t xml:space="preserve">невозможность обеспечения 100% конфиденциальности данных; </w:t>
      </w:r>
      <w:r>
        <w:rPr>
          <w:rFonts w:ascii="Segoe UI Symbol" w:eastAsia="Segoe UI Symbol" w:hAnsi="Segoe UI Symbol" w:cs="Segoe UI Symbol"/>
        </w:rPr>
        <w:t>•</w:t>
      </w:r>
      <w:r>
        <w:rPr>
          <w:rFonts w:ascii="Arial" w:eastAsia="Arial" w:hAnsi="Arial" w:cs="Arial"/>
        </w:rPr>
        <w:t xml:space="preserve"> </w:t>
      </w:r>
      <w:r>
        <w:t xml:space="preserve">дороговизна оборудования при создании собственного «облака». </w:t>
      </w:r>
    </w:p>
    <w:p w:rsidR="002C0F56" w:rsidRDefault="00E67C6E">
      <w:pPr>
        <w:spacing w:after="0"/>
        <w:ind w:left="994" w:right="302"/>
      </w:pPr>
      <w:r>
        <w:t>Таким образом, использование облачных технологий для процессов управления персонал</w:t>
      </w:r>
      <w:r>
        <w:t xml:space="preserve">ом позволят предприятию выйти на новый уровень развития, создают  существенные преимущества и обеспечивают значительный </w:t>
      </w:r>
      <w:r>
        <w:lastRenderedPageBreak/>
        <w:t>отрыв от конкурентов. Использование облачных сервисов позволит создать собственную уникальную систему подбора кандидатов; значительно со</w:t>
      </w:r>
      <w:r>
        <w:t xml:space="preserve">кратит время на процесс найма персонала, так как оптимизируются все функции HRспециалиста; в разы повысит качество работы отдела по подбору и отбору персонала, что скажется на общей эффективности деятельности предприятия </w:t>
      </w:r>
    </w:p>
    <w:p w:rsidR="002C0F56" w:rsidRDefault="00E67C6E">
      <w:pPr>
        <w:spacing w:after="12"/>
        <w:ind w:left="994" w:right="302" w:firstLine="0"/>
      </w:pPr>
      <w:r>
        <w:t xml:space="preserve">[3]. </w:t>
      </w:r>
    </w:p>
    <w:p w:rsidR="002C0F56" w:rsidRDefault="00E67C6E">
      <w:pPr>
        <w:spacing w:after="5"/>
        <w:ind w:left="994" w:right="302"/>
      </w:pPr>
      <w:r>
        <w:t>Следует отметить и особеннос</w:t>
      </w:r>
      <w:r>
        <w:t>ти облачных технологий, которые могут сдерживать их использование в компании. К ним следует отнести недостаточную квалификацию it-специалистов в компании,  способных внедрить облачную технологию и осуществлять администрирование; отсутствие необходимых сред</w:t>
      </w:r>
      <w:r>
        <w:t xml:space="preserve">ств на внедрение; неготовность персонала и руководства к внедрению и освоению новой технологии.  </w:t>
      </w:r>
    </w:p>
    <w:p w:rsidR="002C0F56" w:rsidRDefault="00E67C6E">
      <w:pPr>
        <w:spacing w:after="0"/>
        <w:ind w:left="994" w:right="302"/>
      </w:pPr>
      <w:r>
        <w:t>Поскольку внедрение современных информационных технологий предъявляет повышенные требования к подготовке квалифицированных специалистов, способных использоват</w:t>
      </w:r>
      <w:r>
        <w:t xml:space="preserve">ь их в своей профессиональной деятельности, то задача образовательных организаций заключается в том, чтобы не только дать студенту определенные знания, но и развить практические навыки, необходимые квалифицированному специалисту [4].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Список литературы:</w:t>
      </w:r>
      <w:r>
        <w:t xml:space="preserve"> </w:t>
      </w:r>
    </w:p>
    <w:p w:rsidR="002C0F56" w:rsidRDefault="00E67C6E">
      <w:pPr>
        <w:spacing w:after="11" w:line="270" w:lineRule="auto"/>
        <w:ind w:left="792" w:right="306" w:hanging="10"/>
        <w:jc w:val="right"/>
      </w:pPr>
      <w:r>
        <w:t>1.</w:t>
      </w:r>
      <w:r>
        <w:rPr>
          <w:rFonts w:ascii="Arial" w:eastAsia="Arial" w:hAnsi="Arial" w:cs="Arial"/>
        </w:rPr>
        <w:t xml:space="preserve"> </w:t>
      </w:r>
      <w:r>
        <w:t xml:space="preserve">EFSOL: системы управления персоналом  [Электронный ресурс]. – Режим доступа: </w:t>
      </w:r>
      <w:hyperlink r:id="rId1160">
        <w:r>
          <w:t>http://efsol.ru/solutions/hrm</w:t>
        </w:r>
      </w:hyperlink>
      <w:hyperlink r:id="rId1161">
        <w:r>
          <w:t>-</w:t>
        </w:r>
      </w:hyperlink>
      <w:hyperlink r:id="rId1162">
        <w:r>
          <w:t>automation.html,</w:t>
        </w:r>
      </w:hyperlink>
      <w:r>
        <w:t xml:space="preserve"> свободный. Загл. с экрана. 2.</w:t>
      </w:r>
      <w:r>
        <w:rPr>
          <w:rFonts w:ascii="Arial" w:eastAsia="Arial" w:hAnsi="Arial" w:cs="Arial"/>
        </w:rPr>
        <w:t xml:space="preserve"> </w:t>
      </w:r>
      <w:r>
        <w:t xml:space="preserve">Зиновьева </w:t>
      </w:r>
      <w:r>
        <w:tab/>
        <w:t xml:space="preserve"> </w:t>
      </w:r>
      <w:r>
        <w:tab/>
        <w:t xml:space="preserve">О. </w:t>
      </w:r>
      <w:r>
        <w:tab/>
        <w:t xml:space="preserve">Тренды </w:t>
      </w:r>
      <w:r>
        <w:tab/>
        <w:t xml:space="preserve">развития </w:t>
      </w:r>
      <w:r>
        <w:tab/>
        <w:t xml:space="preserve">HRM-технологий. </w:t>
      </w:r>
      <w:r>
        <w:tab/>
        <w:t xml:space="preserve">HR-портал. </w:t>
      </w:r>
    </w:p>
    <w:p w:rsidR="002C0F56" w:rsidRDefault="00E67C6E">
      <w:pPr>
        <w:ind w:left="994" w:right="302" w:firstLine="0"/>
      </w:pPr>
      <w:r>
        <w:t xml:space="preserve">[Электронный ресурс] . – Режим доступа: </w:t>
      </w:r>
      <w:hyperlink r:id="rId1163">
        <w:r>
          <w:t>http://www.hr</w:t>
        </w:r>
      </w:hyperlink>
      <w:hyperlink r:id="rId1164">
        <w:r>
          <w:t>-</w:t>
        </w:r>
      </w:hyperlink>
      <w:hyperlink r:id="rId1165">
        <w:r>
          <w:t>portal.ru/article/trendy</w:t>
        </w:r>
      </w:hyperlink>
      <w:hyperlink r:id="rId1166"/>
      <w:hyperlink r:id="rId1167">
        <w:r>
          <w:t>razvitiya</w:t>
        </w:r>
      </w:hyperlink>
      <w:hyperlink r:id="rId1168">
        <w:r>
          <w:t>-</w:t>
        </w:r>
      </w:hyperlink>
      <w:hyperlink r:id="rId1169">
        <w:r>
          <w:t>hrm</w:t>
        </w:r>
      </w:hyperlink>
      <w:hyperlink r:id="rId1170">
        <w:r>
          <w:t>-</w:t>
        </w:r>
      </w:hyperlink>
      <w:hyperlink r:id="rId1171">
        <w:r>
          <w:t>tehnologiy</w:t>
        </w:r>
      </w:hyperlink>
      <w:hyperlink r:id="rId1172">
        <w:r>
          <w:t>-</w:t>
        </w:r>
      </w:hyperlink>
      <w:hyperlink r:id="rId1173">
        <w:r>
          <w:t>2014</w:t>
        </w:r>
      </w:hyperlink>
      <w:hyperlink r:id="rId1174">
        <w:r>
          <w:t>,</w:t>
        </w:r>
      </w:hyperlink>
      <w:r>
        <w:t xml:space="preserve"> свободный. Загл. с экрана. </w:t>
      </w:r>
    </w:p>
    <w:p w:rsidR="002C0F56" w:rsidRDefault="00E67C6E">
      <w:pPr>
        <w:numPr>
          <w:ilvl w:val="0"/>
          <w:numId w:val="179"/>
        </w:numPr>
        <w:ind w:right="302"/>
      </w:pPr>
      <w:r>
        <w:t>Чуланова О.Л., Тихонова Т.В.  Облачные технологии как эффективный инструмент подбора персонала [Электронный ресурс] / О.Л.Чуланова, Т.В.Тихо</w:t>
      </w:r>
      <w:r>
        <w:t xml:space="preserve">нова // М.: Мир науки, №4, 2014.- М.: Научный электронный журнал, 2014. – Режим доступа:  // </w:t>
      </w:r>
      <w:hyperlink r:id="rId1175">
        <w:r>
          <w:t>http://mir</w:t>
        </w:r>
      </w:hyperlink>
      <w:hyperlink r:id="rId1176">
        <w:r>
          <w:t>-</w:t>
        </w:r>
      </w:hyperlink>
      <w:hyperlink r:id="rId1177">
        <w:r>
          <w:t>nauki.com.</w:t>
        </w:r>
      </w:hyperlink>
      <w:r>
        <w:t xml:space="preserve"> свободный,  Загл. </w:t>
      </w:r>
      <w:r>
        <w:t xml:space="preserve">с экрана. </w:t>
      </w:r>
    </w:p>
    <w:p w:rsidR="002C0F56" w:rsidRDefault="00E67C6E">
      <w:pPr>
        <w:numPr>
          <w:ilvl w:val="0"/>
          <w:numId w:val="179"/>
        </w:numPr>
        <w:spacing w:after="0"/>
        <w:ind w:right="302"/>
      </w:pPr>
      <w:r>
        <w:t xml:space="preserve">Овчаренко О.И. Об одном подходе к формированию и развитию профессиональных компетенций с использованием информационных технологий. [Текст] / Овчаренко О.И. //Актуальные направления научных исследований XXI века: теория и практика. - 2015. - </w:t>
      </w:r>
      <w:r>
        <w:t xml:space="preserve">Т.3. №9-1 (20-1). - С.216219.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spacing w:after="25" w:line="259" w:lineRule="auto"/>
        <w:ind w:left="10" w:right="308" w:hanging="10"/>
        <w:jc w:val="right"/>
      </w:pPr>
      <w:r>
        <w:rPr>
          <w:b/>
        </w:rPr>
        <w:t xml:space="preserve">Остапенко Я.В. </w:t>
      </w:r>
    </w:p>
    <w:p w:rsidR="002C0F56" w:rsidRDefault="00E67C6E">
      <w:pPr>
        <w:spacing w:after="11" w:line="270" w:lineRule="auto"/>
        <w:ind w:left="10" w:right="310" w:hanging="10"/>
        <w:jc w:val="right"/>
      </w:pPr>
      <w:r>
        <w:t xml:space="preserve">Научный руководитель: Долбня Н.В. </w:t>
      </w:r>
    </w:p>
    <w:p w:rsidR="002C0F56" w:rsidRDefault="00E67C6E">
      <w:pPr>
        <w:spacing w:after="0" w:line="267" w:lineRule="auto"/>
        <w:ind w:left="905" w:right="307" w:hanging="10"/>
        <w:jc w:val="right"/>
      </w:pPr>
      <w:r>
        <w:rPr>
          <w:i/>
        </w:rPr>
        <w:t xml:space="preserve">МОШ I-II ст. №45 </w:t>
      </w:r>
    </w:p>
    <w:p w:rsidR="002C0F56" w:rsidRDefault="00E67C6E">
      <w:pPr>
        <w:spacing w:after="0" w:line="259" w:lineRule="auto"/>
        <w:ind w:left="1558" w:firstLine="0"/>
        <w:jc w:val="left"/>
      </w:pPr>
      <w:r>
        <w:rPr>
          <w:b/>
        </w:rPr>
        <w:t xml:space="preserve"> </w:t>
      </w:r>
    </w:p>
    <w:p w:rsidR="002C0F56" w:rsidRDefault="00E67C6E">
      <w:pPr>
        <w:pStyle w:val="1"/>
        <w:spacing w:after="15" w:line="271" w:lineRule="auto"/>
        <w:ind w:left="1049" w:right="0"/>
        <w:jc w:val="left"/>
      </w:pPr>
      <w:r>
        <w:lastRenderedPageBreak/>
        <w:t xml:space="preserve">БИОИНДИКАЦИЯ ЗАГРЯЗНЕНИЯ ВОЗДУХА ПО СОСТОЯНИЮ ХВОИ </w:t>
      </w:r>
    </w:p>
    <w:p w:rsidR="002C0F56" w:rsidRDefault="00E67C6E">
      <w:pPr>
        <w:pStyle w:val="1"/>
        <w:ind w:left="700" w:right="2"/>
      </w:pPr>
      <w:r>
        <w:t xml:space="preserve">ЕЛИ ОБЫКНОВЕННОЙ </w:t>
      </w:r>
    </w:p>
    <w:p w:rsidR="002C0F56" w:rsidRDefault="00E67C6E">
      <w:pPr>
        <w:spacing w:after="0" w:line="259" w:lineRule="auto"/>
        <w:ind w:left="1558" w:firstLine="0"/>
        <w:jc w:val="left"/>
      </w:pPr>
      <w:r>
        <w:t xml:space="preserve"> </w:t>
      </w:r>
    </w:p>
    <w:p w:rsidR="002C0F56" w:rsidRDefault="00E67C6E">
      <w:pPr>
        <w:spacing w:after="1"/>
        <w:ind w:left="994" w:right="302"/>
      </w:pPr>
      <w:r>
        <w:t xml:space="preserve">Экологическая ситуация в городе Макеевке уже долгое время остается достаточно </w:t>
      </w:r>
      <w:r>
        <w:t>напряженной: мы повсеместно наблюдаем деградацию окружающей среды – чрезмерное загрязнение поверхностных и подземных вод, атмосферного воздуха и земель, накоплению в очень больших количествах вредных, в том числе токсичных отходов производства. Такие проце</w:t>
      </w:r>
      <w:r>
        <w:t>ссы продолжаются десятилетиями и приводят  к ухудшению здоровья людей, уменьшению рождаемости и увеличению смертности. Одной из острейших проблем города является загрязнение воздушного бассейна. Состояние атмосферного воздуха города Макеевка определяет соц</w:t>
      </w:r>
      <w:r>
        <w:t>иально-промышленный комплекс, сложившийся на территории города и характеризующийся определенными выбросами загрязняющих веществ  в атмосферу, а также метеорологические условия, существенно влияющие на перенос и рассеивание ЗВ. В воздушный бассейн города вы</w:t>
      </w:r>
      <w:r>
        <w:t>брасываются загрязняющие вещества широкого спектра, среди которых диоксид азота, который занимает ведущее место.  На март 2017  среднемесячная концентрация диоксида азота превысила среднесуточную предельно допустимую концентрацию (ПДК) в 3,5 раза, пыли в 2</w:t>
      </w:r>
      <w:r>
        <w:t xml:space="preserve">,0 раза, формальдегида в 1,4 раза и фенола в 1,3 раза [1]. Природа нашего города нуждается в защите. Вопросы охраны природы и ее ресурсов стали главными не только для ученых, но и для широких слоев населения, в том числе и школьников. </w:t>
      </w:r>
    </w:p>
    <w:p w:rsidR="002C0F56" w:rsidRDefault="00E67C6E">
      <w:pPr>
        <w:ind w:left="994" w:right="302"/>
      </w:pPr>
      <w:r>
        <w:t>В последние десятилетия антропогенное давление на окружающую среду резко возросло. Отсюда очевидна актуальность оценки экологического состояния территории городов и промышленных зон, ее дифференциация по этому признаку. Условия экологического стресса оказы</w:t>
      </w:r>
      <w:r>
        <w:t>вают значительное влияние на состояние древесных видов, их реакцию и адаптацию. Хвойные древесные растения являются хорошими биоиндикаторами благодаря способности многолетней хвои накапливать атмосферные поллютанты в течение длительного времени, что обусла</w:t>
      </w:r>
      <w:r>
        <w:t xml:space="preserve">вливает выбор их в качестве биоиндикаторов для оценки состояния воздушной среды [2,3].  </w:t>
      </w:r>
    </w:p>
    <w:p w:rsidR="002C0F56" w:rsidRDefault="00E67C6E">
      <w:pPr>
        <w:ind w:left="994" w:right="380"/>
      </w:pPr>
      <w:r>
        <w:t xml:space="preserve">Темой данной работы является обследование атмосферы города Макеевка  методом биоиндикации с помощью хвои хвойных пород деревьев, в частности  ели обыкновенной. </w:t>
      </w:r>
    </w:p>
    <w:p w:rsidR="002C0F56" w:rsidRDefault="00E67C6E">
      <w:pPr>
        <w:spacing w:after="0"/>
        <w:ind w:left="994" w:right="302"/>
      </w:pPr>
      <w:r>
        <w:t>Актуал</w:t>
      </w:r>
      <w:r>
        <w:t>ьность темы: охрана окружающей среды и контроль над уровнем ее загрязнения требует привлечения эффективных и недорогостоящих методов изучения природных комплексов. В настоящее время разработаны различные подходы к оценке экологического состояния окружающей</w:t>
      </w:r>
      <w:r>
        <w:t xml:space="preserve"> среды, среди которых одним из перспективных направлений является биоиндикация загрязнений, </w:t>
      </w:r>
      <w:r>
        <w:lastRenderedPageBreak/>
        <w:t>основанная на изучении различных биологических, физиологических, анатомических и других отклонений в развитии организмов, а также их сообществ, возникающих под дейс</w:t>
      </w:r>
      <w:r>
        <w:t xml:space="preserve">твием внешних факторов. Она включает в себя ряд относительно простых, дешевых и информативных методов оценки экологического состояния окружающей среды, основанных на изучение реакции организмов, возникающих в ответ на антропогенное воздействие.  </w:t>
      </w:r>
    </w:p>
    <w:p w:rsidR="002C0F56" w:rsidRDefault="00E67C6E">
      <w:pPr>
        <w:ind w:left="994" w:right="302"/>
      </w:pPr>
      <w:r>
        <w:t>Актуально</w:t>
      </w:r>
      <w:r>
        <w:t xml:space="preserve">сть вопроса использования метода биоиндикации подтверждает большое количество научных работ, диссертаций, книг по данной теме.  </w:t>
      </w:r>
    </w:p>
    <w:p w:rsidR="002C0F56" w:rsidRDefault="00E67C6E">
      <w:pPr>
        <w:ind w:left="994" w:right="302"/>
      </w:pPr>
      <w:r>
        <w:t>Целью данной работы является изучение и дача оценки состоянию атмосферы г. Макеевка методом биоиндикации с помощью хвойных поро</w:t>
      </w:r>
      <w:r>
        <w:t xml:space="preserve">д деревьев, в частности ели обыкновенной. </w:t>
      </w:r>
    </w:p>
    <w:p w:rsidR="002C0F56" w:rsidRDefault="00E67C6E">
      <w:pPr>
        <w:ind w:left="994" w:right="302"/>
      </w:pPr>
      <w:r>
        <w:t xml:space="preserve"> В процессе изучения данной проблемы и дальнейшего исследования выполнялись следующие задачи: </w:t>
      </w:r>
    </w:p>
    <w:p w:rsidR="002C0F56" w:rsidRDefault="00E67C6E">
      <w:pPr>
        <w:numPr>
          <w:ilvl w:val="0"/>
          <w:numId w:val="180"/>
        </w:numPr>
        <w:spacing w:after="58"/>
        <w:ind w:right="302"/>
      </w:pPr>
      <w:r>
        <w:t xml:space="preserve">Анализ научных данных об индикационных способностях ели обыкновенной. </w:t>
      </w:r>
    </w:p>
    <w:p w:rsidR="002C0F56" w:rsidRDefault="00E67C6E">
      <w:pPr>
        <w:numPr>
          <w:ilvl w:val="0"/>
          <w:numId w:val="180"/>
        </w:numPr>
        <w:spacing w:after="12"/>
        <w:ind w:right="302"/>
      </w:pPr>
      <w:r>
        <w:t xml:space="preserve">Подборка нужных методик биоиндикации.. </w:t>
      </w:r>
    </w:p>
    <w:p w:rsidR="002C0F56" w:rsidRDefault="00E67C6E">
      <w:pPr>
        <w:numPr>
          <w:ilvl w:val="0"/>
          <w:numId w:val="180"/>
        </w:numPr>
        <w:spacing w:after="57"/>
        <w:ind w:right="302"/>
      </w:pPr>
      <w:r>
        <w:t>Определ</w:t>
      </w:r>
      <w:r>
        <w:t xml:space="preserve">ение степени загрязнения атмосферного воздуха вблизи школы №45 г. Макеевка с помощью хвои ели обыкновенной. </w:t>
      </w:r>
    </w:p>
    <w:p w:rsidR="002C0F56" w:rsidRDefault="00E67C6E">
      <w:pPr>
        <w:numPr>
          <w:ilvl w:val="0"/>
          <w:numId w:val="180"/>
        </w:numPr>
        <w:spacing w:after="58"/>
        <w:ind w:right="302"/>
      </w:pPr>
      <w:r>
        <w:t xml:space="preserve">Объединение результатов, подведение итогов исследований и создание вывода о состоянии атмосферы </w:t>
      </w:r>
    </w:p>
    <w:p w:rsidR="002C0F56" w:rsidRDefault="00E67C6E">
      <w:pPr>
        <w:numPr>
          <w:ilvl w:val="0"/>
          <w:numId w:val="180"/>
        </w:numPr>
        <w:spacing w:after="12"/>
        <w:ind w:right="302"/>
      </w:pPr>
      <w:r>
        <w:t>Расширение интереса в области знаний о природе сво</w:t>
      </w:r>
      <w:r>
        <w:t xml:space="preserve">его края. </w:t>
      </w:r>
    </w:p>
    <w:p w:rsidR="002C0F56" w:rsidRDefault="00E67C6E">
      <w:pPr>
        <w:spacing w:after="9"/>
        <w:ind w:left="994" w:right="302"/>
      </w:pPr>
      <w:r>
        <w:t xml:space="preserve">Объектом исследования является атмосфера, результаты о состоянии которой, мы получили путем изучения степени повреждения хвои, ели обыкновенной. </w:t>
      </w:r>
    </w:p>
    <w:p w:rsidR="002C0F56" w:rsidRDefault="00E67C6E">
      <w:pPr>
        <w:spacing w:after="2"/>
        <w:ind w:left="994" w:right="302"/>
      </w:pPr>
      <w:r>
        <w:t>Для выполнения задач и подтверждения гипотезы в качестве оборудования и материалов мы использовали:</w:t>
      </w:r>
      <w:r>
        <w:t xml:space="preserve"> уже имеющиеся данные о биоиндикационных свойствах, методику «Биоиндикация воздушного загрязнения по состоянию хвои хвойных деревьев» (шкалу «Классы повреждения и усыхания хвои») [4,5]. </w:t>
      </w:r>
    </w:p>
    <w:p w:rsidR="002C0F56" w:rsidRDefault="00E67C6E">
      <w:pPr>
        <w:spacing w:after="0"/>
        <w:ind w:left="994" w:right="302"/>
      </w:pPr>
      <w:r>
        <w:t>Оценка качества воздуха в городских агломерациях как направление прио</w:t>
      </w:r>
      <w:r>
        <w:t>бретает все более важное значение в естественно-научных и экологических исследованиях. Большое внимание к данному направлению связано с наличием большого числа негативных факторов, приводящее к значительному ухудшению условий жизни населения и биоты в цело</w:t>
      </w:r>
      <w:r>
        <w:t>м. В процессе становления города происходит деградация не только воздушного бассейна, но и окружающей среды в целом. Причина этого кроется в интенсивном развитии транспорта и промышленности. Некоторые промышленные предприятия относятся к группе энергоемких</w:t>
      </w:r>
      <w:r>
        <w:t xml:space="preserve"> отраслей производства с большими объемами выбросов, сбросов и образующихся отходов. Состояние компонентов             природы – важный индикатор состояния и качества городской среды. Растение, особенно древесное, испытывающее антропогенный прессинг в тече</w:t>
      </w:r>
      <w:r>
        <w:t xml:space="preserve">ние долгих лет, реагирует на всю </w:t>
      </w:r>
      <w:r>
        <w:lastRenderedPageBreak/>
        <w:t xml:space="preserve">совокупность компонентов техногенной среды, в отличие от узкоспециализированных химических методов и физических приборов анализа. При этом чувствительность отдельных видов чрезвычайно высока – они способны реагировать даже </w:t>
      </w:r>
      <w:r>
        <w:t xml:space="preserve">на фоновое загрязнение [6]. </w:t>
      </w:r>
    </w:p>
    <w:p w:rsidR="002C0F56" w:rsidRDefault="00E67C6E">
      <w:pPr>
        <w:ind w:left="994" w:right="302"/>
      </w:pPr>
      <w:r>
        <w:t xml:space="preserve">Практическая часть. Для того чтобы оценить состояние воздуха  я выбрал 2 участка (таблица 1), где предположительно качество воздуха отличается. </w:t>
      </w:r>
    </w:p>
    <w:p w:rsidR="002C0F56" w:rsidRDefault="00E67C6E">
      <w:pPr>
        <w:spacing w:after="0"/>
        <w:ind w:left="994" w:right="302"/>
      </w:pPr>
      <w:r>
        <w:t>После определения участков работы был определен объект работы, которым является ел</w:t>
      </w:r>
      <w:r>
        <w:t>ь обыкновенная  (потому что она наиболее чувствительна к загрязнению). На каждом участке обследование проводилось на 5 взрослых елях.У каждого деревца анализ проводился по следующим показателям: потеря иголок и возраст иголок на ветви (таблица 2,3), повреж</w:t>
      </w:r>
      <w:r>
        <w:t xml:space="preserve">дение игл (таблица 4,5). </w:t>
      </w:r>
    </w:p>
    <w:p w:rsidR="002C0F56" w:rsidRDefault="00E67C6E">
      <w:pPr>
        <w:spacing w:after="0" w:line="259" w:lineRule="auto"/>
        <w:ind w:left="1558" w:firstLine="0"/>
        <w:jc w:val="left"/>
      </w:pPr>
      <w:r>
        <w:rPr>
          <w:i/>
        </w:rPr>
        <w:t xml:space="preserve"> </w:t>
      </w:r>
    </w:p>
    <w:p w:rsidR="002C0F56" w:rsidRDefault="00E67C6E">
      <w:pPr>
        <w:spacing w:after="5" w:line="271" w:lineRule="auto"/>
        <w:ind w:left="3234" w:right="396" w:hanging="10"/>
        <w:jc w:val="left"/>
      </w:pPr>
      <w:r>
        <w:rPr>
          <w:i/>
          <w:sz w:val="24"/>
        </w:rPr>
        <w:t xml:space="preserve">Таблица 1 – </w:t>
      </w:r>
      <w:r>
        <w:rPr>
          <w:b/>
          <w:sz w:val="24"/>
        </w:rPr>
        <w:t>Характеристика участков исследования</w:t>
      </w:r>
      <w:r>
        <w:rPr>
          <w:sz w:val="24"/>
        </w:rPr>
        <w:t xml:space="preserve"> </w:t>
      </w:r>
    </w:p>
    <w:tbl>
      <w:tblPr>
        <w:tblStyle w:val="TableGrid"/>
        <w:tblW w:w="9465" w:type="dxa"/>
        <w:tblInd w:w="1080" w:type="dxa"/>
        <w:tblCellMar>
          <w:top w:w="58" w:type="dxa"/>
          <w:left w:w="108" w:type="dxa"/>
          <w:bottom w:w="0" w:type="dxa"/>
          <w:right w:w="47" w:type="dxa"/>
        </w:tblCellMar>
        <w:tblLook w:val="04A0" w:firstRow="1" w:lastRow="0" w:firstColumn="1" w:lastColumn="0" w:noHBand="0" w:noVBand="1"/>
      </w:tblPr>
      <w:tblGrid>
        <w:gridCol w:w="3274"/>
        <w:gridCol w:w="3219"/>
        <w:gridCol w:w="2972"/>
      </w:tblGrid>
      <w:tr w:rsidR="002C0F56">
        <w:trPr>
          <w:trHeight w:val="286"/>
        </w:trPr>
        <w:tc>
          <w:tcPr>
            <w:tcW w:w="32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4" w:firstLine="0"/>
              <w:jc w:val="center"/>
            </w:pPr>
            <w:r>
              <w:rPr>
                <w:b/>
                <w:sz w:val="24"/>
              </w:rPr>
              <w:t xml:space="preserve">Номер участка </w:t>
            </w:r>
          </w:p>
        </w:tc>
        <w:tc>
          <w:tcPr>
            <w:tcW w:w="3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b/>
                <w:sz w:val="24"/>
              </w:rPr>
              <w:t xml:space="preserve">№1 </w:t>
            </w:r>
          </w:p>
        </w:tc>
        <w:tc>
          <w:tcPr>
            <w:tcW w:w="297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6" w:firstLine="0"/>
              <w:jc w:val="center"/>
            </w:pPr>
            <w:r>
              <w:rPr>
                <w:b/>
                <w:sz w:val="24"/>
              </w:rPr>
              <w:t xml:space="preserve">№2 </w:t>
            </w:r>
          </w:p>
        </w:tc>
      </w:tr>
      <w:tr w:rsidR="002C0F56">
        <w:trPr>
          <w:trHeight w:val="838"/>
        </w:trPr>
        <w:tc>
          <w:tcPr>
            <w:tcW w:w="32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left"/>
            </w:pPr>
            <w:r>
              <w:rPr>
                <w:sz w:val="24"/>
              </w:rPr>
              <w:t xml:space="preserve">Местоположение </w:t>
            </w:r>
            <w:r>
              <w:rPr>
                <w:sz w:val="24"/>
              </w:rPr>
              <w:tab/>
              <w:t xml:space="preserve">участка (приложите план местности с указанием участка) </w:t>
            </w:r>
          </w:p>
        </w:tc>
        <w:tc>
          <w:tcPr>
            <w:tcW w:w="3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ул. Московская </w:t>
            </w:r>
          </w:p>
          <w:p w:rsidR="002C0F56" w:rsidRDefault="00E67C6E">
            <w:pPr>
              <w:spacing w:after="0" w:line="259" w:lineRule="auto"/>
              <w:ind w:left="2" w:firstLine="0"/>
              <w:jc w:val="left"/>
            </w:pPr>
            <w:r>
              <w:rPr>
                <w:sz w:val="24"/>
              </w:rPr>
              <w:t xml:space="preserve"> </w:t>
            </w:r>
          </w:p>
          <w:p w:rsidR="002C0F56" w:rsidRDefault="00E67C6E">
            <w:pPr>
              <w:spacing w:after="0" w:line="259" w:lineRule="auto"/>
              <w:ind w:left="2" w:firstLine="0"/>
              <w:jc w:val="left"/>
            </w:pPr>
            <w:r>
              <w:rPr>
                <w:sz w:val="24"/>
              </w:rPr>
              <w:t xml:space="preserve"> </w:t>
            </w:r>
          </w:p>
        </w:tc>
        <w:tc>
          <w:tcPr>
            <w:tcW w:w="297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916" w:firstLine="0"/>
              <w:jc w:val="left"/>
            </w:pPr>
            <w:r>
              <w:rPr>
                <w:sz w:val="24"/>
              </w:rPr>
              <w:t xml:space="preserve">ул. Калинина, пос. Калиново </w:t>
            </w:r>
          </w:p>
        </w:tc>
      </w:tr>
      <w:tr w:rsidR="002C0F56">
        <w:trPr>
          <w:trHeight w:val="840"/>
        </w:trPr>
        <w:tc>
          <w:tcPr>
            <w:tcW w:w="3275" w:type="dxa"/>
            <w:tcBorders>
              <w:top w:val="single" w:sz="4" w:space="0" w:color="000000"/>
              <w:left w:val="single" w:sz="4" w:space="0" w:color="000000"/>
              <w:bottom w:val="single" w:sz="4" w:space="0" w:color="000000"/>
              <w:right w:val="single" w:sz="4" w:space="0" w:color="000000"/>
            </w:tcBorders>
          </w:tcPr>
          <w:p w:rsidR="002C0F56" w:rsidRDefault="00E67C6E">
            <w:pPr>
              <w:spacing w:after="46" w:line="238" w:lineRule="auto"/>
              <w:ind w:left="3" w:firstLine="0"/>
            </w:pPr>
            <w:r>
              <w:rPr>
                <w:sz w:val="24"/>
              </w:rPr>
              <w:t xml:space="preserve">Тип местообитания (парк, лесополоса, придорожные </w:t>
            </w:r>
          </w:p>
          <w:p w:rsidR="002C0F56" w:rsidRDefault="00E67C6E">
            <w:pPr>
              <w:spacing w:after="0" w:line="259" w:lineRule="auto"/>
              <w:ind w:left="3" w:firstLine="0"/>
              <w:jc w:val="left"/>
            </w:pPr>
            <w:r>
              <w:rPr>
                <w:sz w:val="24"/>
              </w:rPr>
              <w:t xml:space="preserve">насаждения, лес) </w:t>
            </w:r>
          </w:p>
        </w:tc>
        <w:tc>
          <w:tcPr>
            <w:tcW w:w="321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left"/>
            </w:pPr>
            <w:r>
              <w:rPr>
                <w:sz w:val="24"/>
              </w:rPr>
              <w:t xml:space="preserve">Придорожные насаждения </w:t>
            </w:r>
          </w:p>
        </w:tc>
        <w:tc>
          <w:tcPr>
            <w:tcW w:w="297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pPr>
            <w:r>
              <w:rPr>
                <w:sz w:val="24"/>
              </w:rPr>
              <w:t xml:space="preserve">Придорожные насаждения </w:t>
            </w:r>
          </w:p>
        </w:tc>
      </w:tr>
      <w:tr w:rsidR="002C0F56">
        <w:trPr>
          <w:trHeight w:val="562"/>
        </w:trPr>
        <w:tc>
          <w:tcPr>
            <w:tcW w:w="3275"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3119"/>
              </w:tabs>
              <w:spacing w:after="28" w:line="259" w:lineRule="auto"/>
              <w:ind w:left="0" w:firstLine="0"/>
              <w:jc w:val="left"/>
            </w:pPr>
            <w:r>
              <w:rPr>
                <w:sz w:val="24"/>
              </w:rPr>
              <w:t xml:space="preserve">Ближайшие </w:t>
            </w:r>
            <w:r>
              <w:rPr>
                <w:sz w:val="24"/>
              </w:rPr>
              <w:tab/>
              <w:t xml:space="preserve">источники </w:t>
            </w:r>
          </w:p>
          <w:p w:rsidR="002C0F56" w:rsidRDefault="00E67C6E">
            <w:pPr>
              <w:spacing w:after="0" w:line="259" w:lineRule="auto"/>
              <w:ind w:left="3" w:firstLine="0"/>
              <w:jc w:val="left"/>
            </w:pPr>
            <w:r>
              <w:rPr>
                <w:sz w:val="24"/>
              </w:rPr>
              <w:t xml:space="preserve">загрязнения воздуха </w:t>
            </w:r>
          </w:p>
        </w:tc>
        <w:tc>
          <w:tcPr>
            <w:tcW w:w="321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автодорога </w:t>
            </w:r>
          </w:p>
          <w:p w:rsidR="002C0F56" w:rsidRDefault="00E67C6E">
            <w:pPr>
              <w:spacing w:after="0" w:line="259" w:lineRule="auto"/>
              <w:ind w:left="2" w:firstLine="0"/>
              <w:jc w:val="left"/>
            </w:pPr>
            <w:r>
              <w:rPr>
                <w:sz w:val="24"/>
              </w:rPr>
              <w:t xml:space="preserve"> </w:t>
            </w:r>
          </w:p>
        </w:tc>
        <w:tc>
          <w:tcPr>
            <w:tcW w:w="297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автодорога </w:t>
            </w:r>
          </w:p>
        </w:tc>
      </w:tr>
    </w:tbl>
    <w:p w:rsidR="002C0F56" w:rsidRDefault="00E67C6E">
      <w:pPr>
        <w:spacing w:after="0" w:line="259" w:lineRule="auto"/>
        <w:ind w:left="1558" w:firstLine="0"/>
        <w:jc w:val="left"/>
      </w:pPr>
      <w:r>
        <w:t xml:space="preserve"> </w:t>
      </w:r>
    </w:p>
    <w:p w:rsidR="002C0F56" w:rsidRDefault="00E67C6E">
      <w:pPr>
        <w:spacing w:after="5" w:line="271" w:lineRule="auto"/>
        <w:ind w:left="1131" w:right="396" w:hanging="10"/>
        <w:jc w:val="left"/>
      </w:pPr>
      <w:r>
        <w:rPr>
          <w:i/>
          <w:sz w:val="24"/>
        </w:rPr>
        <w:t xml:space="preserve">Таблица 2 – </w:t>
      </w:r>
      <w:r>
        <w:rPr>
          <w:b/>
          <w:sz w:val="24"/>
        </w:rPr>
        <w:t xml:space="preserve">Характеристика потери иголок и возраст иголок на ветви для участка №1 </w:t>
      </w:r>
    </w:p>
    <w:tbl>
      <w:tblPr>
        <w:tblStyle w:val="TableGrid"/>
        <w:tblW w:w="6291" w:type="dxa"/>
        <w:tblInd w:w="2667" w:type="dxa"/>
        <w:tblCellMar>
          <w:top w:w="14" w:type="dxa"/>
          <w:left w:w="108" w:type="dxa"/>
          <w:bottom w:w="0" w:type="dxa"/>
          <w:right w:w="48" w:type="dxa"/>
        </w:tblCellMar>
        <w:tblLook w:val="04A0" w:firstRow="1" w:lastRow="0" w:firstColumn="1" w:lastColumn="0" w:noHBand="0" w:noVBand="1"/>
      </w:tblPr>
      <w:tblGrid>
        <w:gridCol w:w="3545"/>
        <w:gridCol w:w="336"/>
        <w:gridCol w:w="336"/>
        <w:gridCol w:w="336"/>
        <w:gridCol w:w="336"/>
        <w:gridCol w:w="336"/>
        <w:gridCol w:w="1066"/>
      </w:tblGrid>
      <w:tr w:rsidR="002C0F56">
        <w:trPr>
          <w:trHeight w:val="622"/>
        </w:trPr>
        <w:tc>
          <w:tcPr>
            <w:tcW w:w="354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left"/>
            </w:pPr>
            <w:r>
              <w:rPr>
                <w:sz w:val="24"/>
              </w:rPr>
              <w:t xml:space="preserve">Номер дерева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3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4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5 </w:t>
            </w:r>
          </w:p>
        </w:tc>
        <w:tc>
          <w:tcPr>
            <w:tcW w:w="10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pPr>
            <w:r>
              <w:rPr>
                <w:sz w:val="24"/>
              </w:rPr>
              <w:t xml:space="preserve">Среднее </w:t>
            </w:r>
          </w:p>
        </w:tc>
      </w:tr>
      <w:tr w:rsidR="002C0F56">
        <w:trPr>
          <w:trHeight w:val="614"/>
        </w:trPr>
        <w:tc>
          <w:tcPr>
            <w:tcW w:w="354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left"/>
            </w:pPr>
            <w:r>
              <w:rPr>
                <w:sz w:val="24"/>
              </w:rPr>
              <w:t xml:space="preserve">Потеря игл, класс (1,2,3)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3 </w:t>
            </w:r>
          </w:p>
        </w:tc>
        <w:tc>
          <w:tcPr>
            <w:tcW w:w="10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r>
      <w:tr w:rsidR="002C0F56">
        <w:trPr>
          <w:trHeight w:val="286"/>
        </w:trPr>
        <w:tc>
          <w:tcPr>
            <w:tcW w:w="35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Продолжительность жизни хвои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10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r>
    </w:tbl>
    <w:p w:rsidR="002C0F56" w:rsidRDefault="00E67C6E">
      <w:pPr>
        <w:spacing w:after="0" w:line="259" w:lineRule="auto"/>
        <w:ind w:left="1558" w:firstLine="0"/>
        <w:jc w:val="left"/>
      </w:pPr>
      <w:r>
        <w:rPr>
          <w:i/>
        </w:rPr>
        <w:t xml:space="preserve"> </w:t>
      </w:r>
    </w:p>
    <w:p w:rsidR="002C0F56" w:rsidRDefault="00E67C6E">
      <w:pPr>
        <w:spacing w:after="5" w:line="271" w:lineRule="auto"/>
        <w:ind w:left="1131" w:right="396" w:hanging="10"/>
        <w:jc w:val="left"/>
      </w:pPr>
      <w:r>
        <w:rPr>
          <w:i/>
          <w:sz w:val="24"/>
        </w:rPr>
        <w:t xml:space="preserve">Таблица 3 – </w:t>
      </w:r>
      <w:r>
        <w:rPr>
          <w:b/>
          <w:sz w:val="24"/>
        </w:rPr>
        <w:t xml:space="preserve">Характеристика потери иголок и возраст иголок на ветви для участка №2 </w:t>
      </w:r>
    </w:p>
    <w:tbl>
      <w:tblPr>
        <w:tblStyle w:val="TableGrid"/>
        <w:tblW w:w="6291" w:type="dxa"/>
        <w:tblInd w:w="2667" w:type="dxa"/>
        <w:tblCellMar>
          <w:top w:w="14" w:type="dxa"/>
          <w:left w:w="108" w:type="dxa"/>
          <w:bottom w:w="0" w:type="dxa"/>
          <w:right w:w="48" w:type="dxa"/>
        </w:tblCellMar>
        <w:tblLook w:val="04A0" w:firstRow="1" w:lastRow="0" w:firstColumn="1" w:lastColumn="0" w:noHBand="0" w:noVBand="1"/>
      </w:tblPr>
      <w:tblGrid>
        <w:gridCol w:w="3545"/>
        <w:gridCol w:w="336"/>
        <w:gridCol w:w="336"/>
        <w:gridCol w:w="336"/>
        <w:gridCol w:w="336"/>
        <w:gridCol w:w="336"/>
        <w:gridCol w:w="1066"/>
      </w:tblGrid>
      <w:tr w:rsidR="002C0F56">
        <w:trPr>
          <w:trHeight w:val="620"/>
        </w:trPr>
        <w:tc>
          <w:tcPr>
            <w:tcW w:w="35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Номер дерева </w:t>
            </w:r>
          </w:p>
          <w:p w:rsidR="002C0F56" w:rsidRDefault="00E67C6E">
            <w:pPr>
              <w:spacing w:after="0" w:line="259" w:lineRule="auto"/>
              <w:ind w:left="2" w:firstLine="0"/>
              <w:jc w:val="left"/>
            </w:pPr>
            <w:r>
              <w:rPr>
                <w:sz w:val="24"/>
              </w:rPr>
              <w:t xml:space="preserve">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3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4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5 </w:t>
            </w:r>
          </w:p>
        </w:tc>
        <w:tc>
          <w:tcPr>
            <w:tcW w:w="10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pPr>
            <w:r>
              <w:rPr>
                <w:sz w:val="24"/>
              </w:rPr>
              <w:t xml:space="preserve">Среднее </w:t>
            </w:r>
          </w:p>
        </w:tc>
      </w:tr>
      <w:tr w:rsidR="002C0F56">
        <w:trPr>
          <w:trHeight w:val="617"/>
        </w:trPr>
        <w:tc>
          <w:tcPr>
            <w:tcW w:w="354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2" w:firstLine="0"/>
              <w:jc w:val="left"/>
            </w:pPr>
            <w:r>
              <w:rPr>
                <w:sz w:val="24"/>
              </w:rPr>
              <w:t xml:space="preserve">Потеря игл, класс (1,2,3)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2 </w:t>
            </w:r>
          </w:p>
        </w:tc>
        <w:tc>
          <w:tcPr>
            <w:tcW w:w="33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c>
          <w:tcPr>
            <w:tcW w:w="106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left"/>
            </w:pPr>
            <w:r>
              <w:rPr>
                <w:sz w:val="24"/>
              </w:rPr>
              <w:t xml:space="preserve">1 </w:t>
            </w:r>
          </w:p>
        </w:tc>
      </w:tr>
      <w:tr w:rsidR="002C0F56">
        <w:trPr>
          <w:trHeight w:val="286"/>
        </w:trPr>
        <w:tc>
          <w:tcPr>
            <w:tcW w:w="35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pPr>
            <w:r>
              <w:rPr>
                <w:sz w:val="24"/>
              </w:rPr>
              <w:t xml:space="preserve">Продолжительность жизни хвои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3 </w:t>
            </w:r>
          </w:p>
        </w:tc>
        <w:tc>
          <w:tcPr>
            <w:tcW w:w="33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c>
          <w:tcPr>
            <w:tcW w:w="106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4 </w:t>
            </w:r>
          </w:p>
        </w:tc>
      </w:tr>
    </w:tbl>
    <w:p w:rsidR="002C0F56" w:rsidRDefault="00E67C6E">
      <w:pPr>
        <w:spacing w:after="0" w:line="259" w:lineRule="auto"/>
        <w:ind w:left="1558" w:firstLine="0"/>
        <w:jc w:val="left"/>
      </w:pPr>
      <w:r>
        <w:rPr>
          <w:i/>
        </w:rPr>
        <w:t xml:space="preserve"> </w:t>
      </w:r>
    </w:p>
    <w:p w:rsidR="002C0F56" w:rsidRDefault="00E67C6E">
      <w:pPr>
        <w:spacing w:after="0" w:line="259" w:lineRule="auto"/>
        <w:ind w:left="1558" w:firstLine="0"/>
        <w:jc w:val="left"/>
      </w:pPr>
      <w:r>
        <w:rPr>
          <w:i/>
        </w:rPr>
        <w:t xml:space="preserve"> </w:t>
      </w:r>
    </w:p>
    <w:p w:rsidR="002C0F56" w:rsidRDefault="00E67C6E">
      <w:pPr>
        <w:spacing w:after="0" w:line="259" w:lineRule="auto"/>
        <w:ind w:left="1558" w:firstLine="0"/>
        <w:jc w:val="left"/>
      </w:pPr>
      <w:r>
        <w:rPr>
          <w:i/>
        </w:rPr>
        <w:t xml:space="preserve"> </w:t>
      </w:r>
    </w:p>
    <w:p w:rsidR="002C0F56" w:rsidRDefault="00E67C6E">
      <w:pPr>
        <w:pStyle w:val="4"/>
        <w:ind w:left="1181" w:right="9"/>
      </w:pPr>
      <w:r>
        <w:rPr>
          <w:b w:val="0"/>
          <w:i/>
        </w:rPr>
        <w:lastRenderedPageBreak/>
        <w:t xml:space="preserve">Таблица 4 – </w:t>
      </w:r>
      <w:r>
        <w:t>Характеристика повреждения хвои</w:t>
      </w:r>
      <w:r>
        <w:rPr>
          <w:b w:val="0"/>
        </w:rPr>
        <w:t xml:space="preserve"> </w:t>
      </w:r>
    </w:p>
    <w:tbl>
      <w:tblPr>
        <w:tblStyle w:val="TableGrid"/>
        <w:tblW w:w="8627" w:type="dxa"/>
        <w:tblInd w:w="1500" w:type="dxa"/>
        <w:tblCellMar>
          <w:top w:w="53" w:type="dxa"/>
          <w:left w:w="108" w:type="dxa"/>
          <w:bottom w:w="0" w:type="dxa"/>
          <w:right w:w="53" w:type="dxa"/>
        </w:tblCellMar>
        <w:tblLook w:val="04A0" w:firstRow="1" w:lastRow="0" w:firstColumn="1" w:lastColumn="0" w:noHBand="0" w:noVBand="1"/>
      </w:tblPr>
      <w:tblGrid>
        <w:gridCol w:w="6337"/>
        <w:gridCol w:w="1145"/>
        <w:gridCol w:w="1145"/>
      </w:tblGrid>
      <w:tr w:rsidR="002C0F56">
        <w:trPr>
          <w:trHeight w:val="564"/>
        </w:trPr>
        <w:tc>
          <w:tcPr>
            <w:tcW w:w="633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b/>
                <w:sz w:val="24"/>
              </w:rPr>
              <w:t xml:space="preserve">Классы повреждения хвои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 1 участок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 2 участок </w:t>
            </w:r>
          </w:p>
        </w:tc>
      </w:tr>
      <w:tr w:rsidR="002C0F56">
        <w:trPr>
          <w:trHeight w:val="360"/>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Общее число обследованных хвоинок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2" w:firstLine="0"/>
              <w:jc w:val="center"/>
            </w:pPr>
            <w:r>
              <w:rPr>
                <w:sz w:val="24"/>
              </w:rPr>
              <w:t xml:space="preserve">200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6" w:firstLine="0"/>
              <w:jc w:val="center"/>
            </w:pPr>
            <w:r>
              <w:rPr>
                <w:sz w:val="24"/>
              </w:rPr>
              <w:t xml:space="preserve">200 </w:t>
            </w:r>
          </w:p>
        </w:tc>
      </w:tr>
      <w:tr w:rsidR="002C0F56">
        <w:trPr>
          <w:trHeight w:val="3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хвоинки без пятен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2" w:firstLine="0"/>
              <w:jc w:val="center"/>
            </w:pPr>
            <w:r>
              <w:rPr>
                <w:sz w:val="24"/>
              </w:rPr>
              <w:t xml:space="preserve">80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6" w:firstLine="0"/>
              <w:jc w:val="center"/>
            </w:pPr>
            <w:r>
              <w:rPr>
                <w:sz w:val="24"/>
              </w:rPr>
              <w:t xml:space="preserve">166 </w:t>
            </w:r>
          </w:p>
        </w:tc>
      </w:tr>
      <w:tr w:rsidR="002C0F56">
        <w:trPr>
          <w:trHeight w:val="3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хвоинки с небольшим числом мелких пятен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2" w:firstLine="0"/>
              <w:jc w:val="center"/>
            </w:pPr>
            <w:r>
              <w:rPr>
                <w:sz w:val="24"/>
              </w:rPr>
              <w:t xml:space="preserve">60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6" w:firstLine="0"/>
              <w:jc w:val="center"/>
            </w:pPr>
            <w:r>
              <w:rPr>
                <w:sz w:val="24"/>
              </w:rPr>
              <w:t xml:space="preserve">30 </w:t>
            </w:r>
          </w:p>
        </w:tc>
      </w:tr>
      <w:tr w:rsidR="002C0F56">
        <w:trPr>
          <w:trHeight w:val="5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хвоинки с большим числом черных и желтых пятен, некоторые из них крупные – </w:t>
            </w:r>
            <w:r>
              <w:rPr>
                <w:sz w:val="24"/>
              </w:rPr>
              <w:t xml:space="preserve">во всю ширину хвоинки </w:t>
            </w:r>
          </w:p>
        </w:tc>
        <w:tc>
          <w:tcPr>
            <w:tcW w:w="114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2" w:firstLine="0"/>
              <w:jc w:val="center"/>
            </w:pPr>
            <w:r>
              <w:rPr>
                <w:sz w:val="24"/>
              </w:rPr>
              <w:t xml:space="preserve">60 </w:t>
            </w:r>
          </w:p>
        </w:tc>
        <w:tc>
          <w:tcPr>
            <w:tcW w:w="1145"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6" w:firstLine="0"/>
              <w:jc w:val="center"/>
            </w:pPr>
            <w:r>
              <w:rPr>
                <w:sz w:val="24"/>
              </w:rPr>
              <w:t xml:space="preserve">4 </w:t>
            </w:r>
          </w:p>
        </w:tc>
      </w:tr>
      <w:tr w:rsidR="002C0F56">
        <w:trPr>
          <w:trHeight w:val="38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Количество пораженных хвоинок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2" w:firstLine="0"/>
              <w:jc w:val="center"/>
            </w:pPr>
            <w:r>
              <w:rPr>
                <w:sz w:val="24"/>
              </w:rPr>
              <w:t xml:space="preserve">120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6" w:firstLine="0"/>
              <w:jc w:val="center"/>
            </w:pPr>
            <w:r>
              <w:rPr>
                <w:sz w:val="24"/>
              </w:rPr>
              <w:t xml:space="preserve">34 </w:t>
            </w:r>
          </w:p>
        </w:tc>
      </w:tr>
      <w:tr w:rsidR="002C0F56">
        <w:trPr>
          <w:trHeight w:val="384"/>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Процент  пораженных  хвоинок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2" w:firstLine="0"/>
              <w:jc w:val="center"/>
            </w:pPr>
            <w:r>
              <w:rPr>
                <w:sz w:val="24"/>
              </w:rPr>
              <w:t xml:space="preserve">60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6" w:firstLine="0"/>
              <w:jc w:val="center"/>
            </w:pPr>
            <w:r>
              <w:rPr>
                <w:sz w:val="24"/>
              </w:rPr>
              <w:t xml:space="preserve">17 </w:t>
            </w:r>
          </w:p>
        </w:tc>
      </w:tr>
    </w:tbl>
    <w:p w:rsidR="002C0F56" w:rsidRDefault="00E67C6E">
      <w:pPr>
        <w:spacing w:after="0" w:line="259" w:lineRule="auto"/>
        <w:ind w:left="1558" w:firstLine="0"/>
        <w:jc w:val="left"/>
      </w:pPr>
      <w:r>
        <w:rPr>
          <w:i/>
        </w:rPr>
        <w:t xml:space="preserve"> </w:t>
      </w:r>
    </w:p>
    <w:p w:rsidR="002C0F56" w:rsidRDefault="00E67C6E">
      <w:pPr>
        <w:pStyle w:val="4"/>
        <w:ind w:left="1181" w:right="1"/>
      </w:pPr>
      <w:r>
        <w:rPr>
          <w:b w:val="0"/>
          <w:i/>
        </w:rPr>
        <w:t xml:space="preserve">Таблица 5 – </w:t>
      </w:r>
      <w:r>
        <w:t>Характеристика усыхания хвои</w:t>
      </w:r>
      <w:r>
        <w:rPr>
          <w:b w:val="0"/>
        </w:rPr>
        <w:t xml:space="preserve"> </w:t>
      </w:r>
    </w:p>
    <w:tbl>
      <w:tblPr>
        <w:tblStyle w:val="TableGrid"/>
        <w:tblW w:w="8627" w:type="dxa"/>
        <w:tblInd w:w="1500" w:type="dxa"/>
        <w:tblCellMar>
          <w:top w:w="53" w:type="dxa"/>
          <w:left w:w="108" w:type="dxa"/>
          <w:bottom w:w="0" w:type="dxa"/>
          <w:right w:w="113" w:type="dxa"/>
        </w:tblCellMar>
        <w:tblLook w:val="04A0" w:firstRow="1" w:lastRow="0" w:firstColumn="1" w:lastColumn="0" w:noHBand="0" w:noVBand="1"/>
      </w:tblPr>
      <w:tblGrid>
        <w:gridCol w:w="6337"/>
        <w:gridCol w:w="1145"/>
        <w:gridCol w:w="1145"/>
      </w:tblGrid>
      <w:tr w:rsidR="002C0F56">
        <w:trPr>
          <w:trHeight w:val="562"/>
        </w:trPr>
        <w:tc>
          <w:tcPr>
            <w:tcW w:w="633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6" w:firstLine="0"/>
              <w:jc w:val="center"/>
            </w:pPr>
            <w:r>
              <w:rPr>
                <w:sz w:val="24"/>
              </w:rPr>
              <w:t>Классы усыхания  хвои</w:t>
            </w:r>
            <w:r>
              <w:rPr>
                <w:b/>
                <w:sz w:val="24"/>
              </w:rPr>
              <w:t xml:space="preserve">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 1 участок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 2 участок </w:t>
            </w:r>
          </w:p>
        </w:tc>
      </w:tr>
      <w:tr w:rsidR="002C0F56">
        <w:trPr>
          <w:trHeight w:val="3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Общее число обследованных хвоинок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200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200 </w:t>
            </w:r>
          </w:p>
        </w:tc>
      </w:tr>
      <w:tr w:rsidR="002C0F56">
        <w:trPr>
          <w:trHeight w:val="3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нет сухих участков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80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166 </w:t>
            </w:r>
          </w:p>
        </w:tc>
      </w:tr>
      <w:tr w:rsidR="002C0F56">
        <w:trPr>
          <w:trHeight w:val="360"/>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усох кончик 2-5 мм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56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22 </w:t>
            </w:r>
          </w:p>
        </w:tc>
      </w:tr>
      <w:tr w:rsidR="002C0F56">
        <w:trPr>
          <w:trHeight w:val="3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усохла треть хвоинки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6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8 </w:t>
            </w:r>
          </w:p>
        </w:tc>
      </w:tr>
      <w:tr w:rsidR="002C0F56">
        <w:trPr>
          <w:trHeight w:val="36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вся хвоинка жесткая или более половины ее длины – сухая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58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4 </w:t>
            </w:r>
          </w:p>
        </w:tc>
      </w:tr>
      <w:tr w:rsidR="002C0F56">
        <w:trPr>
          <w:trHeight w:val="382"/>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Количество пораженных хвоинок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120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34 </w:t>
            </w:r>
          </w:p>
        </w:tc>
      </w:tr>
      <w:tr w:rsidR="002C0F56">
        <w:trPr>
          <w:trHeight w:val="384"/>
        </w:trPr>
        <w:tc>
          <w:tcPr>
            <w:tcW w:w="63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Процент  пораженных  хвоинок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7" w:firstLine="0"/>
              <w:jc w:val="center"/>
            </w:pPr>
            <w:r>
              <w:rPr>
                <w:sz w:val="24"/>
              </w:rPr>
              <w:t xml:space="preserve">60 </w:t>
            </w:r>
          </w:p>
        </w:tc>
        <w:tc>
          <w:tcPr>
            <w:tcW w:w="114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3" w:firstLine="0"/>
              <w:jc w:val="center"/>
            </w:pPr>
            <w:r>
              <w:rPr>
                <w:sz w:val="24"/>
              </w:rPr>
              <w:t xml:space="preserve">17 </w:t>
            </w:r>
          </w:p>
        </w:tc>
      </w:tr>
    </w:tbl>
    <w:p w:rsidR="002C0F56" w:rsidRDefault="00E67C6E">
      <w:pPr>
        <w:spacing w:after="0" w:line="259" w:lineRule="auto"/>
        <w:ind w:left="1558" w:firstLine="0"/>
        <w:jc w:val="left"/>
      </w:pPr>
      <w:r>
        <w:t xml:space="preserve"> </w:t>
      </w:r>
    </w:p>
    <w:p w:rsidR="002C0F56" w:rsidRDefault="00E67C6E">
      <w:pPr>
        <w:spacing w:after="0"/>
        <w:ind w:left="994" w:right="302"/>
      </w:pPr>
      <w:r>
        <w:t>Заключение и выводы. Методы биоиндикации являются важными в проведение экологического мониторинга, в последнее время они получили широкое признание и распространённость. Какой бы современной ни была аппаратура для контроля загрязнения и определения вредных</w:t>
      </w:r>
      <w:r>
        <w:t xml:space="preserve"> примесей в окружающей среде, она не может сравниться со сложно устроенным «живым прибором», реагирующим на те или иные изменения, отражающим воздействие всего комплекса факторов, включая сложные соединения различных ингредиентов. </w:t>
      </w:r>
    </w:p>
    <w:p w:rsidR="002C0F56" w:rsidRDefault="00E67C6E">
      <w:pPr>
        <w:ind w:left="994" w:right="302"/>
      </w:pPr>
      <w:r>
        <w:t xml:space="preserve">В качестве биоиндикатора окружающей среды нами была использована ель обыкновенная. В ходе работы определены участки исследований в г.Макеевка. </w:t>
      </w:r>
    </w:p>
    <w:p w:rsidR="002C0F56" w:rsidRDefault="00E67C6E">
      <w:pPr>
        <w:spacing w:after="12"/>
        <w:ind w:left="1558" w:right="302" w:firstLine="0"/>
      </w:pPr>
      <w:r>
        <w:t xml:space="preserve">По результатам наших исследований были сделаны следующие выводы: </w:t>
      </w:r>
    </w:p>
    <w:p w:rsidR="002C0F56" w:rsidRDefault="00E67C6E">
      <w:pPr>
        <w:spacing w:after="10"/>
        <w:ind w:left="994" w:right="302"/>
      </w:pPr>
      <w:r>
        <w:t>а) провели анализ научных данных об индикацион</w:t>
      </w:r>
      <w:r>
        <w:t xml:space="preserve">ных способностях ели обыкновенной и выяснили, что она являются чутким и удобным для проведения исследований биоиндикаторами; </w:t>
      </w:r>
    </w:p>
    <w:p w:rsidR="002C0F56" w:rsidRDefault="00E67C6E">
      <w:pPr>
        <w:ind w:left="1558" w:right="302" w:firstLine="0"/>
      </w:pPr>
      <w:r>
        <w:t xml:space="preserve">б) подобрали нужные методики исследования (методику «Биоиндикация </w:t>
      </w:r>
    </w:p>
    <w:p w:rsidR="002C0F56" w:rsidRDefault="00E67C6E">
      <w:pPr>
        <w:spacing w:after="12"/>
        <w:ind w:left="994" w:right="302" w:firstLine="0"/>
      </w:pPr>
      <w:r>
        <w:lastRenderedPageBreak/>
        <w:t xml:space="preserve">воздушного загрязнения по состоянию хвои хвойных деревьев»); </w:t>
      </w:r>
    </w:p>
    <w:p w:rsidR="002C0F56" w:rsidRDefault="00E67C6E">
      <w:pPr>
        <w:ind w:left="1558" w:right="302" w:firstLine="0"/>
      </w:pPr>
      <w:r>
        <w:t>в</w:t>
      </w:r>
      <w:r>
        <w:t xml:space="preserve">) с помощью данного типа биоиндикации нами была обследована </w:t>
      </w:r>
    </w:p>
    <w:p w:rsidR="002C0F56" w:rsidRDefault="00E67C6E">
      <w:pPr>
        <w:ind w:left="994" w:right="302" w:firstLine="0"/>
      </w:pPr>
      <w:r>
        <w:t xml:space="preserve">центральная часть г.Макеевка и пос.Калиново; </w:t>
      </w:r>
    </w:p>
    <w:p w:rsidR="002C0F56" w:rsidRDefault="00E67C6E">
      <w:pPr>
        <w:ind w:left="994" w:right="302"/>
      </w:pPr>
      <w:r>
        <w:t xml:space="preserve">г) в качестве биоиндикаторов мы взяли несколько представителей вида (ель обыкновенная, или европейская. </w:t>
      </w:r>
    </w:p>
    <w:p w:rsidR="002C0F56" w:rsidRDefault="00E67C6E">
      <w:pPr>
        <w:spacing w:after="7"/>
        <w:ind w:left="994" w:right="302"/>
      </w:pPr>
      <w:r>
        <w:t xml:space="preserve">д) в результате мы получили, что максимальный возраст хвои у елей 4 года в пос. Калиново и 3 в центре города. Процент поврежденной хвои по ул. Калинина не превышает 17%, а по ул. Московская – 60%.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Список литературы:</w:t>
      </w:r>
      <w:r>
        <w:rPr>
          <w:i/>
        </w:rPr>
        <w:t xml:space="preserve"> </w:t>
      </w:r>
    </w:p>
    <w:p w:rsidR="002C0F56" w:rsidRDefault="00E67C6E">
      <w:pPr>
        <w:numPr>
          <w:ilvl w:val="0"/>
          <w:numId w:val="181"/>
        </w:numPr>
        <w:ind w:right="302"/>
      </w:pPr>
      <w:r>
        <w:t>Состояние атмосферного воздуха в г.</w:t>
      </w:r>
      <w:r>
        <w:t xml:space="preserve"> Макеевке в марте 2017 года </w:t>
      </w:r>
    </w:p>
    <w:p w:rsidR="002C0F56" w:rsidRDefault="00E67C6E">
      <w:pPr>
        <w:tabs>
          <w:tab w:val="center" w:pos="1853"/>
          <w:tab w:val="center" w:pos="3551"/>
          <w:tab w:val="center" w:pos="5346"/>
          <w:tab w:val="center" w:pos="7063"/>
          <w:tab w:val="center" w:pos="8398"/>
          <w:tab w:val="center" w:pos="9408"/>
          <w:tab w:val="center" w:pos="10238"/>
        </w:tabs>
        <w:spacing w:after="12"/>
        <w:ind w:left="0" w:firstLine="0"/>
        <w:jc w:val="left"/>
      </w:pPr>
      <w:r>
        <w:rPr>
          <w:rFonts w:ascii="Calibri" w:eastAsia="Calibri" w:hAnsi="Calibri" w:cs="Calibri"/>
          <w:sz w:val="22"/>
        </w:rPr>
        <w:tab/>
      </w:r>
      <w:r>
        <w:t xml:space="preserve">[Электронный </w:t>
      </w:r>
      <w:r>
        <w:tab/>
        <w:t xml:space="preserve">ресурс]: </w:t>
      </w:r>
      <w:r>
        <w:tab/>
        <w:t xml:space="preserve">Администрация </w:t>
      </w:r>
      <w:r>
        <w:tab/>
        <w:t xml:space="preserve">города </w:t>
      </w:r>
      <w:r>
        <w:tab/>
        <w:t xml:space="preserve">Макеевка </w:t>
      </w:r>
      <w:r>
        <w:tab/>
        <w:t xml:space="preserve">– </w:t>
      </w:r>
      <w:r>
        <w:tab/>
        <w:t xml:space="preserve">Режим </w:t>
      </w:r>
    </w:p>
    <w:p w:rsidR="002C0F56" w:rsidRDefault="00E67C6E">
      <w:pPr>
        <w:ind w:left="994" w:right="302" w:firstLine="0"/>
      </w:pPr>
      <w:r>
        <w:t>доступа: http://makeyevka.ru/novosti/novosti-ekologia/18347-sostoyanieatmosfernogo-vozdukha-v-g-makeevke-v-marte-2017-goda– Название с домашней страницы Интерн</w:t>
      </w:r>
      <w:r>
        <w:t xml:space="preserve">ета.   </w:t>
      </w:r>
    </w:p>
    <w:p w:rsidR="002C0F56" w:rsidRDefault="00E67C6E">
      <w:pPr>
        <w:numPr>
          <w:ilvl w:val="0"/>
          <w:numId w:val="181"/>
        </w:numPr>
        <w:ind w:right="302"/>
      </w:pPr>
      <w:r>
        <w:t xml:space="preserve">Алексеев С.В. Практикум по экологии /  С.В. Алексеев, Н.В. Груздева,             А.Г. Муравьев, Э.В Гущина – М.: АО МДС, 1996.   –192 с. </w:t>
      </w:r>
    </w:p>
    <w:p w:rsidR="002C0F56" w:rsidRDefault="00E67C6E">
      <w:pPr>
        <w:numPr>
          <w:ilvl w:val="0"/>
          <w:numId w:val="181"/>
        </w:numPr>
        <w:ind w:right="302"/>
      </w:pPr>
      <w:r>
        <w:t xml:space="preserve">Воронков Н.А. Экология общая, социальная, прикладная: Учебник для студентов высших учебных заведений. Пособие </w:t>
      </w:r>
      <w:r>
        <w:t xml:space="preserve">для учителей / Н.А Воронков – М.:Агар, 1999 – 424 с.  </w:t>
      </w:r>
    </w:p>
    <w:p w:rsidR="002C0F56" w:rsidRDefault="00E67C6E">
      <w:pPr>
        <w:numPr>
          <w:ilvl w:val="0"/>
          <w:numId w:val="181"/>
        </w:numPr>
        <w:ind w:right="302"/>
      </w:pPr>
      <w:r>
        <w:t xml:space="preserve">Реймерс Н.Ф. Основные биологические понятия и термины /             Н.Ф. Реймерс  – М.:Просвещение,1998 – 319 с.; </w:t>
      </w:r>
    </w:p>
    <w:p w:rsidR="002C0F56" w:rsidRDefault="00E67C6E">
      <w:pPr>
        <w:numPr>
          <w:ilvl w:val="0"/>
          <w:numId w:val="181"/>
        </w:numPr>
        <w:ind w:right="302"/>
      </w:pPr>
      <w:r>
        <w:t>Федорос Е.И. Экология в экспериментах: учебное пособие для учащихся 10-11 классов обще</w:t>
      </w:r>
      <w:r>
        <w:t xml:space="preserve">образовательных учреждений / Е.И. Федорос, Г.А.   Нечаева – М.: Вентана-Граф, 2007.– 384 с.  </w:t>
      </w:r>
    </w:p>
    <w:p w:rsidR="002C0F56" w:rsidRDefault="00E67C6E">
      <w:pPr>
        <w:numPr>
          <w:ilvl w:val="0"/>
          <w:numId w:val="181"/>
        </w:numPr>
        <w:ind w:right="302"/>
      </w:pPr>
      <w:r>
        <w:t xml:space="preserve">Василевская Н. В. Оценка стабильности развития популяций Pinus sylvestris L. в условиях аэротехногенного загрязнения (Мурманская область) / Н.В.Василевская, Ю.М. </w:t>
      </w:r>
      <w:r>
        <w:t xml:space="preserve"> Тумарова // Труды Карельского научного центра РАН. Cер. Б. Биогеография Карелии. Вып. 7. Петрозаводск, 2005. С. 7-11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25" w:line="259" w:lineRule="auto"/>
        <w:ind w:right="305"/>
        <w:jc w:val="right"/>
      </w:pPr>
      <w:r>
        <w:t xml:space="preserve">Острикова А.Е. </w:t>
      </w:r>
      <w:r>
        <w:rPr>
          <w:b w:val="0"/>
        </w:rPr>
        <w:t xml:space="preserve">Научный руководитель: Лыхач Н.С.  </w:t>
      </w:r>
    </w:p>
    <w:p w:rsidR="002C0F56" w:rsidRDefault="00E67C6E">
      <w:pPr>
        <w:spacing w:after="5" w:line="269" w:lineRule="auto"/>
        <w:ind w:left="3349" w:hanging="10"/>
        <w:jc w:val="left"/>
      </w:pPr>
      <w:r>
        <w:rPr>
          <w:i/>
        </w:rPr>
        <w:t xml:space="preserve">Макеевская общеобразовательная школа I-III ступеней №72 </w:t>
      </w:r>
    </w:p>
    <w:p w:rsidR="002C0F56" w:rsidRDefault="00E67C6E">
      <w:pPr>
        <w:spacing w:after="0" w:line="259" w:lineRule="auto"/>
        <w:ind w:left="1558" w:firstLine="0"/>
        <w:jc w:val="left"/>
      </w:pPr>
      <w:r>
        <w:rPr>
          <w:i/>
        </w:rPr>
        <w:t xml:space="preserve"> </w:t>
      </w:r>
    </w:p>
    <w:p w:rsidR="002C0F56" w:rsidRDefault="00E67C6E">
      <w:pPr>
        <w:pStyle w:val="1"/>
        <w:spacing w:after="15" w:line="271" w:lineRule="auto"/>
        <w:ind w:left="1494" w:right="0"/>
        <w:jc w:val="left"/>
      </w:pPr>
      <w:r>
        <w:t xml:space="preserve">РАЗВИТИЕ СПОСОБНОСТЕЙ И ТАЛАНТА ЭКОНОМИЧЕСКОЙ НАПРАВЛЕННОСТИ В МОЛОДЁЖНОЙ СРЕДЕ </w:t>
      </w:r>
    </w:p>
    <w:p w:rsidR="002C0F56" w:rsidRDefault="00E67C6E">
      <w:pPr>
        <w:spacing w:after="25" w:line="259" w:lineRule="auto"/>
        <w:ind w:left="1558" w:firstLine="0"/>
        <w:jc w:val="left"/>
      </w:pPr>
      <w:r>
        <w:t xml:space="preserve"> </w:t>
      </w:r>
    </w:p>
    <w:p w:rsidR="002C0F56" w:rsidRDefault="00E67C6E">
      <w:pPr>
        <w:ind w:left="994" w:right="302"/>
      </w:pPr>
      <w:r>
        <w:t xml:space="preserve">В современном мире молодёжь - не только объект воспитания,  образования и социализации, но и основной потенциал экономического развития общества. </w:t>
      </w:r>
    </w:p>
    <w:p w:rsidR="002C0F56" w:rsidRDefault="00E67C6E">
      <w:pPr>
        <w:spacing w:after="0"/>
        <w:ind w:left="994" w:right="302"/>
      </w:pPr>
      <w:r>
        <w:lastRenderedPageBreak/>
        <w:t>Молодежь — это поколение л</w:t>
      </w:r>
      <w:r>
        <w:t>юдей, проходящих стадию взросления, усвоения знаний, социальных ценностей и норм, необходимых для того, чтобы состояться как полноценный и полноправный член общества.  «Молодёжь как социальную группу выделяют чаще всего социологи и относят к ней людей в во</w:t>
      </w:r>
      <w:r>
        <w:t xml:space="preserve">зрасте от 16 до 25 лет (некоторые исследователи включают в неё людей до 30 лет). </w:t>
      </w:r>
    </w:p>
    <w:p w:rsidR="002C0F56" w:rsidRDefault="00E67C6E">
      <w:pPr>
        <w:spacing w:after="10"/>
        <w:ind w:left="994" w:right="302"/>
      </w:pPr>
      <w:r>
        <w:t>Молодость</w:t>
      </w:r>
      <w:r>
        <w:rPr>
          <w:b/>
        </w:rPr>
        <w:t xml:space="preserve"> – </w:t>
      </w:r>
      <w:r>
        <w:t>это определенный этап биологической жизни человека, но ее конкретные возрастные рамки, связанный с ней социальный статус и социально-психологические особенности з</w:t>
      </w:r>
      <w:r>
        <w:t xml:space="preserve">ависят от социальных условий» [1]. </w:t>
      </w:r>
    </w:p>
    <w:p w:rsidR="002C0F56" w:rsidRDefault="00E67C6E">
      <w:pPr>
        <w:ind w:left="994" w:right="302"/>
      </w:pPr>
      <w:r>
        <w:t xml:space="preserve">Одним из направлений инкрустификации  (становления личности) у подростка является развитие талантов и способностей, которые в дальнейшем повлияют на выбор профессии и карьерный рост.  </w:t>
      </w:r>
    </w:p>
    <w:p w:rsidR="002C0F56" w:rsidRDefault="00E67C6E">
      <w:pPr>
        <w:ind w:left="994" w:right="302"/>
      </w:pPr>
      <w:r>
        <w:t xml:space="preserve">Данная проблема была, есть и будет </w:t>
      </w:r>
      <w:r>
        <w:t>актуальна</w:t>
      </w:r>
      <w:r>
        <w:rPr>
          <w:b/>
        </w:rPr>
        <w:t xml:space="preserve"> </w:t>
      </w:r>
      <w:r>
        <w:t>во все времена, потому что наравне с юношеским максимализмом, который испытывают все подростки, каждый человек в возрасте от 12 до 19 лет ищет способы самовыражения, самоутверждения, персонификации – осознание своей индивидуальности и неповторимо</w:t>
      </w:r>
      <w:r>
        <w:t xml:space="preserve">сти. </w:t>
      </w:r>
    </w:p>
    <w:p w:rsidR="002C0F56" w:rsidRDefault="00E67C6E">
      <w:pPr>
        <w:ind w:left="1558" w:right="302" w:firstLine="0"/>
      </w:pPr>
      <w:r>
        <w:t xml:space="preserve">Объект исследования – молодёжная среда. </w:t>
      </w:r>
    </w:p>
    <w:p w:rsidR="002C0F56" w:rsidRDefault="00E67C6E">
      <w:pPr>
        <w:ind w:left="1558" w:right="302" w:firstLine="0"/>
      </w:pPr>
      <w:r>
        <w:t xml:space="preserve">Предмет – карьерный выбор.  </w:t>
      </w:r>
    </w:p>
    <w:p w:rsidR="002C0F56" w:rsidRDefault="00E67C6E">
      <w:pPr>
        <w:ind w:left="994" w:right="302"/>
      </w:pPr>
      <w:r>
        <w:t xml:space="preserve">Цель работы – проследить, как можно развить способности и талант экономической направленности в молодёжной среде. </w:t>
      </w:r>
    </w:p>
    <w:p w:rsidR="002C0F56" w:rsidRDefault="00E67C6E">
      <w:pPr>
        <w:spacing w:after="12"/>
        <w:ind w:left="1558" w:right="302" w:firstLine="0"/>
      </w:pPr>
      <w:r>
        <w:t xml:space="preserve">Метод научного познания – эмпирический (анализ и синтез, </w:t>
      </w:r>
      <w:r>
        <w:t xml:space="preserve">сравнение). </w:t>
      </w:r>
    </w:p>
    <w:p w:rsidR="002C0F56" w:rsidRDefault="00E67C6E">
      <w:pPr>
        <w:ind w:left="994" w:right="302"/>
      </w:pPr>
      <w:r>
        <w:t>Выбрать профессию достаточно сложно, но, чтобы не ошибиться, человек должен руководствоваться личными стремлениями и желаниями; анализировать свои способности и уметь развить в себе определённый талант, который в будущем поможет подняться ввер</w:t>
      </w:r>
      <w:r>
        <w:t xml:space="preserve">х по карьерной лестнице и получать удовольствие от любимой работы, </w:t>
      </w:r>
    </w:p>
    <w:p w:rsidR="002C0F56" w:rsidRDefault="00E67C6E">
      <w:pPr>
        <w:ind w:left="994" w:right="302"/>
      </w:pPr>
      <w:r>
        <w:t xml:space="preserve">Советский психолог А.Н. Леонтьев классифицировал способности человека на: </w:t>
      </w:r>
    </w:p>
    <w:p w:rsidR="002C0F56" w:rsidRDefault="00E67C6E">
      <w:pPr>
        <w:numPr>
          <w:ilvl w:val="0"/>
          <w:numId w:val="182"/>
        </w:numPr>
        <w:ind w:right="302"/>
      </w:pPr>
      <w:r>
        <w:t xml:space="preserve">природные (естественные): восприятие, память, основы коммуникации; </w:t>
      </w:r>
    </w:p>
    <w:p w:rsidR="002C0F56" w:rsidRDefault="00E67C6E">
      <w:pPr>
        <w:numPr>
          <w:ilvl w:val="0"/>
          <w:numId w:val="182"/>
        </w:numPr>
        <w:ind w:right="302"/>
      </w:pPr>
      <w:r>
        <w:t xml:space="preserve">общие (влияют на успешность выполнения различных видов деятельности): память, волевые качества, грамотная речь, работоспособность; </w:t>
      </w:r>
    </w:p>
    <w:p w:rsidR="002C0F56" w:rsidRDefault="00E67C6E">
      <w:pPr>
        <w:numPr>
          <w:ilvl w:val="0"/>
          <w:numId w:val="182"/>
        </w:numPr>
        <w:spacing w:after="9"/>
        <w:ind w:right="302"/>
      </w:pPr>
      <w:r>
        <w:t>специальные (определяют успех человека в специфических видах деятельности, для осуществления которых необходимы задатки особ</w:t>
      </w:r>
      <w:r>
        <w:t xml:space="preserve">ого рода: музыкальные, художественно-творческие, спортивные) [3].. </w:t>
      </w:r>
    </w:p>
    <w:p w:rsidR="002C0F56" w:rsidRDefault="00E67C6E">
      <w:pPr>
        <w:ind w:left="994" w:right="302"/>
      </w:pPr>
      <w:r>
        <w:t>Чтобы быть специалистом в своей отрасли, человек должен постоянно самосовершенствоваться.</w:t>
      </w:r>
      <w:r>
        <w:rPr>
          <w:b/>
        </w:rPr>
        <w:t xml:space="preserve"> </w:t>
      </w:r>
      <w:r>
        <w:t xml:space="preserve"> Рассмотрим детальнее развитие таланта экономиста на основе данного вида  способностей.  </w:t>
      </w:r>
    </w:p>
    <w:p w:rsidR="002C0F56" w:rsidRDefault="00E67C6E">
      <w:pPr>
        <w:ind w:left="994" w:right="302"/>
      </w:pPr>
      <w:r>
        <w:lastRenderedPageBreak/>
        <w:t>Талант</w:t>
      </w:r>
      <w:r>
        <w:rPr>
          <w:b/>
        </w:rPr>
        <w:t xml:space="preserve"> </w:t>
      </w:r>
      <w:r>
        <w:t>—</w:t>
      </w:r>
      <w:r>
        <w:t xml:space="preserve"> определённые способности, которые раскрываются с приобретением навыка и опыта.  </w:t>
      </w:r>
    </w:p>
    <w:p w:rsidR="002C0F56" w:rsidRDefault="00E67C6E">
      <w:pPr>
        <w:ind w:left="994" w:right="302"/>
      </w:pPr>
      <w:r>
        <w:t xml:space="preserve">Г. Гарднер в книге «Структура разума. Теория множественного интеллекта» определил следующие типы таланта:  </w:t>
      </w:r>
    </w:p>
    <w:p w:rsidR="002C0F56" w:rsidRDefault="00E67C6E">
      <w:pPr>
        <w:numPr>
          <w:ilvl w:val="0"/>
          <w:numId w:val="183"/>
        </w:numPr>
        <w:ind w:right="302"/>
      </w:pPr>
      <w:r>
        <w:t>вербально-лингвистический (отвечает за способность писать и читать</w:t>
      </w:r>
      <w:r>
        <w:t xml:space="preserve">, присущ журналистам, писателям и юристам); </w:t>
      </w:r>
    </w:p>
    <w:p w:rsidR="002C0F56" w:rsidRDefault="00E67C6E">
      <w:pPr>
        <w:numPr>
          <w:ilvl w:val="0"/>
          <w:numId w:val="183"/>
        </w:numPr>
        <w:ind w:right="302"/>
      </w:pPr>
      <w:r>
        <w:t xml:space="preserve">цифровой (характерен для математиков, программистов); </w:t>
      </w:r>
    </w:p>
    <w:p w:rsidR="002C0F56" w:rsidRDefault="00E67C6E">
      <w:pPr>
        <w:numPr>
          <w:ilvl w:val="0"/>
          <w:numId w:val="183"/>
        </w:numPr>
        <w:ind w:right="302"/>
      </w:pPr>
      <w:r>
        <w:t xml:space="preserve">слуховой (музыканты, лингвисты, языковеды); </w:t>
      </w:r>
    </w:p>
    <w:p w:rsidR="002C0F56" w:rsidRDefault="00E67C6E">
      <w:pPr>
        <w:numPr>
          <w:ilvl w:val="0"/>
          <w:numId w:val="183"/>
        </w:numPr>
        <w:ind w:right="302"/>
      </w:pPr>
      <w:r>
        <w:t xml:space="preserve">пространственный (присущ дизайнерам и художникам);  </w:t>
      </w:r>
    </w:p>
    <w:p w:rsidR="002C0F56" w:rsidRDefault="00E67C6E">
      <w:pPr>
        <w:numPr>
          <w:ilvl w:val="0"/>
          <w:numId w:val="183"/>
        </w:numPr>
        <w:ind w:right="302"/>
      </w:pPr>
      <w:r>
        <w:t>физический (им наделены спортсмены и танцоры, эти люди лег</w:t>
      </w:r>
      <w:r>
        <w:t xml:space="preserve">че обучаются на практике);  </w:t>
      </w:r>
    </w:p>
    <w:p w:rsidR="002C0F56" w:rsidRDefault="00E67C6E">
      <w:pPr>
        <w:numPr>
          <w:ilvl w:val="0"/>
          <w:numId w:val="183"/>
        </w:numPr>
        <w:ind w:right="302"/>
      </w:pPr>
      <w:r>
        <w:t xml:space="preserve">личностный (его также называют эмоциональным, отвечает за то, что человек говорит сам себе, внутреннее «я»); </w:t>
      </w:r>
    </w:p>
    <w:p w:rsidR="002C0F56" w:rsidRDefault="00E67C6E">
      <w:pPr>
        <w:numPr>
          <w:ilvl w:val="0"/>
          <w:numId w:val="183"/>
        </w:numPr>
        <w:ind w:right="302"/>
      </w:pPr>
      <w:r>
        <w:t xml:space="preserve">межличностный (люди с этим талантом часто становятся политиками, ораторами, торговцами, актерами);  </w:t>
      </w:r>
    </w:p>
    <w:p w:rsidR="002C0F56" w:rsidRDefault="00E67C6E">
      <w:pPr>
        <w:numPr>
          <w:ilvl w:val="0"/>
          <w:numId w:val="183"/>
        </w:numPr>
        <w:ind w:right="302"/>
      </w:pPr>
      <w:r>
        <w:t>талант окружающе</w:t>
      </w:r>
      <w:r>
        <w:t xml:space="preserve">й среды (этим талантом бывают наделены дрессировщики, земледельцы) [2]. </w:t>
      </w:r>
    </w:p>
    <w:p w:rsidR="002C0F56" w:rsidRDefault="00E67C6E">
      <w:pPr>
        <w:ind w:left="994" w:right="302"/>
      </w:pPr>
      <w:r>
        <w:t>Во-первых, специальные способности являются индивидуальнопсихологическими особенностями каждого индивида. Они достигнут совершенства лишь тогда, когда человек сам будет стремиться к и</w:t>
      </w:r>
      <w:r>
        <w:t>х развитию, иначе они никогда не станут талантами. По статистике, свыше 30% процентов  студентов экономических ВУЗов работают не по специальности, так как в процессе обучения  у них возникла ненависть к экономике. Как результат, время потрачено зря, мораль</w:t>
      </w:r>
      <w:r>
        <w:t xml:space="preserve">ного удовлетворения никакого. А ведь главное назначение любого вида деятельности – это приносить пользу и доставлять радость! </w:t>
      </w:r>
    </w:p>
    <w:p w:rsidR="002C0F56" w:rsidRDefault="00E67C6E">
      <w:pPr>
        <w:ind w:left="994" w:right="302"/>
      </w:pPr>
      <w:r>
        <w:t>Во-</w:t>
      </w:r>
      <w:r>
        <w:t xml:space="preserve">вторых, чтобы способности стали талантами, необходимо постоянно повторять и расширять познания в определённой сфере деятельности. Это очень важно, так как нашей памяти свойственно забывать ту или иную информацию. </w:t>
      </w:r>
    </w:p>
    <w:p w:rsidR="002C0F56" w:rsidRDefault="00E67C6E">
      <w:pPr>
        <w:ind w:left="994" w:right="302"/>
      </w:pPr>
      <w:r>
        <w:t>В-третьих, на пути к самоусовершенствовани</w:t>
      </w:r>
      <w:r>
        <w:t>ю встречается ряд преград, которые необходимо преодолеть. Забыл слова на важном выступлении, сломался микрофон во время чтения доклада, раскритиковало жюри на конкурсе вашу научную работу, над которой вы трудились полгода – всё это кажется концом света для</w:t>
      </w:r>
      <w:r>
        <w:t xml:space="preserve"> подростка, психика которого только формируется. В данных ситуациях главное собрать волю в кулак и двигаться дальше. Возможно, излить душу друзьям, родным, психологам, то есть таким людям, которые поймут, подскажут и помогут пережить трудный момент в жизни</w:t>
      </w:r>
      <w:r>
        <w:t xml:space="preserve">. </w:t>
      </w:r>
    </w:p>
    <w:p w:rsidR="002C0F56" w:rsidRDefault="00E67C6E">
      <w:pPr>
        <w:ind w:left="994" w:right="302"/>
      </w:pPr>
      <w:r>
        <w:t xml:space="preserve">В-четвёртых, при выборе математических специальностей у вас должен быть соответствующий склад ума. Но это не значит, что вам нужно </w:t>
      </w:r>
      <w:r>
        <w:lastRenderedPageBreak/>
        <w:t>зацикливаться только на чём-то одном. Необходимо чередовать разные виды деятельности. И это не будет отвлекать от развития</w:t>
      </w:r>
      <w:r>
        <w:t xml:space="preserve"> таланта в выбранной сфере. Например, вы решили усовершенствовать математические способности. Зубрёжка формул с утра до вечера не даст никакой эффективности.  Нужно чередовать разные виды деятельности, ведь любое занятие приносит определённую пользу. Напри</w:t>
      </w:r>
      <w:r>
        <w:t xml:space="preserve">мер, рисуя, развивается внимание; занимаясь спортом, возрастает сила воли, появляется мотивация; изучая языки, улучшается память. Но всё-таки вы должны большее внимание уделять развитию цифрового таланта. </w:t>
      </w:r>
    </w:p>
    <w:p w:rsidR="002C0F56" w:rsidRDefault="00E67C6E">
      <w:pPr>
        <w:spacing w:after="0"/>
        <w:ind w:left="994" w:right="302"/>
      </w:pPr>
      <w:r>
        <w:t>В-пятых, успех любого дела зависит от того, наскол</w:t>
      </w:r>
      <w:r>
        <w:t xml:space="preserve">ько рационально мы будем распределять свое время. Естественно, если вы просидели за компьютером целый день, играя в различные игры, то ваши математические способности совершенно не улучшаться.  </w:t>
      </w:r>
    </w:p>
    <w:p w:rsidR="002C0F56" w:rsidRDefault="00E67C6E">
      <w:pPr>
        <w:ind w:left="994" w:right="302"/>
      </w:pPr>
      <w:r>
        <w:t>Таким образом, чтобы развить способности и талант экономическ</w:t>
      </w:r>
      <w:r>
        <w:t xml:space="preserve">ой направленности в молодёжной среде, необходимо: </w:t>
      </w:r>
    </w:p>
    <w:p w:rsidR="002C0F56" w:rsidRDefault="00E67C6E">
      <w:pPr>
        <w:numPr>
          <w:ilvl w:val="0"/>
          <w:numId w:val="184"/>
        </w:numPr>
        <w:ind w:right="302"/>
      </w:pPr>
      <w:r>
        <w:t xml:space="preserve">учитывать личностные психологические качества и стремление человека к самосовершенствованию; </w:t>
      </w:r>
    </w:p>
    <w:p w:rsidR="002C0F56" w:rsidRDefault="00E67C6E">
      <w:pPr>
        <w:numPr>
          <w:ilvl w:val="0"/>
          <w:numId w:val="184"/>
        </w:numPr>
        <w:ind w:right="302"/>
      </w:pPr>
      <w:r>
        <w:t xml:space="preserve">постоянно повторять и расширять познания в определённой сфере деятельности; </w:t>
      </w:r>
    </w:p>
    <w:p w:rsidR="002C0F56" w:rsidRDefault="00E67C6E">
      <w:pPr>
        <w:numPr>
          <w:ilvl w:val="0"/>
          <w:numId w:val="184"/>
        </w:numPr>
        <w:ind w:right="302"/>
      </w:pPr>
      <w:r>
        <w:t>уметь преодолевать неудачи на пути</w:t>
      </w:r>
      <w:r>
        <w:t xml:space="preserve"> к самоусовершенствованию; 4) чередовать разные виды деятельности; 5) рационально распределять своё время. </w:t>
      </w:r>
    </w:p>
    <w:p w:rsidR="002C0F56" w:rsidRDefault="00E67C6E">
      <w:pPr>
        <w:spacing w:after="25"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85"/>
        </w:numPr>
        <w:ind w:right="302"/>
      </w:pPr>
      <w:r>
        <w:t xml:space="preserve">Боголюбов Л. Н., Лазебникова А. Ю., Кинкулькин А. Т. и др.. Обществознание: учеб. для 11 кл., -  М., 2008.  – 335с </w:t>
      </w:r>
    </w:p>
    <w:p w:rsidR="002C0F56" w:rsidRDefault="00E67C6E">
      <w:pPr>
        <w:numPr>
          <w:ilvl w:val="0"/>
          <w:numId w:val="185"/>
        </w:numPr>
        <w:ind w:right="302"/>
      </w:pPr>
      <w:r>
        <w:t>Гарднер Г.</w:t>
      </w:r>
      <w:r>
        <w:t xml:space="preserve"> Структура разума. Теория множественного интеллекта: учеб. пособие, - М: «Вильямс»,  2007. – 801с. </w:t>
      </w:r>
    </w:p>
    <w:p w:rsidR="002C0F56" w:rsidRDefault="00E67C6E">
      <w:pPr>
        <w:numPr>
          <w:ilvl w:val="0"/>
          <w:numId w:val="185"/>
        </w:numPr>
        <w:ind w:right="302"/>
      </w:pPr>
      <w:r>
        <w:t xml:space="preserve">Леонтьев А.Н. Деятельность. Сознание. Личность: учеб. пособие, - М.: Политиздат, 1975. – 304 с.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7"/>
        <w:jc w:val="right"/>
      </w:pPr>
      <w:r>
        <w:t xml:space="preserve">Пальчик Д.В. </w:t>
      </w:r>
      <w:r>
        <w:rPr>
          <w:b w:val="0"/>
        </w:rPr>
        <w:t xml:space="preserve">Научный руководитель: Дорофеев В.Г., к.э.н., доц.  </w:t>
      </w:r>
    </w:p>
    <w:p w:rsidR="002C0F56" w:rsidRDefault="00E67C6E">
      <w:pPr>
        <w:spacing w:after="0" w:line="267" w:lineRule="auto"/>
        <w:ind w:left="905" w:right="312" w:hanging="10"/>
        <w:jc w:val="right"/>
      </w:pPr>
      <w:r>
        <w:rPr>
          <w:i/>
        </w:rPr>
        <w:t xml:space="preserve">Белорусский Государственный Экономический Университет </w:t>
      </w:r>
    </w:p>
    <w:p w:rsidR="002C0F56" w:rsidRDefault="00E67C6E">
      <w:pPr>
        <w:spacing w:after="0" w:line="259" w:lineRule="auto"/>
        <w:ind w:left="1558" w:firstLine="0"/>
        <w:jc w:val="left"/>
      </w:pPr>
      <w:r>
        <w:rPr>
          <w:b/>
        </w:rPr>
        <w:t xml:space="preserve"> </w:t>
      </w:r>
    </w:p>
    <w:p w:rsidR="002C0F56" w:rsidRDefault="00E67C6E">
      <w:pPr>
        <w:pStyle w:val="1"/>
        <w:ind w:left="700" w:right="4"/>
      </w:pPr>
      <w:r>
        <w:t xml:space="preserve">СУЩНОСТЬ ИННОВАЦИОННОГО ПОТЕНЦИАЛА В ЭКОНОМИКЕ ЗНАНИЙ </w:t>
      </w:r>
    </w:p>
    <w:p w:rsidR="002C0F56" w:rsidRDefault="00E67C6E">
      <w:pPr>
        <w:spacing w:after="0" w:line="259" w:lineRule="auto"/>
        <w:ind w:left="1558" w:firstLine="0"/>
        <w:jc w:val="left"/>
      </w:pPr>
      <w:r>
        <w:t xml:space="preserve"> </w:t>
      </w:r>
    </w:p>
    <w:p w:rsidR="002C0F56" w:rsidRDefault="00E67C6E">
      <w:pPr>
        <w:ind w:left="994" w:right="302"/>
      </w:pPr>
      <w:r>
        <w:lastRenderedPageBreak/>
        <w:t>В последнее десятилетие проблемы инновационного развития, поиск путей преодоления технолог</w:t>
      </w:r>
      <w:r>
        <w:t>ической отсталости через формирование и развитие инновационного потенциала служили предметом особого внимания экономистов всего мира. Еще в 1980-е гг. стало очевидным, что уровень развития и динамизм инновационной сферы — науки, новых технологий, наукоемки</w:t>
      </w:r>
      <w:r>
        <w:t xml:space="preserve">х отраслей и компаний — обеспечивают основу устойчивого экономического роста.  </w:t>
      </w:r>
    </w:p>
    <w:p w:rsidR="002C0F56" w:rsidRDefault="00E67C6E">
      <w:pPr>
        <w:spacing w:after="10"/>
        <w:ind w:left="994" w:right="302"/>
      </w:pPr>
      <w:r>
        <w:t>Сегодня многие ученые, эксперты, политики начинают говорить о новом типе экономики — «экономике знаний», или инновационной экономике, основу которой составляет инновационный по</w:t>
      </w:r>
      <w:r>
        <w:t xml:space="preserve">тенциал, а главным залогом обеспечения высокого, устойчивого и качественного экономического роста становятся интеллектуальные ресурсы, наукоемкие и информационные технологии.  </w:t>
      </w:r>
    </w:p>
    <w:p w:rsidR="002C0F56" w:rsidRDefault="00E67C6E">
      <w:pPr>
        <w:spacing w:after="12"/>
        <w:ind w:left="1558" w:right="302" w:firstLine="0"/>
      </w:pPr>
      <w:r>
        <w:t xml:space="preserve">В теории и практике инновационный потенциал взаимосвязан с понятием </w:t>
      </w:r>
    </w:p>
    <w:p w:rsidR="002C0F56" w:rsidRDefault="00E67C6E">
      <w:pPr>
        <w:spacing w:after="0"/>
        <w:ind w:left="994" w:right="302" w:firstLine="0"/>
      </w:pPr>
      <w:r>
        <w:t>«инновацио</w:t>
      </w:r>
      <w:r>
        <w:t>нные ресурсы» и многие авторы достаточно часто путают эти понятия, несмотря на глубокую взаимосвязь — это все же разные определения и значения с точки зрения управленческой и инновационной науки. «Инновационный потенциал» и «инновационный ресурс» — это раз</w:t>
      </w:r>
      <w:r>
        <w:t>ные инструменты управленческой деятельности. В экономической теории и финансовом менеджменте также выделяют научно-технический, производственный, природно-ресурсный, трудовой потенциалы. В широком смысле под потенциалом понимается способность хозяйствующег</w:t>
      </w:r>
      <w:r>
        <w:t>о субъекта наиболее эффективно реализовывать одну или другую функциональную цель при большем использовании имеющихся экономических ресурсов. Инновационный потенциал организации проявляется в сильных сторонах и внутренних инновационных возможностях. Развити</w:t>
      </w:r>
      <w:r>
        <w:t>е инновационного потенциала организации, в общем, ориентировано на улучшение финансовых показателей предприятия, а в частности: росте прибыльности и рентабельности. Это не только позволяет принимать грамотные управленческие решения, как на оперативном, так</w:t>
      </w:r>
      <w:r>
        <w:t xml:space="preserve"> и на стратегическом уровне, но и создавать новые продукты, товары и услуги ориентированные на инновационный потенциал. Инновационный потенциал реализуется через инновационную деятельность или инновационную активность. </w:t>
      </w:r>
    </w:p>
    <w:p w:rsidR="002C0F56" w:rsidRDefault="00E67C6E">
      <w:pPr>
        <w:spacing w:after="14"/>
        <w:ind w:left="994" w:right="302"/>
      </w:pPr>
      <w:r>
        <w:t>Для определения рациональных размеро</w:t>
      </w:r>
      <w:r>
        <w:t>в инновационного потенциала, который должна иметь эффективно функционирующая макроэкономическая система, а также для получения корректных оценок влияния инновационного потенциала на развитие национальной экономики, необходимо иметь четкое определение, во-п</w:t>
      </w:r>
      <w:r>
        <w:t xml:space="preserve">ервых, понятия инновационного потенциала, а во-вторых, его состава. </w:t>
      </w:r>
    </w:p>
    <w:p w:rsidR="002C0F56" w:rsidRDefault="00E67C6E">
      <w:pPr>
        <w:spacing w:after="10"/>
        <w:ind w:left="994" w:right="302"/>
      </w:pPr>
      <w:r>
        <w:t xml:space="preserve">Вопросы формирования и развития инновационного потенциала как отражение сущности инновационной экономики находят широкое представление в работах отечественных и зарубежных авторов.  </w:t>
      </w:r>
    </w:p>
    <w:p w:rsidR="002C0F56" w:rsidRDefault="00E67C6E">
      <w:pPr>
        <w:spacing w:after="0"/>
        <w:ind w:left="994" w:right="302"/>
      </w:pPr>
      <w:r>
        <w:lastRenderedPageBreak/>
        <w:t>Тако</w:t>
      </w:r>
      <w:r>
        <w:t>е определение, как «инновационный потенциал содержит неиспользованные, скрытые возможности накопленных ресурсов, которые могут быть приведены в действие для достижения целей экономических субъектов», также свидетельствует о наличии неоднозначности в понима</w:t>
      </w:r>
      <w:r>
        <w:t>нии сущности инновационного потенциала. Данное обстоятельство в значительной мере затрудняет выработку практических рекомендаций по формированию и эффективному использованию инновационного потенциала и, таким образом, негативно сказывается на конечных резу</w:t>
      </w:r>
      <w:r>
        <w:t xml:space="preserve">льтатах инновационной деятельности. </w:t>
      </w:r>
    </w:p>
    <w:p w:rsidR="002C0F56" w:rsidRDefault="00E67C6E">
      <w:pPr>
        <w:ind w:left="994" w:right="302"/>
      </w:pPr>
      <w:r>
        <w:t xml:space="preserve">Отмеченное обусловливает необходимость проведения дополнительного исследования инновационного потенциала как объекта управления, при этом прежде всего подлежат содержание и классификация инновационного потенциала. </w:t>
      </w:r>
    </w:p>
    <w:p w:rsidR="002C0F56" w:rsidRDefault="00E67C6E">
      <w:pPr>
        <w:spacing w:after="0"/>
        <w:ind w:left="994" w:right="302"/>
      </w:pPr>
      <w:r>
        <w:t>Научно-технический прогресс меняет масштабы и структуру производства, оказывает существенное влияние на состояние всей мировой экономики. В ведущих индустриальных странах становление инновационной экономики в значительной мере обусловлено изменением эконом</w:t>
      </w:r>
      <w:r>
        <w:t xml:space="preserve">ической роли инноваций, темпов, направлений и механизмов реализации инновационных процессов [1, с. </w:t>
      </w:r>
    </w:p>
    <w:p w:rsidR="002C0F56" w:rsidRDefault="00E67C6E">
      <w:pPr>
        <w:spacing w:after="12"/>
        <w:ind w:left="994" w:right="302" w:firstLine="0"/>
      </w:pPr>
      <w:r>
        <w:t xml:space="preserve">5].  </w:t>
      </w:r>
    </w:p>
    <w:p w:rsidR="002C0F56" w:rsidRDefault="00E67C6E">
      <w:pPr>
        <w:ind w:left="994" w:right="302"/>
      </w:pPr>
      <w:r>
        <w:t xml:space="preserve">Многообразие трактовок «инновационного потенциала» можно обобщить в четыре основных подхода к интерпретации данного понятия. Согласно первому подходу </w:t>
      </w:r>
      <w:r>
        <w:t>— методологическому (Г. С. Гамидов, Д. Бенойт, С. В. Онишко и др.) — инновационный потенциал есть способность системы к трансформации фактического порядка вещей в новое состояние с целью удовлетворения существующих или вновь возникающих потребностей. В рам</w:t>
      </w:r>
      <w:r>
        <w:t>ках второго подхода — ресурсного (В. Н. Гунин, П. Н. Завлин, А. В. Марков, Т. С. Хачатуров и др.) — инновационный потенциал системы трактуется как совокупность материальных и нематериальных ресурсов (кадровых, организационных, информационных, материально-т</w:t>
      </w:r>
      <w:r>
        <w:t xml:space="preserve">ехнических, финансовых), необходимых для осуществления инновационной деятельности, то есть деятельности, обеспечивающей создание и реализацию инноваций.  </w:t>
      </w:r>
    </w:p>
    <w:p w:rsidR="002C0F56" w:rsidRDefault="00E67C6E">
      <w:pPr>
        <w:ind w:left="994" w:right="302"/>
      </w:pPr>
      <w:r>
        <w:t>Широкое распространение в литературе имеет третий подход — ресурсносубъектный — представители которог</w:t>
      </w:r>
      <w:r>
        <w:t>о (Е. Косиерз, Ж. Пажестка и др.) в структуре инновационного потенциала системы, помимо ресурсов, выделяют уровень ее инновационной культуры, характеризующий степень восприимчивости новшеств субъектами изучаемой системы. Наиболее полно структуру инновацион</w:t>
      </w:r>
      <w:r>
        <w:t>ного потенциала отражает четвертый подход — комплексный (Д. И. Кокурин, Б. К. Лисин, В. Н. Фриляндов, С. И. Кравченко, И. С. Кладченко и др.). Согласно данному подходу, инновационный потенциал является единством трех составляющих: ресурсной, внутренней и р</w:t>
      </w:r>
      <w:r>
        <w:t xml:space="preserve">езультативной, которые взаимно предполагают, обуславливают друг друга и проявляются при использовании как его триединая сущность [2, с. 22]. </w:t>
      </w:r>
    </w:p>
    <w:p w:rsidR="002C0F56" w:rsidRDefault="00E67C6E">
      <w:pPr>
        <w:ind w:left="994" w:right="302"/>
      </w:pPr>
      <w:r>
        <w:lastRenderedPageBreak/>
        <w:t xml:space="preserve"> Сущность инновационного потенциала проявляется и в его функциях, к которым относятся:  </w:t>
      </w:r>
    </w:p>
    <w:p w:rsidR="002C0F56" w:rsidRDefault="00E67C6E">
      <w:pPr>
        <w:numPr>
          <w:ilvl w:val="0"/>
          <w:numId w:val="186"/>
        </w:numPr>
        <w:ind w:right="302"/>
      </w:pPr>
      <w:r>
        <w:t>Научная функция — инновац</w:t>
      </w:r>
      <w:r>
        <w:t xml:space="preserve">ионный потенциал содействует развитию науки, открытию новых законов и принципов, открывает пути в новые области, выступает в качестве генератора идей;  </w:t>
      </w:r>
    </w:p>
    <w:p w:rsidR="002C0F56" w:rsidRDefault="00E67C6E">
      <w:pPr>
        <w:numPr>
          <w:ilvl w:val="0"/>
          <w:numId w:val="186"/>
        </w:numPr>
        <w:ind w:right="302"/>
      </w:pPr>
      <w:r>
        <w:t>Техническая функция — инновационный потенциал способствует разработке и освоению улучшенных, более сове</w:t>
      </w:r>
      <w:r>
        <w:t xml:space="preserve">ршенных способов </w:t>
      </w:r>
    </w:p>
    <w:p w:rsidR="002C0F56" w:rsidRDefault="00E67C6E">
      <w:pPr>
        <w:ind w:left="994" w:right="302" w:firstLine="0"/>
      </w:pPr>
      <w:r>
        <w:t xml:space="preserve">изготовления продукции;  </w:t>
      </w:r>
    </w:p>
    <w:p w:rsidR="002C0F56" w:rsidRDefault="00E67C6E">
      <w:pPr>
        <w:numPr>
          <w:ilvl w:val="0"/>
          <w:numId w:val="186"/>
        </w:numPr>
        <w:ind w:right="302"/>
      </w:pPr>
      <w:r>
        <w:t xml:space="preserve">Производственная функция — инновационный потенциал способствует выпуску продуктов с новыми или улучшенными свойствами;  </w:t>
      </w:r>
    </w:p>
    <w:p w:rsidR="002C0F56" w:rsidRDefault="00E67C6E">
      <w:pPr>
        <w:numPr>
          <w:ilvl w:val="0"/>
          <w:numId w:val="186"/>
        </w:numPr>
        <w:ind w:right="302"/>
      </w:pPr>
      <w:r>
        <w:t>Социальная функция — направлена на улучшение условий труда, решение проблем здравоохранения</w:t>
      </w:r>
      <w:r>
        <w:t xml:space="preserve">, образования, культуры;  </w:t>
      </w:r>
    </w:p>
    <w:p w:rsidR="002C0F56" w:rsidRDefault="00E67C6E">
      <w:pPr>
        <w:numPr>
          <w:ilvl w:val="0"/>
          <w:numId w:val="186"/>
        </w:numPr>
        <w:ind w:right="302"/>
      </w:pPr>
      <w:r>
        <w:t xml:space="preserve">Информационная функция — позволяет решить задачи организации рациональных информационных потоков в сфере научно-технической и инновационной деятельности, повышения достоверности и оперативности по- лучения информации;  </w:t>
      </w:r>
    </w:p>
    <w:p w:rsidR="002C0F56" w:rsidRDefault="00E67C6E">
      <w:pPr>
        <w:numPr>
          <w:ilvl w:val="0"/>
          <w:numId w:val="186"/>
        </w:numPr>
        <w:ind w:right="302"/>
      </w:pPr>
      <w:r>
        <w:t>Организац</w:t>
      </w:r>
      <w:r>
        <w:t xml:space="preserve">ионно-управленческая функция — инновационный потенциал активизирует процессы оптимальной организации производства, транспорта, сбыта и снабжения [1, с. 8].  </w:t>
      </w:r>
    </w:p>
    <w:p w:rsidR="002C0F56" w:rsidRDefault="00E67C6E">
      <w:pPr>
        <w:spacing w:after="0"/>
        <w:ind w:left="994" w:right="302"/>
      </w:pPr>
      <w:r>
        <w:t>Таким образом, инновационный потенциал системы — это ее способность принимать участие в инновацион</w:t>
      </w:r>
      <w:r>
        <w:t xml:space="preserve">ном процессе, то есть процессе последовательного проведения работ по преобразованию новшества в продукцию и введения ее на рынок для коммерческого применения. Эта способность обусловлена характеристиками ресурсной, внутренней и результативной составляющих </w:t>
      </w:r>
      <w:r>
        <w:t>инновационного потенциала. Концепция экономики, основанной на знании, примыкает к исходной теории «информационного общества» и представляет историческую фазу возможного развития общества, в которой главными продуктами производства становятся информация и з</w:t>
      </w:r>
      <w:r>
        <w:t xml:space="preserve">нания. Инновации являются основной формой превращения знаний в благосостояние и представляют собой ключевую характеристику экономики, основанной на знании.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87"/>
        </w:numPr>
        <w:ind w:right="302"/>
      </w:pPr>
      <w:r>
        <w:t>Касатая, И. Л. Экономическое содержание и особенности инновационного потенциа</w:t>
      </w:r>
      <w:r>
        <w:t xml:space="preserve">ла / И. Л. Касатая // Вестник Челябинского государственного университета; Сер. Экономика. — 2009. — № 2, Выпуск 18. — С. 5-13.  </w:t>
      </w:r>
    </w:p>
    <w:p w:rsidR="002C0F56" w:rsidRDefault="00E67C6E">
      <w:pPr>
        <w:numPr>
          <w:ilvl w:val="0"/>
          <w:numId w:val="187"/>
        </w:numPr>
        <w:ind w:right="302"/>
      </w:pPr>
      <w:r>
        <w:t>Павлова, Е. Г. Инновационный потенциал малого научно-</w:t>
      </w:r>
      <w:r>
        <w:t xml:space="preserve">технического предпринимательства Беларуси: социологический аспект / Е. Г. Павлова. — Минск : Право и экономика, 2009. — 141 с. </w:t>
      </w:r>
    </w:p>
    <w:p w:rsidR="002C0F56" w:rsidRDefault="00E67C6E">
      <w:pPr>
        <w:spacing w:after="0" w:line="259" w:lineRule="auto"/>
        <w:ind w:left="1558" w:firstLine="0"/>
        <w:jc w:val="left"/>
      </w:pPr>
      <w:r>
        <w:lastRenderedPageBreak/>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8"/>
        <w:jc w:val="right"/>
      </w:pPr>
      <w:r>
        <w:t xml:space="preserve">Пахомова А.А.  </w:t>
      </w:r>
      <w:r>
        <w:rPr>
          <w:b w:val="0"/>
        </w:rPr>
        <w:t xml:space="preserve">Научный руководитель: Хитрых О.В. </w:t>
      </w:r>
    </w:p>
    <w:p w:rsidR="002C0F56" w:rsidRDefault="00E67C6E">
      <w:pPr>
        <w:spacing w:after="0" w:line="267" w:lineRule="auto"/>
        <w:ind w:left="905" w:right="312" w:hanging="10"/>
        <w:jc w:val="right"/>
      </w:pPr>
      <w:r>
        <w:rPr>
          <w:i/>
        </w:rPr>
        <w:t xml:space="preserve">Луганский национальный университет им.Тараса Шевченка </w:t>
      </w:r>
    </w:p>
    <w:p w:rsidR="002C0F56" w:rsidRDefault="00E67C6E">
      <w:pPr>
        <w:spacing w:after="30" w:line="259" w:lineRule="auto"/>
        <w:ind w:left="1558" w:firstLine="0"/>
        <w:jc w:val="left"/>
      </w:pPr>
      <w:r>
        <w:rPr>
          <w:i/>
        </w:rPr>
        <w:t xml:space="preserve"> </w:t>
      </w:r>
    </w:p>
    <w:p w:rsidR="002C0F56" w:rsidRDefault="00E67C6E">
      <w:pPr>
        <w:pStyle w:val="1"/>
        <w:spacing w:after="15" w:line="271" w:lineRule="auto"/>
        <w:ind w:left="1294" w:right="0"/>
        <w:jc w:val="left"/>
      </w:pPr>
      <w:r>
        <w:t>ПОИСКОВЫЕ СИСТЕМЫ</w:t>
      </w:r>
      <w:r>
        <w:t xml:space="preserve"> В ГЛОБАЛЬНОЙ СИСТЕМЕ ИНТЕРНЕТ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Введение. Каждый пользователь в Интернете может найти массу разнообразной и интереснейшей информации, а также использовать все богатейшие возможности сети. Выбранная тема научной работы актуальна, т.к. поисковые системы не</w:t>
      </w:r>
      <w:r>
        <w:t xml:space="preserve"> заменимы на сегодняшний день, в силу чрезвычайно частого посещения всемирной сети. Ресурсы Интернета превратившись в инструмент для повседневной работы людей многих профессий, быстрый рост информации в сети сделали его океаном разнообразнейших данных, важ</w:t>
      </w:r>
      <w:r>
        <w:t xml:space="preserve">ность которых растет пропорционально их объему.  </w:t>
      </w:r>
    </w:p>
    <w:p w:rsidR="002C0F56" w:rsidRDefault="00E67C6E">
      <w:pPr>
        <w:spacing w:after="0"/>
        <w:ind w:left="994" w:right="302"/>
      </w:pPr>
      <w:r>
        <w:t>По оценке экспертов объем информации, передаваемой по каналам Интернет, удваивается каждые полгода. Ежедневно в сети появляются миллионы новых документов, и естественно, что без систем поиска они в подавляю</w:t>
      </w:r>
      <w:r>
        <w:t>щем своем большинстве остались бы не востребованными, вообще не были бы не кем найдены, и все то огромное количество информации оказалось бы никому не нужным. Возникла необходимость создания таких средств, которые позволили бы легко ориентироваться в инфор</w:t>
      </w:r>
      <w:r>
        <w:t>мационных ресурсах глобальных сетей, быстро и надежно находить нужные сведения. В интернете появились специальные поисковые средства. Еще несколько лет назад бытовало такое мнение: в Интернете есть все, но найти там ничего невозможно. Однако с появлением и</w:t>
      </w:r>
      <w:r>
        <w:t xml:space="preserve"> быстрым развитием поисковых каталогов, поисковых машин, и всевозможных поисковых программ ситуация изменилась, и теперь в Сети срочно понадобившуюся информацию иногда можно найти быстрее, чем в книге, лежащей на столе [2, 27c]. </w:t>
      </w:r>
    </w:p>
    <w:p w:rsidR="002C0F56" w:rsidRDefault="00E67C6E">
      <w:pPr>
        <w:ind w:left="994" w:right="302"/>
      </w:pPr>
      <w:r>
        <w:t>К сожалению, поисковые сис</w:t>
      </w:r>
      <w:r>
        <w:t xml:space="preserve">темы часто не способны точно и справедливо интерпретировать ресурсы. Как результат, на первых позициях поиска зачастую оказываются сайты "далекие" от решаемого вопроса. При этом ресурсы, представляющие реальную пользу, оказываются "за бортом" поиска. </w:t>
      </w:r>
    </w:p>
    <w:p w:rsidR="002C0F56" w:rsidRDefault="00E67C6E">
      <w:pPr>
        <w:spacing w:after="0"/>
        <w:ind w:left="994" w:right="302"/>
      </w:pPr>
      <w:r>
        <w:t>Поис</w:t>
      </w:r>
      <w:r>
        <w:t>ковые системы при использовании Интернет играют очень важную роль. В Интернете сосредоточено такое количество информации, что ее поиск уже превращается в отдельную задачу и отнимает очень много времени. Поисковые серверы выдают на запрос тысячи ссылок вмес</w:t>
      </w:r>
      <w:r>
        <w:t xml:space="preserve">то нескольких страниц, где действительно имеется нужная информация. Пользователи всемирной сети Интернет, осознав преимущества, предоставляемые возможностью анализа пространственных данных, нуждаются в инструменте, </w:t>
      </w:r>
      <w:r>
        <w:lastRenderedPageBreak/>
        <w:t>позволяющем осуществлять быстрый и удобны</w:t>
      </w:r>
      <w:r>
        <w:t xml:space="preserve">й поиск и доступ к цифровым снимкам местности и другой пространственной информации, сосредоточенной во многих правительственных, коммерческих и академических организациях [1, </w:t>
      </w:r>
    </w:p>
    <w:p w:rsidR="002C0F56" w:rsidRDefault="00E67C6E">
      <w:pPr>
        <w:ind w:left="994" w:right="302" w:firstLine="0"/>
      </w:pPr>
      <w:r>
        <w:t xml:space="preserve">5c.] </w:t>
      </w:r>
    </w:p>
    <w:p w:rsidR="002C0F56" w:rsidRDefault="00E67C6E">
      <w:pPr>
        <w:ind w:left="1558" w:right="302" w:firstLine="0"/>
      </w:pPr>
      <w:r>
        <w:t xml:space="preserve">Объектом исследования является глобальная сеть интернет. </w:t>
      </w:r>
    </w:p>
    <w:p w:rsidR="002C0F56" w:rsidRDefault="00E67C6E">
      <w:pPr>
        <w:spacing w:after="12"/>
        <w:ind w:left="1558" w:right="302" w:firstLine="0"/>
      </w:pPr>
      <w:r>
        <w:t xml:space="preserve">Предметом исследования есть поисковые системы. </w:t>
      </w:r>
    </w:p>
    <w:p w:rsidR="002C0F56" w:rsidRDefault="00E67C6E">
      <w:pPr>
        <w:spacing w:after="8"/>
        <w:ind w:left="994" w:right="302"/>
      </w:pPr>
      <w:r>
        <w:t xml:space="preserve">Целью данной работы является исследование проблемы поиска необходимой информации. Исследование перспективы развития поисковых систем.  </w:t>
      </w:r>
    </w:p>
    <w:p w:rsidR="002C0F56" w:rsidRDefault="00E67C6E">
      <w:pPr>
        <w:ind w:left="994" w:right="302"/>
      </w:pPr>
      <w:r>
        <w:t>Для достижения поставленной цели были рассмотрены проблемы поисковых сис</w:t>
      </w:r>
      <w:r>
        <w:t xml:space="preserve">тем, которые состоят в том, что: </w:t>
      </w:r>
    </w:p>
    <w:p w:rsidR="002C0F56" w:rsidRDefault="00E67C6E">
      <w:pPr>
        <w:numPr>
          <w:ilvl w:val="0"/>
          <w:numId w:val="188"/>
        </w:numPr>
        <w:ind w:right="302"/>
      </w:pPr>
      <w:r>
        <w:t xml:space="preserve">поиск по ключевым словам даёт слишком много ссылок и многие из них бесполезны; </w:t>
      </w:r>
    </w:p>
    <w:p w:rsidR="002C0F56" w:rsidRDefault="00E67C6E">
      <w:pPr>
        <w:numPr>
          <w:ilvl w:val="0"/>
          <w:numId w:val="188"/>
        </w:numPr>
        <w:ind w:right="302"/>
      </w:pPr>
      <w:r>
        <w:t xml:space="preserve">огромное количество поисковых машин с разными пользовательскими интерфейсами порождает проблему когнитивной перегрузки; </w:t>
      </w:r>
    </w:p>
    <w:p w:rsidR="002C0F56" w:rsidRDefault="00E67C6E">
      <w:pPr>
        <w:numPr>
          <w:ilvl w:val="0"/>
          <w:numId w:val="188"/>
        </w:numPr>
        <w:ind w:right="302"/>
      </w:pPr>
      <w:r>
        <w:t>методы индексирования</w:t>
      </w:r>
      <w:r>
        <w:t xml:space="preserve"> баз данных, как правило, не связаны с информационным содержанием; </w:t>
      </w:r>
    </w:p>
    <w:p w:rsidR="002C0F56" w:rsidRDefault="00E67C6E">
      <w:pPr>
        <w:numPr>
          <w:ilvl w:val="0"/>
          <w:numId w:val="188"/>
        </w:numPr>
        <w:ind w:right="302"/>
      </w:pPr>
      <w:r>
        <w:t xml:space="preserve">часто выдаются ссылки на информацию, которой в Интернете уже давно нет; </w:t>
      </w:r>
    </w:p>
    <w:p w:rsidR="002C0F56" w:rsidRDefault="00E67C6E">
      <w:pPr>
        <w:numPr>
          <w:ilvl w:val="0"/>
          <w:numId w:val="188"/>
        </w:numPr>
        <w:spacing w:after="10"/>
        <w:ind w:right="302"/>
      </w:pPr>
      <w:r>
        <w:t>машины ещё не столь совершены, чтобы понимать естественный язык. Выводы. Поисковые системы уже давно стали неотъемл</w:t>
      </w:r>
      <w:r>
        <w:t xml:space="preserve">емой частью Интернета. Поисковые системы сейчас - это огромные и сложные механизмы, представляющие собой не только инструмент поиска информации, но и заманчивые сферы для бизнеса. </w:t>
      </w:r>
    </w:p>
    <w:p w:rsidR="002C0F56" w:rsidRDefault="00E67C6E">
      <w:pPr>
        <w:spacing w:after="0"/>
        <w:ind w:left="994" w:right="302"/>
      </w:pPr>
      <w:r>
        <w:t xml:space="preserve">На сегодняшний день существуют разные виды поисковых систем. Международные </w:t>
      </w:r>
      <w:r>
        <w:t>и локальные поисковики могут представлять собой как каталоги, так и указатели. Также можно осуществлять поиск текстов, картинок и различных других файлов. Зная особенности всех видов поисковиков, можно получить максимально эффективный результат по своему з</w:t>
      </w:r>
      <w:r>
        <w:t xml:space="preserve">апросу. </w:t>
      </w:r>
    </w:p>
    <w:p w:rsidR="002C0F56" w:rsidRDefault="00E67C6E">
      <w:pPr>
        <w:spacing w:after="4"/>
        <w:ind w:left="994" w:right="302"/>
      </w:pPr>
      <w:r>
        <w:t>Ведущая тенденция последнего времени заключается в расширении числа обследуемых документов и одновременном увеличении глубины просмотра источника. Несколько лет назад поисковые средства были способны индексировать только несколько миллионов источн</w:t>
      </w:r>
      <w:r>
        <w:t>иков, которые на тот период включали web-страницы, статьи конференций Usenet, файлы Gopher и FTP серверов. Современные системы в среднем индексируют порядка 50 миллионов документов. При этом скорость работы не только не снизилась, но даже увеличилась за сч</w:t>
      </w:r>
      <w:r>
        <w:t xml:space="preserve">ет использования новейшего программного и аппаратного обеспечения. </w:t>
      </w:r>
    </w:p>
    <w:p w:rsidR="002C0F56" w:rsidRDefault="00E67C6E">
      <w:pPr>
        <w:spacing w:after="0"/>
        <w:ind w:left="994" w:right="302"/>
      </w:pPr>
      <w:r>
        <w:t xml:space="preserve">Однако даже более важным является то, что поисковые механизмы последнего поколения индексируют все слова на web-странице или в статье из </w:t>
      </w:r>
      <w:r>
        <w:lastRenderedPageBreak/>
        <w:t>конференции, в то время как ранее область индексиро</w:t>
      </w:r>
      <w:r>
        <w:t>вания ограничивалась, как правило, названием, заголовками, первыми несколькими строками и адресом документа. Это существенно ограничивало возможность выявления материалов по узкой тематике, поскольку результаты поиска не всегда отражали реально существующи</w:t>
      </w:r>
      <w:r>
        <w:t xml:space="preserve">е данные. Устранив этот недостаток, современные поисковые системы стали намного более надежными, чем их предшественники. </w:t>
      </w:r>
    </w:p>
    <w:p w:rsidR="002C0F56" w:rsidRDefault="00E67C6E">
      <w:pPr>
        <w:spacing w:after="3"/>
        <w:ind w:left="994" w:right="302"/>
      </w:pPr>
      <w:r>
        <w:t>В ближайшем будущем полнотекстовое индексирование утвердится в качестве неотъемлемой характеристики поисковых средств, которые собираю</w:t>
      </w:r>
      <w:r>
        <w:t xml:space="preserve">тся серьезно конкурировать. На мой взгляд, это один из ключевых параметров будущего развития поисковых инструментов. </w:t>
      </w:r>
    </w:p>
    <w:p w:rsidR="002C0F56" w:rsidRDefault="00E67C6E">
      <w:pPr>
        <w:spacing w:after="0"/>
        <w:ind w:left="994" w:right="302"/>
      </w:pPr>
      <w:r>
        <w:t>Еще одной немаловажной тенденцией является оптимизация выдачи результатов поиска. В данном случае можно с уверенностью утверждать, что поисковые средства становятся более интеллектуальными. Программа анализирует расположение слов в документе, их повторяемо</w:t>
      </w:r>
      <w:r>
        <w:t xml:space="preserve">сть и общее количество. На этой основе перечень ссылок выдается в порядке соответствия запросу, причем ссылки на наиболее ценные источники, выдаются в начале списка. </w:t>
      </w:r>
    </w:p>
    <w:p w:rsidR="002C0F56" w:rsidRDefault="00E67C6E">
      <w:pPr>
        <w:spacing w:after="0"/>
        <w:ind w:left="994" w:right="302"/>
      </w:pPr>
      <w:r>
        <w:t>В перспективе работа над тем, как сделать поисковые средства еще более интеллектуальными будет продолжаться, поскольку только системы с мощной интеллектуальной базой будут способны переработать стремительно расширяющийся океан полнотекстовых данных. В част</w:t>
      </w:r>
      <w:r>
        <w:t xml:space="preserve">ности, именно системам искусственного интеллекта предстоит решить проблему информационного шума или "мусорных данных", которая становится все острей в связи с ростом в Интернет материалов низкой содержательной ценности. </w:t>
      </w:r>
    </w:p>
    <w:p w:rsidR="002C0F56" w:rsidRDefault="00E67C6E">
      <w:pPr>
        <w:spacing w:after="0"/>
        <w:ind w:left="994" w:right="302"/>
      </w:pPr>
      <w:r>
        <w:t>Можно заключить, что каждая поисков</w:t>
      </w:r>
      <w:r>
        <w:t>ая система, будь то Российская или зарубежная предоставляет различные возможности поиска, из различных баз данных, поэтому сказать точно, какой именно лучше пользоваться, было бы не правильно. Поэтому для удобства поиска и полноты информации следует пользо</w:t>
      </w:r>
      <w:r>
        <w:t xml:space="preserve">ваться несколькими поисковиками, вводя в них нужные запросы. Из многих Российских поисковиков выделяются Яндекс и Рамблер, для них характерно постоянное обновление баз данных что, обеспечивает именно актуальность и точность предоставляемой информации.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89"/>
        </w:numPr>
        <w:ind w:right="302"/>
      </w:pPr>
      <w:r>
        <w:t xml:space="preserve">Кузьмин А.В. Золотарева Н.Н. Поиск в Интернете - Санкт - Петербург.: Издательство НиТ, 2011. – 128 с. </w:t>
      </w:r>
    </w:p>
    <w:p w:rsidR="002C0F56" w:rsidRDefault="00E67C6E">
      <w:pPr>
        <w:numPr>
          <w:ilvl w:val="0"/>
          <w:numId w:val="189"/>
        </w:numPr>
        <w:spacing w:after="12"/>
        <w:ind w:right="302"/>
      </w:pPr>
      <w:r>
        <w:t xml:space="preserve">Экслер А.Б. Самоучитель работы в Интернете - Москва.: NT Press, </w:t>
      </w:r>
    </w:p>
    <w:p w:rsidR="002C0F56" w:rsidRDefault="00E67C6E">
      <w:pPr>
        <w:spacing w:after="12"/>
        <w:ind w:left="994" w:right="302" w:firstLine="0"/>
      </w:pPr>
      <w:r>
        <w:t xml:space="preserve">2010. - 608 с. </w:t>
      </w:r>
    </w:p>
    <w:p w:rsidR="002C0F56" w:rsidRDefault="00E67C6E">
      <w:pPr>
        <w:spacing w:after="0" w:line="259" w:lineRule="auto"/>
        <w:ind w:left="1558" w:firstLine="0"/>
        <w:jc w:val="left"/>
      </w:pPr>
      <w:r>
        <w:rPr>
          <w:b/>
        </w:rPr>
        <w:t xml:space="preserve"> </w:t>
      </w:r>
    </w:p>
    <w:p w:rsidR="002C0F56" w:rsidRDefault="00E67C6E">
      <w:pPr>
        <w:spacing w:after="26" w:line="259" w:lineRule="auto"/>
        <w:ind w:left="1558" w:firstLine="0"/>
        <w:jc w:val="left"/>
      </w:pPr>
      <w:r>
        <w:rPr>
          <w:b/>
        </w:rPr>
        <w:t xml:space="preserve"> </w:t>
      </w:r>
    </w:p>
    <w:p w:rsidR="002C0F56" w:rsidRDefault="00E67C6E">
      <w:pPr>
        <w:pStyle w:val="1"/>
        <w:spacing w:after="25" w:line="259" w:lineRule="auto"/>
        <w:ind w:right="307"/>
        <w:jc w:val="right"/>
      </w:pPr>
      <w:r>
        <w:lastRenderedPageBreak/>
        <w:t xml:space="preserve">Пекарская А.С. </w:t>
      </w:r>
      <w:r>
        <w:rPr>
          <w:b w:val="0"/>
        </w:rPr>
        <w:t>Научный руководитель: Сетько Е.А.</w:t>
      </w:r>
      <w:r>
        <w:rPr>
          <w:b w:val="0"/>
        </w:rPr>
        <w:t xml:space="preserve">, к.физ.-мат.н., доц. </w:t>
      </w:r>
    </w:p>
    <w:p w:rsidR="002C0F56" w:rsidRDefault="00E67C6E">
      <w:pPr>
        <w:spacing w:after="0" w:line="267" w:lineRule="auto"/>
        <w:ind w:left="905" w:right="313" w:hanging="10"/>
        <w:jc w:val="right"/>
      </w:pPr>
      <w:r>
        <w:rPr>
          <w:i/>
        </w:rPr>
        <w:t xml:space="preserve">Гродненский государственный университет имени Я. Купалы </w:t>
      </w:r>
    </w:p>
    <w:p w:rsidR="002C0F56" w:rsidRDefault="00E67C6E">
      <w:pPr>
        <w:spacing w:after="30" w:line="259" w:lineRule="auto"/>
        <w:ind w:left="1558" w:firstLine="0"/>
        <w:jc w:val="left"/>
      </w:pPr>
      <w:r>
        <w:t xml:space="preserve"> </w:t>
      </w:r>
    </w:p>
    <w:p w:rsidR="002C0F56" w:rsidRDefault="00E67C6E">
      <w:pPr>
        <w:pStyle w:val="1"/>
        <w:ind w:left="700" w:right="3"/>
      </w:pPr>
      <w:r>
        <w:t xml:space="preserve">МОДЕЛИ ЛИНЕЙНОЙ АЛГЕБРЫ В ЭКОНОМИКЕ </w:t>
      </w:r>
    </w:p>
    <w:p w:rsidR="002C0F56" w:rsidRDefault="00E67C6E">
      <w:pPr>
        <w:spacing w:after="25" w:line="259" w:lineRule="auto"/>
        <w:ind w:left="1558" w:firstLine="0"/>
        <w:jc w:val="left"/>
      </w:pPr>
      <w:r>
        <w:rPr>
          <w:b/>
        </w:rPr>
        <w:t xml:space="preserve"> </w:t>
      </w:r>
    </w:p>
    <w:p w:rsidR="002C0F56" w:rsidRDefault="00E67C6E">
      <w:pPr>
        <w:ind w:left="994" w:right="302"/>
      </w:pPr>
      <w:r>
        <w:t xml:space="preserve">Для изучения </w:t>
      </w:r>
      <w:r>
        <w:t>различных экономических явлений экономисты используют их упрощенные формальные описания, называемые экономическими моделями. Они позволяют выявить особенности функционирования экономического объекта и на основе этого предсказывать будущее поведение объекта</w:t>
      </w:r>
      <w:r>
        <w:t xml:space="preserve"> при изменении каких-либо параметров. </w:t>
      </w:r>
    </w:p>
    <w:p w:rsidR="002C0F56" w:rsidRDefault="00E67C6E">
      <w:pPr>
        <w:spacing w:after="2"/>
        <w:ind w:left="994" w:right="302"/>
      </w:pPr>
      <w:r>
        <w:t>Матрица – это понятие, которое описывает многочисленные приложения к экономике и бизнесу. Ближе всего к этому понятию стоят хорошо известные обычные таблицы, с помощью которых наглядно и повсеместно хранится информаци</w:t>
      </w:r>
      <w:r>
        <w:t xml:space="preserve">я, что облегчает их компьютерную обработку.  </w:t>
      </w:r>
    </w:p>
    <w:p w:rsidR="002C0F56" w:rsidRDefault="00E67C6E">
      <w:pPr>
        <w:spacing w:after="11"/>
        <w:ind w:left="994" w:right="302"/>
      </w:pPr>
      <w:r>
        <w:t xml:space="preserve">Рассмотрим пример матричной модели, т.е. модели, построенной в виде таблицы. Обычно модели такого плана демонстрируют соотношения между затратами на производство и его результатами.  </w:t>
      </w:r>
    </w:p>
    <w:p w:rsidR="002C0F56" w:rsidRDefault="00E67C6E">
      <w:pPr>
        <w:ind w:left="994" w:right="302"/>
      </w:pPr>
      <w:r>
        <w:t xml:space="preserve">Изучим макроэкономическую </w:t>
      </w:r>
      <w:r>
        <w:t xml:space="preserve">модель, которая предполагает наличие всего двух секторов в экономике: производители и потребители (рис.1). </w:t>
      </w:r>
    </w:p>
    <w:p w:rsidR="002C0F56" w:rsidRDefault="00E67C6E">
      <w:pPr>
        <w:ind w:left="994" w:right="302"/>
      </w:pPr>
      <w:r>
        <w:t>Причём товары и услуги измеряются в стоимостном выражении. Производители включают в себя филиалы, предприятия, отрасли производства. Всю производимо</w:t>
      </w:r>
      <w:r>
        <w:t xml:space="preserve">ю ими продукцию (товары и услуги) формально разделяют на две части: промежуточный продукт и конечный продукт. </w:t>
      </w:r>
    </w:p>
    <w:p w:rsidR="002C0F56" w:rsidRDefault="00E67C6E">
      <w:pPr>
        <w:spacing w:after="0"/>
        <w:ind w:left="994" w:right="302"/>
      </w:pPr>
      <w:r>
        <w:t xml:space="preserve">Промежуточный продукт – это товары и услуги, которые используются фирмой как факторы производства в процессе производства других товаров и услуг </w:t>
      </w:r>
      <w:r>
        <w:t xml:space="preserve">[1]. Конечный продукт или, другими словами, конечный спрос – это товары и услуги, используемые конечными потребителями [1]. </w:t>
      </w:r>
    </w:p>
    <w:p w:rsidR="002C0F56" w:rsidRDefault="00E67C6E">
      <w:pPr>
        <w:spacing w:after="0" w:line="259" w:lineRule="auto"/>
        <w:ind w:left="0" w:right="259" w:firstLine="0"/>
        <w:jc w:val="right"/>
      </w:pPr>
      <w:r>
        <w:rPr>
          <w:noProof/>
        </w:rPr>
        <w:drawing>
          <wp:inline distT="0" distB="0" distL="0" distR="0">
            <wp:extent cx="6106795" cy="1790700"/>
            <wp:effectExtent l="0" t="0" r="0" b="0"/>
            <wp:docPr id="62797" name="Picture 62797"/>
            <wp:cNvGraphicFramePr/>
            <a:graphic xmlns:a="http://schemas.openxmlformats.org/drawingml/2006/main">
              <a:graphicData uri="http://schemas.openxmlformats.org/drawingml/2006/picture">
                <pic:pic xmlns:pic="http://schemas.openxmlformats.org/drawingml/2006/picture">
                  <pic:nvPicPr>
                    <pic:cNvPr id="62797" name="Picture 62797"/>
                    <pic:cNvPicPr/>
                  </pic:nvPicPr>
                  <pic:blipFill>
                    <a:blip r:embed="rId1178"/>
                    <a:stretch>
                      <a:fillRect/>
                    </a:stretch>
                  </pic:blipFill>
                  <pic:spPr>
                    <a:xfrm>
                      <a:off x="0" y="0"/>
                      <a:ext cx="6106795" cy="1790700"/>
                    </a:xfrm>
                    <a:prstGeom prst="rect">
                      <a:avLst/>
                    </a:prstGeom>
                  </pic:spPr>
                </pic:pic>
              </a:graphicData>
            </a:graphic>
          </wp:inline>
        </w:drawing>
      </w:r>
      <w:r>
        <w:t xml:space="preserve"> </w:t>
      </w:r>
    </w:p>
    <w:p w:rsidR="002C0F56" w:rsidRDefault="00E67C6E">
      <w:pPr>
        <w:spacing w:after="5" w:line="271" w:lineRule="auto"/>
        <w:ind w:left="3253" w:right="396" w:hanging="10"/>
        <w:jc w:val="left"/>
      </w:pPr>
      <w:r>
        <w:rPr>
          <w:b/>
          <w:sz w:val="24"/>
        </w:rPr>
        <w:t xml:space="preserve">Рис. 1. Двухсекторная макроэкономическая модель </w:t>
      </w:r>
    </w:p>
    <w:p w:rsidR="002C0F56" w:rsidRDefault="00E67C6E">
      <w:pPr>
        <w:spacing w:after="0" w:line="259" w:lineRule="auto"/>
        <w:ind w:left="1558" w:firstLine="0"/>
        <w:jc w:val="left"/>
      </w:pPr>
      <w:r>
        <w:t xml:space="preserve"> </w:t>
      </w:r>
    </w:p>
    <w:p w:rsidR="002C0F56" w:rsidRDefault="00E67C6E">
      <w:pPr>
        <w:spacing w:after="2"/>
        <w:ind w:left="994" w:right="302"/>
      </w:pPr>
      <w:r>
        <w:t xml:space="preserve">Основным вопросом в подобных задачах является определение совокупного продукта по известному конечному спросу (такие задачи чаще всего решаются </w:t>
      </w:r>
      <w:r>
        <w:lastRenderedPageBreak/>
        <w:t xml:space="preserve">на практике, так как в рыночной экономике именно спрос задаёт объёмы производства). </w:t>
      </w:r>
    </w:p>
    <w:p w:rsidR="002C0F56" w:rsidRDefault="00E67C6E">
      <w:pPr>
        <w:ind w:left="994" w:right="302"/>
      </w:pPr>
      <w:r>
        <w:t xml:space="preserve">Рассмотрим простой пример. </w:t>
      </w:r>
      <w:r>
        <w:t xml:space="preserve">Пусть производители состоят из двух фирм: Ф1 и Ф2 и их совокупный продукт за год составляет 400 и 500 соответственно.  </w:t>
      </w:r>
    </w:p>
    <w:p w:rsidR="002C0F56" w:rsidRDefault="00E67C6E">
      <w:pPr>
        <w:spacing w:after="1"/>
        <w:ind w:left="994" w:right="302"/>
      </w:pPr>
      <w:r>
        <w:t>Ф1 в процессе производства использует продукцию собственных подразделений в объёме 40 и закупают продукцию Ф2 в объёме 320. А фирма Ф2 и</w:t>
      </w:r>
      <w:r>
        <w:t xml:space="preserve">спользует собственную продукцию в объёме 100 и закупает у Ф1 в объёме 200 (рис.2). </w:t>
      </w:r>
    </w:p>
    <w:p w:rsidR="002C0F56" w:rsidRDefault="00E67C6E">
      <w:pPr>
        <w:spacing w:after="0" w:line="259" w:lineRule="auto"/>
        <w:ind w:left="0" w:right="1649" w:firstLine="0"/>
        <w:jc w:val="right"/>
      </w:pPr>
      <w:r>
        <w:rPr>
          <w:noProof/>
        </w:rPr>
        <w:drawing>
          <wp:inline distT="0" distB="0" distL="0" distR="0">
            <wp:extent cx="3971290" cy="1933575"/>
            <wp:effectExtent l="0" t="0" r="0" b="0"/>
            <wp:docPr id="62830" name="Picture 62830"/>
            <wp:cNvGraphicFramePr/>
            <a:graphic xmlns:a="http://schemas.openxmlformats.org/drawingml/2006/main">
              <a:graphicData uri="http://schemas.openxmlformats.org/drawingml/2006/picture">
                <pic:pic xmlns:pic="http://schemas.openxmlformats.org/drawingml/2006/picture">
                  <pic:nvPicPr>
                    <pic:cNvPr id="62830" name="Picture 62830"/>
                    <pic:cNvPicPr/>
                  </pic:nvPicPr>
                  <pic:blipFill>
                    <a:blip r:embed="rId1179"/>
                    <a:stretch>
                      <a:fillRect/>
                    </a:stretch>
                  </pic:blipFill>
                  <pic:spPr>
                    <a:xfrm>
                      <a:off x="0" y="0"/>
                      <a:ext cx="3971290" cy="1933575"/>
                    </a:xfrm>
                    <a:prstGeom prst="rect">
                      <a:avLst/>
                    </a:prstGeom>
                  </pic:spPr>
                </pic:pic>
              </a:graphicData>
            </a:graphic>
          </wp:inline>
        </w:drawing>
      </w:r>
      <w:r>
        <w:t xml:space="preserve"> </w:t>
      </w:r>
    </w:p>
    <w:p w:rsidR="002C0F56" w:rsidRDefault="00E67C6E">
      <w:pPr>
        <w:pStyle w:val="4"/>
        <w:ind w:left="1181" w:right="1"/>
      </w:pPr>
      <w:r>
        <w:t xml:space="preserve">Рис. 2. Формирование конечного продукта </w:t>
      </w:r>
    </w:p>
    <w:p w:rsidR="002C0F56" w:rsidRDefault="00E67C6E">
      <w:pPr>
        <w:spacing w:after="12" w:line="259" w:lineRule="auto"/>
        <w:ind w:left="1558" w:firstLine="0"/>
        <w:jc w:val="left"/>
      </w:pPr>
      <w:r>
        <w:t xml:space="preserve"> </w:t>
      </w:r>
    </w:p>
    <w:p w:rsidR="002C0F56" w:rsidRDefault="00E67C6E">
      <w:pPr>
        <w:spacing w:after="12"/>
        <w:ind w:left="1558" w:right="302" w:firstLine="0"/>
      </w:pPr>
      <w:r>
        <w:t xml:space="preserve">Конечный спрос Ф1 составит 400-40-200=160, Ф2: 500-100-320=80. </w:t>
      </w:r>
    </w:p>
    <w:p w:rsidR="002C0F56" w:rsidRDefault="00E67C6E">
      <w:pPr>
        <w:spacing w:after="9"/>
        <w:ind w:left="994" w:right="302"/>
      </w:pPr>
      <w:r>
        <w:t>На практике очень удобно переходить к нормированным величинам,</w:t>
      </w:r>
      <w:r>
        <w:t xml:space="preserve"> т.е. к затратам, отнесенным к единице (в стоимостном выражении), что отражается в таблице 1. </w:t>
      </w:r>
    </w:p>
    <w:p w:rsidR="002C0F56" w:rsidRDefault="00E67C6E">
      <w:pPr>
        <w:pStyle w:val="4"/>
        <w:ind w:left="1181" w:right="5"/>
      </w:pPr>
      <w:r>
        <w:rPr>
          <w:b w:val="0"/>
          <w:i/>
        </w:rPr>
        <w:t>Таблица 1</w:t>
      </w:r>
      <w:r>
        <w:rPr>
          <w:b w:val="0"/>
        </w:rPr>
        <w:t xml:space="preserve"> – </w:t>
      </w:r>
      <w:r>
        <w:t>Нормированные поставки</w:t>
      </w:r>
      <w:r>
        <w:rPr>
          <w:b w:val="0"/>
        </w:rPr>
        <w:t xml:space="preserve"> </w:t>
      </w:r>
    </w:p>
    <w:tbl>
      <w:tblPr>
        <w:tblStyle w:val="TableGrid"/>
        <w:tblW w:w="9631" w:type="dxa"/>
        <w:tblInd w:w="998" w:type="dxa"/>
        <w:tblCellMar>
          <w:top w:w="14" w:type="dxa"/>
          <w:left w:w="0" w:type="dxa"/>
          <w:bottom w:w="0" w:type="dxa"/>
          <w:right w:w="12" w:type="dxa"/>
        </w:tblCellMar>
        <w:tblLook w:val="04A0" w:firstRow="1" w:lastRow="0" w:firstColumn="1" w:lastColumn="0" w:noHBand="0" w:noVBand="1"/>
      </w:tblPr>
      <w:tblGrid>
        <w:gridCol w:w="2406"/>
        <w:gridCol w:w="3675"/>
        <w:gridCol w:w="3550"/>
      </w:tblGrid>
      <w:tr w:rsidR="002C0F56">
        <w:trPr>
          <w:trHeight w:val="286"/>
        </w:trPr>
        <w:tc>
          <w:tcPr>
            <w:tcW w:w="2405"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7" w:firstLine="0"/>
              <w:jc w:val="center"/>
            </w:pPr>
            <w:r>
              <w:rPr>
                <w:sz w:val="24"/>
              </w:rPr>
              <w:t xml:space="preserve">Фирма </w:t>
            </w:r>
          </w:p>
        </w:tc>
        <w:tc>
          <w:tcPr>
            <w:tcW w:w="3675" w:type="dxa"/>
            <w:tcBorders>
              <w:top w:val="single" w:sz="4" w:space="0" w:color="000000"/>
              <w:left w:val="single" w:sz="4" w:space="0" w:color="000000"/>
              <w:bottom w:val="single" w:sz="4" w:space="0" w:color="000000"/>
              <w:right w:val="nil"/>
            </w:tcBorders>
          </w:tcPr>
          <w:p w:rsidR="002C0F56" w:rsidRDefault="00E67C6E">
            <w:pPr>
              <w:spacing w:after="0" w:line="259" w:lineRule="auto"/>
              <w:ind w:left="0" w:firstLine="0"/>
              <w:jc w:val="right"/>
            </w:pPr>
            <w:r>
              <w:rPr>
                <w:sz w:val="24"/>
              </w:rPr>
              <w:t>По</w:t>
            </w:r>
          </w:p>
        </w:tc>
        <w:tc>
          <w:tcPr>
            <w:tcW w:w="3550" w:type="dxa"/>
            <w:tcBorders>
              <w:top w:val="single" w:sz="4" w:space="0" w:color="000000"/>
              <w:left w:val="nil"/>
              <w:bottom w:val="single" w:sz="4" w:space="0" w:color="000000"/>
              <w:right w:val="single" w:sz="4" w:space="0" w:color="000000"/>
            </w:tcBorders>
          </w:tcPr>
          <w:p w:rsidR="002C0F56" w:rsidRDefault="00E67C6E">
            <w:pPr>
              <w:spacing w:after="0" w:line="259" w:lineRule="auto"/>
              <w:ind w:left="-12" w:firstLine="0"/>
              <w:jc w:val="left"/>
            </w:pPr>
            <w:r>
              <w:rPr>
                <w:sz w:val="24"/>
              </w:rPr>
              <w:t xml:space="preserve">ставки </w:t>
            </w:r>
          </w:p>
        </w:tc>
      </w:tr>
      <w:tr w:rsidR="002C0F56">
        <w:trPr>
          <w:trHeight w:val="286"/>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3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7" w:firstLine="0"/>
              <w:jc w:val="center"/>
            </w:pPr>
            <w:r>
              <w:rPr>
                <w:sz w:val="24"/>
              </w:rPr>
              <w:t xml:space="preserve">Ф1 </w:t>
            </w:r>
          </w:p>
        </w:tc>
        <w:tc>
          <w:tcPr>
            <w:tcW w:w="35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6" w:firstLine="0"/>
              <w:jc w:val="center"/>
            </w:pPr>
            <w:r>
              <w:rPr>
                <w:sz w:val="24"/>
              </w:rPr>
              <w:t xml:space="preserve">Ф2 </w:t>
            </w:r>
          </w:p>
        </w:tc>
      </w:tr>
      <w:tr w:rsidR="002C0F56">
        <w:trPr>
          <w:trHeight w:val="286"/>
        </w:trPr>
        <w:tc>
          <w:tcPr>
            <w:tcW w:w="240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9" w:firstLine="0"/>
              <w:jc w:val="center"/>
            </w:pPr>
            <w:r>
              <w:rPr>
                <w:sz w:val="24"/>
              </w:rPr>
              <w:t xml:space="preserve">Ф1 </w:t>
            </w:r>
          </w:p>
        </w:tc>
        <w:tc>
          <w:tcPr>
            <w:tcW w:w="3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7" w:firstLine="0"/>
              <w:jc w:val="center"/>
            </w:pPr>
            <w:r>
              <w:rPr>
                <w:sz w:val="24"/>
              </w:rPr>
              <w:t xml:space="preserve">40/400=0,1 </w:t>
            </w:r>
          </w:p>
        </w:tc>
        <w:tc>
          <w:tcPr>
            <w:tcW w:w="35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6" w:firstLine="0"/>
              <w:jc w:val="center"/>
            </w:pPr>
            <w:r>
              <w:rPr>
                <w:sz w:val="24"/>
              </w:rPr>
              <w:t xml:space="preserve">200/500=0,4 </w:t>
            </w:r>
          </w:p>
        </w:tc>
      </w:tr>
      <w:tr w:rsidR="002C0F56">
        <w:trPr>
          <w:trHeight w:val="288"/>
        </w:trPr>
        <w:tc>
          <w:tcPr>
            <w:tcW w:w="240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9" w:firstLine="0"/>
              <w:jc w:val="center"/>
            </w:pPr>
            <w:r>
              <w:rPr>
                <w:sz w:val="24"/>
              </w:rPr>
              <w:t xml:space="preserve">Ф2 </w:t>
            </w:r>
          </w:p>
        </w:tc>
        <w:tc>
          <w:tcPr>
            <w:tcW w:w="367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7" w:firstLine="0"/>
              <w:jc w:val="center"/>
            </w:pPr>
            <w:r>
              <w:rPr>
                <w:sz w:val="24"/>
              </w:rPr>
              <w:t xml:space="preserve">320/400=0,8 </w:t>
            </w:r>
          </w:p>
        </w:tc>
        <w:tc>
          <w:tcPr>
            <w:tcW w:w="355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96" w:firstLine="0"/>
              <w:jc w:val="center"/>
            </w:pPr>
            <w:r>
              <w:rPr>
                <w:sz w:val="24"/>
              </w:rPr>
              <w:t xml:space="preserve">100/500=0,2 </w:t>
            </w:r>
          </w:p>
        </w:tc>
      </w:tr>
    </w:tbl>
    <w:p w:rsidR="002C0F56" w:rsidRDefault="00E67C6E">
      <w:pPr>
        <w:tabs>
          <w:tab w:val="center" w:pos="9213"/>
          <w:tab w:val="center" w:pos="9950"/>
        </w:tabs>
        <w:spacing w:after="32" w:line="270" w:lineRule="auto"/>
        <w:ind w:left="0" w:firstLine="0"/>
        <w:jc w:val="left"/>
      </w:pPr>
      <w:r>
        <w:rPr>
          <w:rFonts w:ascii="Calibri" w:eastAsia="Calibri" w:hAnsi="Calibri" w:cs="Calibri"/>
          <w:sz w:val="22"/>
        </w:rPr>
        <w:tab/>
      </w:r>
      <w:r>
        <w:rPr>
          <w:rFonts w:ascii="Segoe UI Symbol" w:eastAsia="Segoe UI Symbol" w:hAnsi="Segoe UI Symbol" w:cs="Segoe UI Symbol"/>
        </w:rPr>
        <w:t></w:t>
      </w:r>
      <w:r>
        <w:t>0,1</w:t>
      </w:r>
      <w:r>
        <w:tab/>
        <w:t>0,4</w:t>
      </w:r>
      <w:r>
        <w:rPr>
          <w:rFonts w:ascii="Segoe UI Symbol" w:eastAsia="Segoe UI Symbol" w:hAnsi="Segoe UI Symbol" w:cs="Segoe UI Symbol"/>
        </w:rPr>
        <w:t></w:t>
      </w:r>
    </w:p>
    <w:p w:rsidR="002C0F56" w:rsidRDefault="00E67C6E">
      <w:pPr>
        <w:tabs>
          <w:tab w:val="center" w:pos="5506"/>
          <w:tab w:val="center" w:pos="9950"/>
        </w:tabs>
        <w:spacing w:after="365"/>
        <w:ind w:left="0" w:firstLine="0"/>
        <w:jc w:val="left"/>
      </w:pPr>
      <w:r>
        <w:rPr>
          <w:rFonts w:ascii="Calibri" w:eastAsia="Calibri" w:hAnsi="Calibri" w:cs="Calibri"/>
          <w:sz w:val="22"/>
        </w:rPr>
        <w:tab/>
      </w:r>
      <w:r>
        <w:t xml:space="preserve">Эти данные определяют матрицу прямых затрат. Запишем её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0,8</w:t>
      </w:r>
      <w:r>
        <w:tab/>
        <w:t>0,2</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w:t>
      </w:r>
    </w:p>
    <w:p w:rsidR="002C0F56" w:rsidRDefault="00E67C6E">
      <w:pPr>
        <w:spacing w:after="77"/>
        <w:ind w:left="994" w:right="302"/>
      </w:pPr>
      <w:r>
        <w:t>Задачу можно решить с помощью системы ЛАУ: Х=АХ+У или c помощью обратной матрицы: Х=(Е-А)</w:t>
      </w:r>
      <w:r>
        <w:rPr>
          <w:vertAlign w:val="superscript"/>
        </w:rPr>
        <w:t>-1</w:t>
      </w:r>
      <w:r>
        <w:t xml:space="preserve">У. Выпишем соответствующую систему линейных уравнений: </w:t>
      </w:r>
    </w:p>
    <w:p w:rsidR="002C0F56" w:rsidRDefault="00E67C6E">
      <w:pPr>
        <w:spacing w:after="12"/>
        <w:ind w:left="1926" w:right="302" w:firstLine="0"/>
      </w:pPr>
      <w:r>
        <w:rPr>
          <w:rFonts w:ascii="Segoe UI Symbol" w:eastAsia="Segoe UI Symbol" w:hAnsi="Segoe UI Symbol" w:cs="Segoe UI Symbol"/>
        </w:rPr>
        <w:t></w:t>
      </w:r>
      <w:r>
        <w:rPr>
          <w:i/>
        </w:rPr>
        <w:t>x</w:t>
      </w:r>
      <w:r>
        <w:rPr>
          <w:sz w:val="24"/>
          <w:vertAlign w:val="subscript"/>
        </w:rPr>
        <w:t xml:space="preserve">1 </w:t>
      </w:r>
      <w:r>
        <w:rPr>
          <w:rFonts w:ascii="Segoe UI Symbol" w:eastAsia="Segoe UI Symbol" w:hAnsi="Segoe UI Symbol" w:cs="Segoe UI Symbol"/>
        </w:rPr>
        <w:t xml:space="preserve"> </w:t>
      </w:r>
      <w:r>
        <w:t>0.1</w:t>
      </w:r>
      <w:r>
        <w:rPr>
          <w:i/>
        </w:rPr>
        <w:t>x</w:t>
      </w:r>
      <w:r>
        <w:rPr>
          <w:sz w:val="24"/>
          <w:vertAlign w:val="subscript"/>
        </w:rPr>
        <w:t>1</w:t>
      </w:r>
      <w:r>
        <w:rPr>
          <w:rFonts w:ascii="Segoe UI Symbol" w:eastAsia="Segoe UI Symbol" w:hAnsi="Segoe UI Symbol" w:cs="Segoe UI Symbol"/>
        </w:rPr>
        <w:t xml:space="preserve"> </w:t>
      </w:r>
      <w:r>
        <w:t>0.4</w:t>
      </w:r>
      <w:r>
        <w:rPr>
          <w:i/>
        </w:rPr>
        <w:t>x</w:t>
      </w:r>
      <w:r>
        <w:rPr>
          <w:sz w:val="24"/>
          <w:vertAlign w:val="subscript"/>
        </w:rPr>
        <w:t xml:space="preserve">2 </w:t>
      </w:r>
      <w:r>
        <w:rPr>
          <w:rFonts w:ascii="Segoe UI Symbol" w:eastAsia="Segoe UI Symbol" w:hAnsi="Segoe UI Symbol" w:cs="Segoe UI Symbol"/>
        </w:rPr>
        <w:t xml:space="preserve"> </w:t>
      </w:r>
      <w:r>
        <w:rPr>
          <w:i/>
        </w:rPr>
        <w:t>y</w:t>
      </w:r>
      <w:r>
        <w:rPr>
          <w:sz w:val="24"/>
          <w:vertAlign w:val="subscript"/>
        </w:rPr>
        <w:t>1</w:t>
      </w:r>
    </w:p>
    <w:p w:rsidR="002C0F56" w:rsidRDefault="00E67C6E">
      <w:pPr>
        <w:tabs>
          <w:tab w:val="center" w:pos="1995"/>
          <w:tab w:val="center" w:pos="4550"/>
        </w:tabs>
        <w:spacing w:after="12"/>
        <w:ind w:left="0" w:firstLine="0"/>
        <w:jc w:val="left"/>
      </w:pPr>
      <w:r>
        <w:rPr>
          <w:rFonts w:ascii="Calibri" w:eastAsia="Calibri" w:hAnsi="Calibri" w:cs="Calibri"/>
          <w:sz w:val="22"/>
        </w:rPr>
        <w:tab/>
      </w:r>
      <w:r>
        <w:rPr>
          <w:rFonts w:ascii="Segoe UI Symbol" w:eastAsia="Segoe UI Symbol" w:hAnsi="Segoe UI Symbol" w:cs="Segoe UI Symbol"/>
        </w:rPr>
        <w:t></w:t>
      </w:r>
      <w:r>
        <w:rPr>
          <w:rFonts w:ascii="Segoe UI Symbol" w:eastAsia="Segoe UI Symbol" w:hAnsi="Segoe UI Symbol" w:cs="Segoe UI Symbol"/>
        </w:rPr>
        <w:tab/>
      </w:r>
      <w:r>
        <w:t xml:space="preserve">,  </w:t>
      </w:r>
    </w:p>
    <w:p w:rsidR="002C0F56" w:rsidRDefault="00E67C6E">
      <w:pPr>
        <w:spacing w:after="454" w:line="316" w:lineRule="auto"/>
        <w:ind w:left="1558" w:right="1543" w:firstLine="368"/>
      </w:pPr>
      <w:r>
        <w:rPr>
          <w:rFonts w:ascii="Segoe UI Symbol" w:eastAsia="Segoe UI Symbol" w:hAnsi="Segoe UI Symbol" w:cs="Segoe UI Symbol"/>
        </w:rPr>
        <w:t></w:t>
      </w:r>
      <w:r>
        <w:rPr>
          <w:i/>
        </w:rPr>
        <w:t>x</w:t>
      </w:r>
      <w:r>
        <w:rPr>
          <w:sz w:val="24"/>
          <w:vertAlign w:val="subscript"/>
        </w:rPr>
        <w:t xml:space="preserve">2 </w:t>
      </w:r>
      <w:r>
        <w:rPr>
          <w:rFonts w:ascii="Segoe UI Symbol" w:eastAsia="Segoe UI Symbol" w:hAnsi="Segoe UI Symbol" w:cs="Segoe UI Symbol"/>
        </w:rPr>
        <w:t xml:space="preserve"> </w:t>
      </w:r>
      <w:r>
        <w:t>0</w:t>
      </w:r>
      <w:r>
        <w:t>.8</w:t>
      </w:r>
      <w:r>
        <w:rPr>
          <w:i/>
        </w:rPr>
        <w:t>x</w:t>
      </w:r>
      <w:r>
        <w:rPr>
          <w:sz w:val="24"/>
          <w:vertAlign w:val="subscript"/>
        </w:rPr>
        <w:t>1</w:t>
      </w:r>
      <w:r>
        <w:rPr>
          <w:rFonts w:ascii="Segoe UI Symbol" w:eastAsia="Segoe UI Symbol" w:hAnsi="Segoe UI Symbol" w:cs="Segoe UI Symbol"/>
        </w:rPr>
        <w:t xml:space="preserve"> </w:t>
      </w:r>
      <w:r>
        <w:t>0.2</w:t>
      </w:r>
      <w:r>
        <w:rPr>
          <w:i/>
        </w:rPr>
        <w:t>x</w:t>
      </w:r>
      <w:r>
        <w:rPr>
          <w:sz w:val="24"/>
          <w:vertAlign w:val="subscript"/>
        </w:rPr>
        <w:t xml:space="preserve">2 </w:t>
      </w:r>
      <w:r>
        <w:rPr>
          <w:rFonts w:ascii="Segoe UI Symbol" w:eastAsia="Segoe UI Symbol" w:hAnsi="Segoe UI Symbol" w:cs="Segoe UI Symbol"/>
        </w:rPr>
        <w:t xml:space="preserve"> </w:t>
      </w:r>
      <w:r>
        <w:rPr>
          <w:i/>
        </w:rPr>
        <w:t>y</w:t>
      </w:r>
      <w:r>
        <w:rPr>
          <w:sz w:val="24"/>
          <w:vertAlign w:val="subscript"/>
        </w:rPr>
        <w:t xml:space="preserve">2 </w:t>
      </w:r>
      <w:r>
        <w:t xml:space="preserve">где </w:t>
      </w:r>
      <w:r>
        <w:rPr>
          <w:i/>
        </w:rPr>
        <w:t>x</w:t>
      </w:r>
      <w:r>
        <w:rPr>
          <w:i/>
          <w:vertAlign w:val="subscript"/>
        </w:rPr>
        <w:t>i</w:t>
      </w:r>
      <w:r>
        <w:rPr>
          <w:i/>
        </w:rPr>
        <w:t xml:space="preserve"> – </w:t>
      </w:r>
      <w:r>
        <w:t>совокупный продукт i-той фирмы</w:t>
      </w:r>
      <w:r>
        <w:rPr>
          <w:i/>
        </w:rPr>
        <w:t>, y</w:t>
      </w:r>
      <w:r>
        <w:rPr>
          <w:i/>
          <w:vertAlign w:val="subscript"/>
        </w:rPr>
        <w:t>i</w:t>
      </w:r>
      <w:r>
        <w:rPr>
          <w:i/>
        </w:rPr>
        <w:t xml:space="preserve"> – </w:t>
      </w:r>
      <w:r>
        <w:t xml:space="preserve">конечный продукт.  Пусть </w:t>
      </w:r>
      <w:r>
        <w:rPr>
          <w:i/>
        </w:rPr>
        <w:t>y</w:t>
      </w:r>
      <w:r>
        <w:rPr>
          <w:i/>
          <w:vertAlign w:val="subscript"/>
        </w:rPr>
        <w:t>1</w:t>
      </w:r>
      <w:r>
        <w:t>=60</w:t>
      </w:r>
      <w:r>
        <w:rPr>
          <w:i/>
        </w:rPr>
        <w:t>, y</w:t>
      </w:r>
      <w:r>
        <w:rPr>
          <w:i/>
          <w:vertAlign w:val="subscript"/>
        </w:rPr>
        <w:t>2</w:t>
      </w:r>
      <w:r>
        <w:t>=80</w:t>
      </w:r>
      <w:r>
        <w:rPr>
          <w:i/>
        </w:rPr>
        <w:t>.</w:t>
      </w:r>
      <w:r>
        <w:t xml:space="preserve"> Тогда в нашем случае  </w:t>
      </w:r>
    </w:p>
    <w:p w:rsidR="002C0F56" w:rsidRDefault="00E67C6E">
      <w:pPr>
        <w:tabs>
          <w:tab w:val="center" w:pos="2187"/>
          <w:tab w:val="center" w:pos="3963"/>
          <w:tab w:val="center" w:pos="6194"/>
        </w:tabs>
        <w:spacing w:after="400"/>
        <w:ind w:left="0" w:firstLine="0"/>
        <w:jc w:val="left"/>
      </w:pPr>
      <w:r>
        <w:rPr>
          <w:rFonts w:ascii="Calibri" w:eastAsia="Calibri" w:hAnsi="Calibri" w:cs="Calibri"/>
          <w:sz w:val="22"/>
        </w:rPr>
        <w:lastRenderedPageBreak/>
        <w:tab/>
      </w:r>
      <w:r>
        <w:t>(E-A)</w:t>
      </w:r>
      <w:r>
        <w:rPr>
          <w:sz w:val="18"/>
        </w:rPr>
        <w:t>-1</w:t>
      </w:r>
      <w: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22</w:t>
      </w:r>
      <w:r>
        <w:tab/>
        <w:t>2.125</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а Х =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22</w:t>
      </w:r>
      <w:r>
        <w:tab/>
        <w:t>2,125</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8060</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 xml:space="preserve"> </w:t>
      </w:r>
      <w:r>
        <w:rPr>
          <w:rFonts w:ascii="Segoe UI Symbol" w:eastAsia="Segoe UI Symbol" w:hAnsi="Segoe UI Symbol" w:cs="Segoe UI Symbol"/>
        </w:rPr>
        <w:t xml:space="preserve">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300200</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 xml:space="preserve"> </w:t>
      </w:r>
      <w:r>
        <w:t xml:space="preserve">. </w:t>
      </w:r>
    </w:p>
    <w:p w:rsidR="002C0F56" w:rsidRDefault="00E67C6E">
      <w:pPr>
        <w:ind w:left="994" w:right="302"/>
      </w:pPr>
      <w:r>
        <w:t xml:space="preserve">Следовательно, чтобы удовлетворить конечный спрос, совокупный продукт Ф1 и Ф2 должен составить 200 и 300 соответственно. </w:t>
      </w:r>
    </w:p>
    <w:p w:rsidR="002C0F56" w:rsidRDefault="00E67C6E">
      <w:pPr>
        <w:spacing w:after="510"/>
        <w:ind w:left="1558" w:right="302" w:firstLine="0"/>
      </w:pPr>
      <w:r>
        <w:t xml:space="preserve">Попробуем увеличить вариативность задачи. Проведём параметризацию: </w:t>
      </w:r>
    </w:p>
    <w:p w:rsidR="002C0F56" w:rsidRDefault="00E67C6E">
      <w:pPr>
        <w:spacing w:after="294" w:line="383" w:lineRule="auto"/>
        <w:ind w:left="3608" w:right="1525" w:hanging="2050"/>
      </w:pPr>
      <w:r>
        <w:t>Х=(Е-А)</w:t>
      </w:r>
      <w:r>
        <w:rPr>
          <w:sz w:val="18"/>
        </w:rPr>
        <w:t>-1</w:t>
      </w:r>
      <w:r>
        <w:t xml:space="preserve">У; Х = </w:t>
      </w:r>
      <w:r>
        <w:rPr>
          <w:rFonts w:ascii="Segoe UI Symbol" w:eastAsia="Segoe UI Symbol" w:hAnsi="Segoe UI Symbol" w:cs="Segoe UI Symbol"/>
          <w:sz w:val="24"/>
        </w:rPr>
        <w:t></w:t>
      </w:r>
      <w:r>
        <w:rPr>
          <w:rFonts w:ascii="Segoe UI Symbol" w:eastAsia="Segoe UI Symbol" w:hAnsi="Segoe UI Symbol" w:cs="Segoe UI Symbol"/>
          <w:sz w:val="24"/>
        </w:rPr>
        <w:t></w:t>
      </w:r>
      <w:r>
        <w:rPr>
          <w:sz w:val="24"/>
        </w:rPr>
        <w:t>22</w:t>
      </w:r>
      <w:r>
        <w:rPr>
          <w:sz w:val="24"/>
        </w:rPr>
        <w:tab/>
        <w:t>2,125</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i/>
          <w:sz w:val="36"/>
        </w:rPr>
        <w:t>уу</w:t>
      </w:r>
      <w:r>
        <w:rPr>
          <w:sz w:val="14"/>
        </w:rPr>
        <w:t>12</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 xml:space="preserve"> </w:t>
      </w:r>
      <w:r>
        <w:rPr>
          <w:rFonts w:ascii="Segoe UI Symbol" w:eastAsia="Segoe UI Symbol" w:hAnsi="Segoe UI Symbol" w:cs="Segoe UI Symbol"/>
          <w:sz w:val="24"/>
        </w:rPr>
        <w:t xml:space="preserve"> </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i/>
          <w:sz w:val="24"/>
        </w:rPr>
        <w:t>ba</w:t>
      </w:r>
      <w:r>
        <w:rPr>
          <w:rFonts w:ascii="Segoe UI Symbol" w:eastAsia="Segoe UI Symbol" w:hAnsi="Segoe UI Symbol" w:cs="Segoe UI Symbol"/>
          <w:sz w:val="24"/>
        </w:rPr>
        <w:t></w:t>
      </w:r>
      <w:r>
        <w:rPr>
          <w:rFonts w:ascii="Segoe UI Symbol" w:eastAsia="Segoe UI Symbol" w:hAnsi="Segoe UI Symbol" w:cs="Segoe UI Symbol"/>
          <w:sz w:val="24"/>
        </w:rPr>
        <w:t></w:t>
      </w:r>
      <w:r>
        <w:rPr>
          <w:sz w:val="24"/>
        </w:rPr>
        <w:t>100100</w:t>
      </w: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 xml:space="preserve"> </w:t>
      </w:r>
      <w:r>
        <w:t>. Дал</w:t>
      </w:r>
      <w:r>
        <w:t xml:space="preserve">ее составим систему: </w:t>
      </w:r>
      <w:r>
        <w:rPr>
          <w:rFonts w:ascii="Segoe UI Symbol" w:eastAsia="Segoe UI Symbol" w:hAnsi="Segoe UI Symbol" w:cs="Segoe UI Symbol"/>
          <w:sz w:val="24"/>
        </w:rPr>
        <w:t></w:t>
      </w:r>
    </w:p>
    <w:p w:rsidR="002C0F56" w:rsidRDefault="00E67C6E">
      <w:pPr>
        <w:spacing w:after="5"/>
        <w:ind w:left="1760" w:right="738" w:firstLine="0"/>
      </w:pPr>
      <w:r>
        <w:rPr>
          <w:rFonts w:ascii="Segoe UI Symbol" w:eastAsia="Segoe UI Symbol" w:hAnsi="Segoe UI Symbol" w:cs="Segoe UI Symbol"/>
          <w:sz w:val="24"/>
        </w:rPr>
        <w:t></w:t>
      </w:r>
      <w:r>
        <w:rPr>
          <w:rFonts w:ascii="Segoe UI Symbol" w:eastAsia="Segoe UI Symbol" w:hAnsi="Segoe UI Symbol" w:cs="Segoe UI Symbol"/>
          <w:sz w:val="24"/>
        </w:rPr>
        <w:t></w:t>
      </w:r>
      <w:r>
        <w:rPr>
          <w:rFonts w:ascii="Segoe UI Symbol" w:eastAsia="Segoe UI Symbol" w:hAnsi="Segoe UI Symbol" w:cs="Segoe UI Symbol"/>
          <w:sz w:val="24"/>
        </w:rPr>
        <w:t></w:t>
      </w:r>
      <w:r>
        <w:rPr>
          <w:sz w:val="24"/>
        </w:rPr>
        <w:t>2</w:t>
      </w:r>
      <w:r>
        <w:rPr>
          <w:i/>
          <w:sz w:val="24"/>
        </w:rPr>
        <w:t>y</w:t>
      </w:r>
      <w:r>
        <w:rPr>
          <w:sz w:val="24"/>
        </w:rPr>
        <w:t>1</w:t>
      </w:r>
      <w:r>
        <w:rPr>
          <w:rFonts w:ascii="Segoe UI Symbol" w:eastAsia="Segoe UI Symbol" w:hAnsi="Segoe UI Symbol" w:cs="Segoe UI Symbol"/>
          <w:sz w:val="24"/>
        </w:rPr>
        <w:t xml:space="preserve"> </w:t>
      </w:r>
      <w:r>
        <w:rPr>
          <w:i/>
          <w:sz w:val="24"/>
        </w:rPr>
        <w:t>y</w:t>
      </w:r>
      <w:r>
        <w:rPr>
          <w:sz w:val="24"/>
        </w:rPr>
        <w:t xml:space="preserve">2 </w:t>
      </w:r>
      <w:r>
        <w:rPr>
          <w:rFonts w:ascii="Segoe UI Symbol" w:eastAsia="Segoe UI Symbol" w:hAnsi="Segoe UI Symbol" w:cs="Segoe UI Symbol"/>
          <w:sz w:val="24"/>
        </w:rPr>
        <w:t xml:space="preserve"> </w:t>
      </w:r>
      <w:r>
        <w:rPr>
          <w:i/>
          <w:sz w:val="24"/>
        </w:rPr>
        <w:t>a</w:t>
      </w:r>
      <w:r>
        <w:rPr>
          <w:rFonts w:ascii="Segoe UI Symbol" w:eastAsia="Segoe UI Symbol" w:hAnsi="Segoe UI Symbol" w:cs="Segoe UI Symbol"/>
          <w:sz w:val="24"/>
        </w:rPr>
        <w:t></w:t>
      </w:r>
      <w:r>
        <w:rPr>
          <w:sz w:val="24"/>
        </w:rPr>
        <w:t xml:space="preserve">100 </w:t>
      </w:r>
      <w:r>
        <w:t>В результате получится, что -1,25</w:t>
      </w:r>
      <w:r>
        <w:rPr>
          <w:i/>
        </w:rPr>
        <w:t>у</w:t>
      </w:r>
      <w:r>
        <w:rPr>
          <w:i/>
          <w:sz w:val="18"/>
        </w:rPr>
        <w:t>2</w:t>
      </w:r>
      <w:r>
        <w:rPr>
          <w:i/>
        </w:rPr>
        <w:t>=(a-b)</w:t>
      </w:r>
      <w:r>
        <w:t xml:space="preserve">100. </w:t>
      </w:r>
      <w:r>
        <w:rPr>
          <w:rFonts w:ascii="Segoe UI Symbol" w:eastAsia="Segoe UI Symbol" w:hAnsi="Segoe UI Symbol" w:cs="Segoe UI Symbol"/>
          <w:sz w:val="24"/>
        </w:rPr>
        <w:t></w:t>
      </w:r>
      <w:r>
        <w:rPr>
          <w:rFonts w:ascii="Segoe UI Symbol" w:eastAsia="Segoe UI Symbol" w:hAnsi="Segoe UI Symbol" w:cs="Segoe UI Symbol"/>
          <w:sz w:val="37"/>
          <w:vertAlign w:val="subscript"/>
        </w:rPr>
        <w:t></w:t>
      </w:r>
      <w:r>
        <w:rPr>
          <w:sz w:val="24"/>
        </w:rPr>
        <w:t>2</w:t>
      </w:r>
      <w:r>
        <w:rPr>
          <w:i/>
          <w:sz w:val="24"/>
        </w:rPr>
        <w:t>y</w:t>
      </w:r>
      <w:r>
        <w:rPr>
          <w:sz w:val="24"/>
        </w:rPr>
        <w:t>1</w:t>
      </w:r>
      <w:r>
        <w:rPr>
          <w:rFonts w:ascii="Segoe UI Symbol" w:eastAsia="Segoe UI Symbol" w:hAnsi="Segoe UI Symbol" w:cs="Segoe UI Symbol"/>
          <w:sz w:val="24"/>
        </w:rPr>
        <w:t xml:space="preserve"> </w:t>
      </w:r>
      <w:r>
        <w:rPr>
          <w:sz w:val="24"/>
        </w:rPr>
        <w:t>2.25</w:t>
      </w:r>
      <w:r>
        <w:rPr>
          <w:i/>
          <w:sz w:val="24"/>
        </w:rPr>
        <w:t>y</w:t>
      </w:r>
      <w:r>
        <w:rPr>
          <w:sz w:val="24"/>
        </w:rPr>
        <w:t xml:space="preserve">2 </w:t>
      </w:r>
      <w:r>
        <w:rPr>
          <w:rFonts w:ascii="Segoe UI Symbol" w:eastAsia="Segoe UI Symbol" w:hAnsi="Segoe UI Symbol" w:cs="Segoe UI Symbol"/>
          <w:sz w:val="24"/>
        </w:rPr>
        <w:t xml:space="preserve"> </w:t>
      </w:r>
      <w:r>
        <w:rPr>
          <w:i/>
          <w:sz w:val="24"/>
        </w:rPr>
        <w:t>b</w:t>
      </w:r>
      <w:r>
        <w:rPr>
          <w:rFonts w:ascii="Segoe UI Symbol" w:eastAsia="Segoe UI Symbol" w:hAnsi="Segoe UI Symbol" w:cs="Segoe UI Symbol"/>
          <w:sz w:val="24"/>
        </w:rPr>
        <w:t></w:t>
      </w:r>
      <w:r>
        <w:rPr>
          <w:sz w:val="24"/>
        </w:rPr>
        <w:t>100</w:t>
      </w:r>
    </w:p>
    <w:p w:rsidR="002C0F56" w:rsidRDefault="00E67C6E">
      <w:pPr>
        <w:ind w:left="994" w:right="302"/>
      </w:pPr>
      <w:r>
        <w:t xml:space="preserve">Отсюда мы видим, что a должно быть меньше b. Значит, можно взять и задать значения параметров </w:t>
      </w:r>
      <w:r>
        <w:rPr>
          <w:i/>
        </w:rPr>
        <w:t>a</w:t>
      </w:r>
      <w:r>
        <w:t xml:space="preserve">={1,2,3,4}, </w:t>
      </w:r>
      <w:r>
        <w:rPr>
          <w:i/>
        </w:rPr>
        <w:t>b</w:t>
      </w:r>
      <w:r>
        <w:t xml:space="preserve">={5,6,7,8,9}. </w:t>
      </w:r>
    </w:p>
    <w:p w:rsidR="002C0F56" w:rsidRDefault="00E67C6E">
      <w:pPr>
        <w:ind w:left="994" w:right="302"/>
      </w:pPr>
      <w:r>
        <w:t>С учётом экономической интерпретации модели Х=(Е-А)</w:t>
      </w:r>
      <w:r>
        <w:rPr>
          <w:vertAlign w:val="superscript"/>
        </w:rPr>
        <w:t>-1</w:t>
      </w:r>
      <w:r>
        <w:t xml:space="preserve">У вектор Х валового выпуска должен быть неотрицателен. Поэтому говорят, что модель Леонтьева продуктивна [1], если уравнение имеет неотрицательное решение для любого вектора конечно сырья </w:t>
      </w:r>
      <w:r>
        <w:rPr>
          <w:i/>
        </w:rPr>
        <w:t xml:space="preserve">у ≥ 0, </w:t>
      </w:r>
      <w:r>
        <w:t xml:space="preserve">то есть </w:t>
      </w:r>
      <w:r>
        <w:t xml:space="preserve">матрица А позволяет произвести любой неотрицательный вектор потребления. Но этот факт не имеет хорошей экономической интерпретации.  </w:t>
      </w:r>
    </w:p>
    <w:p w:rsidR="002C0F56" w:rsidRDefault="00E67C6E">
      <w:pPr>
        <w:ind w:left="994" w:right="302"/>
      </w:pPr>
      <w:r>
        <w:t xml:space="preserve">Таким образом, основная задача межотраслевого баланса заключается в отыскании такого валового объёма продукции для каждой </w:t>
      </w:r>
      <w:r>
        <w:t xml:space="preserve">из отраслей, который при известных прямых затратах обеспечивает заданный конечный продукт [1]. </w:t>
      </w:r>
    </w:p>
    <w:p w:rsidR="002C0F56" w:rsidRDefault="00E67C6E">
      <w:pPr>
        <w:ind w:left="994" w:right="302"/>
      </w:pPr>
      <w:r>
        <w:rPr>
          <w:b/>
        </w:rPr>
        <w:t>Задача 1.</w:t>
      </w:r>
      <w:r>
        <w:t xml:space="preserve"> В таблице 2 приведены данные об исполнении баланса за отчетный период, </w:t>
      </w:r>
      <w:r>
        <w:rPr>
          <w:i/>
        </w:rPr>
        <w:t>ден. ед.</w:t>
      </w:r>
      <w:r>
        <w:t xml:space="preserve">: </w:t>
      </w:r>
    </w:p>
    <w:p w:rsidR="002C0F56" w:rsidRDefault="00E67C6E">
      <w:pPr>
        <w:spacing w:after="5" w:line="271" w:lineRule="auto"/>
        <w:ind w:left="2223" w:right="396" w:hanging="10"/>
        <w:jc w:val="left"/>
      </w:pPr>
      <w:r>
        <w:rPr>
          <w:i/>
          <w:sz w:val="24"/>
        </w:rPr>
        <w:t>Таблица 2</w:t>
      </w:r>
      <w:r>
        <w:rPr>
          <w:sz w:val="24"/>
        </w:rPr>
        <w:t xml:space="preserve">– </w:t>
      </w:r>
      <w:r>
        <w:rPr>
          <w:b/>
          <w:sz w:val="24"/>
        </w:rPr>
        <w:t xml:space="preserve">Данные об исполнении баланса за отчетный период, ден.ед. </w:t>
      </w:r>
    </w:p>
    <w:tbl>
      <w:tblPr>
        <w:tblStyle w:val="TableGrid"/>
        <w:tblW w:w="7559" w:type="dxa"/>
        <w:tblInd w:w="2033" w:type="dxa"/>
        <w:tblCellMar>
          <w:top w:w="0" w:type="dxa"/>
          <w:left w:w="103" w:type="dxa"/>
          <w:bottom w:w="0" w:type="dxa"/>
          <w:right w:w="38" w:type="dxa"/>
        </w:tblCellMar>
        <w:tblLook w:val="04A0" w:firstRow="1" w:lastRow="0" w:firstColumn="1" w:lastColumn="0" w:noHBand="0" w:noVBand="1"/>
      </w:tblPr>
      <w:tblGrid>
        <w:gridCol w:w="1643"/>
        <w:gridCol w:w="331"/>
        <w:gridCol w:w="774"/>
        <w:gridCol w:w="774"/>
        <w:gridCol w:w="2157"/>
        <w:gridCol w:w="1880"/>
      </w:tblGrid>
      <w:tr w:rsidR="002C0F56">
        <w:trPr>
          <w:trHeight w:val="487"/>
        </w:trPr>
        <w:tc>
          <w:tcPr>
            <w:tcW w:w="1975" w:type="dxa"/>
            <w:gridSpan w:val="2"/>
            <w:vMerge w:val="restart"/>
            <w:tcBorders>
              <w:top w:val="single" w:sz="6" w:space="0" w:color="A0A0A0"/>
              <w:left w:val="single" w:sz="6" w:space="0" w:color="F0F0F0"/>
              <w:bottom w:val="nil"/>
              <w:right w:val="single" w:sz="6" w:space="0" w:color="A0A0A0"/>
            </w:tcBorders>
            <w:vAlign w:val="bottom"/>
          </w:tcPr>
          <w:p w:rsidR="002C0F56" w:rsidRDefault="00E67C6E">
            <w:pPr>
              <w:spacing w:after="0" w:line="259" w:lineRule="auto"/>
              <w:ind w:left="0" w:right="68" w:firstLine="0"/>
              <w:jc w:val="center"/>
            </w:pPr>
            <w:r>
              <w:rPr>
                <w:sz w:val="24"/>
              </w:rPr>
              <w:t xml:space="preserve">Отрасль </w:t>
            </w:r>
          </w:p>
        </w:tc>
        <w:tc>
          <w:tcPr>
            <w:tcW w:w="1548" w:type="dxa"/>
            <w:gridSpan w:val="2"/>
            <w:tcBorders>
              <w:top w:val="single" w:sz="6" w:space="0" w:color="A0A0A0"/>
              <w:left w:val="single" w:sz="6" w:space="0" w:color="F0F0F0"/>
              <w:bottom w:val="single" w:sz="6" w:space="0" w:color="A0A0A0"/>
              <w:right w:val="single" w:sz="6" w:space="0" w:color="A0A0A0"/>
            </w:tcBorders>
            <w:vAlign w:val="center"/>
          </w:tcPr>
          <w:p w:rsidR="002C0F56" w:rsidRDefault="00E67C6E">
            <w:pPr>
              <w:spacing w:after="0" w:line="259" w:lineRule="auto"/>
              <w:ind w:left="4" w:firstLine="0"/>
            </w:pPr>
            <w:r>
              <w:rPr>
                <w:sz w:val="24"/>
              </w:rPr>
              <w:t xml:space="preserve">Потребление </w:t>
            </w:r>
          </w:p>
        </w:tc>
        <w:tc>
          <w:tcPr>
            <w:tcW w:w="2157" w:type="dxa"/>
            <w:vMerge w:val="restart"/>
            <w:tcBorders>
              <w:top w:val="single" w:sz="6" w:space="0" w:color="A0A0A0"/>
              <w:left w:val="single" w:sz="6" w:space="0" w:color="A0A0A0"/>
              <w:bottom w:val="nil"/>
              <w:right w:val="single" w:sz="6" w:space="0" w:color="A0A0A0"/>
            </w:tcBorders>
            <w:vAlign w:val="bottom"/>
          </w:tcPr>
          <w:p w:rsidR="002C0F56" w:rsidRDefault="00E67C6E">
            <w:pPr>
              <w:spacing w:after="0" w:line="259" w:lineRule="auto"/>
              <w:ind w:left="4" w:firstLine="0"/>
            </w:pPr>
            <w:r>
              <w:rPr>
                <w:sz w:val="24"/>
              </w:rPr>
              <w:t xml:space="preserve">Конечный продукт </w:t>
            </w:r>
          </w:p>
        </w:tc>
        <w:tc>
          <w:tcPr>
            <w:tcW w:w="1880" w:type="dxa"/>
            <w:vMerge w:val="restart"/>
            <w:tcBorders>
              <w:top w:val="single" w:sz="6" w:space="0" w:color="A0A0A0"/>
              <w:left w:val="single" w:sz="6" w:space="0" w:color="A0A0A0"/>
              <w:bottom w:val="nil"/>
              <w:right w:val="single" w:sz="6" w:space="0" w:color="A0A0A0"/>
            </w:tcBorders>
            <w:vAlign w:val="bottom"/>
          </w:tcPr>
          <w:p w:rsidR="002C0F56" w:rsidRDefault="00E67C6E">
            <w:pPr>
              <w:spacing w:after="0" w:line="259" w:lineRule="auto"/>
              <w:ind w:left="2" w:firstLine="0"/>
            </w:pPr>
            <w:r>
              <w:rPr>
                <w:sz w:val="24"/>
              </w:rPr>
              <w:t xml:space="preserve">Валовой выпуск </w:t>
            </w:r>
          </w:p>
        </w:tc>
      </w:tr>
      <w:tr w:rsidR="002C0F56">
        <w:trPr>
          <w:trHeight w:val="124"/>
        </w:trPr>
        <w:tc>
          <w:tcPr>
            <w:tcW w:w="0" w:type="auto"/>
            <w:gridSpan w:val="2"/>
            <w:vMerge/>
            <w:tcBorders>
              <w:top w:val="nil"/>
              <w:left w:val="single" w:sz="6" w:space="0" w:color="F0F0F0"/>
              <w:bottom w:val="nil"/>
              <w:right w:val="single" w:sz="6" w:space="0" w:color="A0A0A0"/>
            </w:tcBorders>
          </w:tcPr>
          <w:p w:rsidR="002C0F56" w:rsidRDefault="002C0F56">
            <w:pPr>
              <w:spacing w:after="160" w:line="259" w:lineRule="auto"/>
              <w:ind w:left="0" w:firstLine="0"/>
              <w:jc w:val="left"/>
            </w:pPr>
          </w:p>
        </w:tc>
        <w:tc>
          <w:tcPr>
            <w:tcW w:w="774" w:type="dxa"/>
            <w:tcBorders>
              <w:top w:val="single" w:sz="6" w:space="0" w:color="A0A0A0"/>
              <w:left w:val="single" w:sz="6" w:space="0" w:color="A0A0A0"/>
              <w:bottom w:val="nil"/>
              <w:right w:val="single" w:sz="6" w:space="0" w:color="A0A0A0"/>
            </w:tcBorders>
          </w:tcPr>
          <w:p w:rsidR="002C0F56" w:rsidRDefault="002C0F56">
            <w:pPr>
              <w:spacing w:after="160" w:line="259" w:lineRule="auto"/>
              <w:ind w:left="0" w:firstLine="0"/>
              <w:jc w:val="left"/>
            </w:pPr>
          </w:p>
        </w:tc>
        <w:tc>
          <w:tcPr>
            <w:tcW w:w="774" w:type="dxa"/>
            <w:tcBorders>
              <w:top w:val="single" w:sz="6" w:space="0" w:color="A0A0A0"/>
              <w:left w:val="single" w:sz="6" w:space="0" w:color="A0A0A0"/>
              <w:bottom w:val="nil"/>
              <w:right w:val="single" w:sz="6" w:space="0" w:color="A0A0A0"/>
            </w:tcBorders>
          </w:tcPr>
          <w:p w:rsidR="002C0F56" w:rsidRDefault="002C0F56">
            <w:pPr>
              <w:spacing w:after="160" w:line="259" w:lineRule="auto"/>
              <w:ind w:left="0" w:firstLine="0"/>
              <w:jc w:val="left"/>
            </w:pPr>
          </w:p>
        </w:tc>
        <w:tc>
          <w:tcPr>
            <w:tcW w:w="0" w:type="auto"/>
            <w:vMerge/>
            <w:tcBorders>
              <w:top w:val="nil"/>
              <w:left w:val="single" w:sz="6" w:space="0" w:color="A0A0A0"/>
              <w:bottom w:val="nil"/>
              <w:right w:val="single" w:sz="6" w:space="0" w:color="A0A0A0"/>
            </w:tcBorders>
          </w:tcPr>
          <w:p w:rsidR="002C0F56" w:rsidRDefault="002C0F56">
            <w:pPr>
              <w:spacing w:after="160" w:line="259" w:lineRule="auto"/>
              <w:ind w:left="0" w:firstLine="0"/>
              <w:jc w:val="left"/>
            </w:pPr>
          </w:p>
        </w:tc>
        <w:tc>
          <w:tcPr>
            <w:tcW w:w="0" w:type="auto"/>
            <w:vMerge/>
            <w:tcBorders>
              <w:top w:val="nil"/>
              <w:left w:val="single" w:sz="6" w:space="0" w:color="A0A0A0"/>
              <w:bottom w:val="nil"/>
              <w:right w:val="single" w:sz="6" w:space="0" w:color="A0A0A0"/>
            </w:tcBorders>
          </w:tcPr>
          <w:p w:rsidR="002C0F56" w:rsidRDefault="002C0F56">
            <w:pPr>
              <w:spacing w:after="160" w:line="259" w:lineRule="auto"/>
              <w:ind w:left="0" w:firstLine="0"/>
              <w:jc w:val="left"/>
            </w:pPr>
          </w:p>
        </w:tc>
      </w:tr>
      <w:tr w:rsidR="002C0F56">
        <w:trPr>
          <w:trHeight w:val="361"/>
        </w:trPr>
        <w:tc>
          <w:tcPr>
            <w:tcW w:w="1975" w:type="dxa"/>
            <w:gridSpan w:val="2"/>
            <w:tcBorders>
              <w:top w:val="nil"/>
              <w:left w:val="single" w:sz="6" w:space="0" w:color="F0F0F0"/>
              <w:bottom w:val="single" w:sz="6" w:space="0" w:color="A0A0A0"/>
              <w:right w:val="single" w:sz="6" w:space="0" w:color="A0A0A0"/>
            </w:tcBorders>
          </w:tcPr>
          <w:p w:rsidR="002C0F56" w:rsidRDefault="002C0F56">
            <w:pPr>
              <w:spacing w:after="160" w:line="259" w:lineRule="auto"/>
              <w:ind w:left="0" w:firstLine="0"/>
              <w:jc w:val="left"/>
            </w:pPr>
          </w:p>
        </w:tc>
        <w:tc>
          <w:tcPr>
            <w:tcW w:w="774" w:type="dxa"/>
            <w:tcBorders>
              <w:top w:val="nil"/>
              <w:left w:val="single" w:sz="6" w:space="0" w:color="A0A0A0"/>
              <w:bottom w:val="single" w:sz="6" w:space="0" w:color="A0A0A0"/>
              <w:right w:val="single" w:sz="6" w:space="0" w:color="A0A0A0"/>
            </w:tcBorders>
          </w:tcPr>
          <w:p w:rsidR="002C0F56" w:rsidRDefault="00E67C6E">
            <w:pPr>
              <w:spacing w:after="0" w:line="259" w:lineRule="auto"/>
              <w:ind w:left="0" w:right="64" w:firstLine="0"/>
              <w:jc w:val="center"/>
            </w:pPr>
            <w:r>
              <w:rPr>
                <w:sz w:val="24"/>
              </w:rPr>
              <w:t xml:space="preserve">1 </w:t>
            </w:r>
          </w:p>
        </w:tc>
        <w:tc>
          <w:tcPr>
            <w:tcW w:w="774" w:type="dxa"/>
            <w:tcBorders>
              <w:top w:val="nil"/>
              <w:left w:val="single" w:sz="6" w:space="0" w:color="A0A0A0"/>
              <w:bottom w:val="single" w:sz="6" w:space="0" w:color="A0A0A0"/>
              <w:right w:val="single" w:sz="6" w:space="0" w:color="A0A0A0"/>
            </w:tcBorders>
          </w:tcPr>
          <w:p w:rsidR="002C0F56" w:rsidRDefault="00E67C6E">
            <w:pPr>
              <w:spacing w:after="0" w:line="259" w:lineRule="auto"/>
              <w:ind w:left="0" w:right="66" w:firstLine="0"/>
              <w:jc w:val="center"/>
            </w:pPr>
            <w:r>
              <w:rPr>
                <w:sz w:val="24"/>
              </w:rPr>
              <w:t xml:space="preserve">2 </w:t>
            </w:r>
          </w:p>
        </w:tc>
        <w:tc>
          <w:tcPr>
            <w:tcW w:w="2157" w:type="dxa"/>
            <w:tcBorders>
              <w:top w:val="nil"/>
              <w:left w:val="single" w:sz="6" w:space="0" w:color="A0A0A0"/>
              <w:bottom w:val="single" w:sz="6" w:space="0" w:color="A0A0A0"/>
              <w:right w:val="single" w:sz="6" w:space="0" w:color="A0A0A0"/>
            </w:tcBorders>
          </w:tcPr>
          <w:p w:rsidR="002C0F56" w:rsidRDefault="002C0F56">
            <w:pPr>
              <w:spacing w:after="160" w:line="259" w:lineRule="auto"/>
              <w:ind w:left="0" w:firstLine="0"/>
              <w:jc w:val="left"/>
            </w:pPr>
          </w:p>
        </w:tc>
        <w:tc>
          <w:tcPr>
            <w:tcW w:w="1880" w:type="dxa"/>
            <w:tcBorders>
              <w:top w:val="nil"/>
              <w:left w:val="single" w:sz="6" w:space="0" w:color="A0A0A0"/>
              <w:bottom w:val="single" w:sz="6" w:space="0" w:color="A0A0A0"/>
              <w:right w:val="single" w:sz="6" w:space="0" w:color="A0A0A0"/>
            </w:tcBorders>
          </w:tcPr>
          <w:p w:rsidR="002C0F56" w:rsidRDefault="002C0F56">
            <w:pPr>
              <w:spacing w:after="160" w:line="259" w:lineRule="auto"/>
              <w:ind w:left="0" w:firstLine="0"/>
              <w:jc w:val="left"/>
            </w:pPr>
          </w:p>
        </w:tc>
      </w:tr>
      <w:tr w:rsidR="002C0F56">
        <w:trPr>
          <w:trHeight w:val="487"/>
        </w:trPr>
        <w:tc>
          <w:tcPr>
            <w:tcW w:w="1644" w:type="dxa"/>
            <w:vMerge w:val="restart"/>
            <w:tcBorders>
              <w:top w:val="single" w:sz="6" w:space="0" w:color="A0A0A0"/>
              <w:left w:val="single" w:sz="6" w:space="0" w:color="F0F0F0"/>
              <w:bottom w:val="single" w:sz="6" w:space="0" w:color="A0A0A0"/>
              <w:right w:val="single" w:sz="6" w:space="0" w:color="A0A0A0"/>
            </w:tcBorders>
            <w:vAlign w:val="center"/>
          </w:tcPr>
          <w:p w:rsidR="002C0F56" w:rsidRDefault="00E67C6E">
            <w:pPr>
              <w:spacing w:after="0" w:line="259" w:lineRule="auto"/>
              <w:ind w:left="0" w:firstLine="0"/>
            </w:pPr>
            <w:r>
              <w:rPr>
                <w:sz w:val="24"/>
              </w:rPr>
              <w:t xml:space="preserve">Производство </w:t>
            </w:r>
          </w:p>
        </w:tc>
        <w:tc>
          <w:tcPr>
            <w:tcW w:w="331" w:type="dxa"/>
            <w:tcBorders>
              <w:top w:val="single" w:sz="6" w:space="0" w:color="A0A0A0"/>
              <w:left w:val="single" w:sz="6" w:space="0" w:color="F0F0F0"/>
              <w:bottom w:val="single" w:sz="6" w:space="0" w:color="A0A0A0"/>
              <w:right w:val="single" w:sz="6" w:space="0" w:color="A0A0A0"/>
            </w:tcBorders>
            <w:vAlign w:val="center"/>
          </w:tcPr>
          <w:p w:rsidR="002C0F56" w:rsidRDefault="00E67C6E">
            <w:pPr>
              <w:spacing w:after="0" w:line="259" w:lineRule="auto"/>
              <w:ind w:left="2" w:firstLine="0"/>
              <w:jc w:val="left"/>
            </w:pPr>
            <w:r>
              <w:rPr>
                <w:sz w:val="24"/>
              </w:rPr>
              <w:t xml:space="preserve">1 </w:t>
            </w:r>
          </w:p>
        </w:tc>
        <w:tc>
          <w:tcPr>
            <w:tcW w:w="774"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104" w:firstLine="0"/>
              <w:jc w:val="left"/>
            </w:pPr>
            <w:r>
              <w:rPr>
                <w:sz w:val="24"/>
              </w:rPr>
              <w:t xml:space="preserve">100 </w:t>
            </w:r>
          </w:p>
        </w:tc>
        <w:tc>
          <w:tcPr>
            <w:tcW w:w="774"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103" w:firstLine="0"/>
              <w:jc w:val="left"/>
            </w:pPr>
            <w:r>
              <w:rPr>
                <w:sz w:val="24"/>
              </w:rPr>
              <w:t xml:space="preserve">160 </w:t>
            </w:r>
          </w:p>
        </w:tc>
        <w:tc>
          <w:tcPr>
            <w:tcW w:w="2157"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0" w:right="64" w:firstLine="0"/>
              <w:jc w:val="center"/>
            </w:pPr>
            <w:r>
              <w:rPr>
                <w:sz w:val="24"/>
              </w:rPr>
              <w:t xml:space="preserve">240 </w:t>
            </w:r>
          </w:p>
        </w:tc>
        <w:tc>
          <w:tcPr>
            <w:tcW w:w="1880"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0" w:right="58" w:firstLine="0"/>
              <w:jc w:val="center"/>
            </w:pPr>
            <w:r>
              <w:rPr>
                <w:sz w:val="24"/>
              </w:rPr>
              <w:t xml:space="preserve">500 </w:t>
            </w:r>
          </w:p>
        </w:tc>
      </w:tr>
      <w:tr w:rsidR="002C0F56">
        <w:trPr>
          <w:trHeight w:val="486"/>
        </w:trPr>
        <w:tc>
          <w:tcPr>
            <w:tcW w:w="0" w:type="auto"/>
            <w:vMerge/>
            <w:tcBorders>
              <w:top w:val="nil"/>
              <w:left w:val="single" w:sz="6" w:space="0" w:color="F0F0F0"/>
              <w:bottom w:val="single" w:sz="6" w:space="0" w:color="A0A0A0"/>
              <w:right w:val="single" w:sz="6" w:space="0" w:color="A0A0A0"/>
            </w:tcBorders>
          </w:tcPr>
          <w:p w:rsidR="002C0F56" w:rsidRDefault="002C0F56">
            <w:pPr>
              <w:spacing w:after="160" w:line="259" w:lineRule="auto"/>
              <w:ind w:left="0" w:firstLine="0"/>
              <w:jc w:val="left"/>
            </w:pPr>
          </w:p>
        </w:tc>
        <w:tc>
          <w:tcPr>
            <w:tcW w:w="331"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2" w:firstLine="0"/>
              <w:jc w:val="left"/>
            </w:pPr>
            <w:r>
              <w:rPr>
                <w:sz w:val="24"/>
              </w:rPr>
              <w:t xml:space="preserve">2 </w:t>
            </w:r>
          </w:p>
        </w:tc>
        <w:tc>
          <w:tcPr>
            <w:tcW w:w="774"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104" w:firstLine="0"/>
              <w:jc w:val="left"/>
            </w:pPr>
            <w:r>
              <w:rPr>
                <w:sz w:val="24"/>
              </w:rPr>
              <w:t xml:space="preserve">275 </w:t>
            </w:r>
          </w:p>
        </w:tc>
        <w:tc>
          <w:tcPr>
            <w:tcW w:w="774"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0" w:right="66" w:firstLine="0"/>
              <w:jc w:val="center"/>
            </w:pPr>
            <w:r>
              <w:rPr>
                <w:sz w:val="24"/>
              </w:rPr>
              <w:t xml:space="preserve">40 </w:t>
            </w:r>
          </w:p>
        </w:tc>
        <w:tc>
          <w:tcPr>
            <w:tcW w:w="2157"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0" w:right="63" w:firstLine="0"/>
              <w:jc w:val="center"/>
            </w:pPr>
            <w:r>
              <w:rPr>
                <w:sz w:val="24"/>
              </w:rPr>
              <w:t xml:space="preserve">85 </w:t>
            </w:r>
          </w:p>
        </w:tc>
        <w:tc>
          <w:tcPr>
            <w:tcW w:w="1880" w:type="dxa"/>
            <w:tcBorders>
              <w:top w:val="single" w:sz="6" w:space="0" w:color="A0A0A0"/>
              <w:left w:val="single" w:sz="6" w:space="0" w:color="A0A0A0"/>
              <w:bottom w:val="single" w:sz="6" w:space="0" w:color="A0A0A0"/>
              <w:right w:val="single" w:sz="6" w:space="0" w:color="A0A0A0"/>
            </w:tcBorders>
            <w:vAlign w:val="center"/>
          </w:tcPr>
          <w:p w:rsidR="002C0F56" w:rsidRDefault="00E67C6E">
            <w:pPr>
              <w:spacing w:after="0" w:line="259" w:lineRule="auto"/>
              <w:ind w:left="0" w:right="58" w:firstLine="0"/>
              <w:jc w:val="center"/>
            </w:pPr>
            <w:r>
              <w:rPr>
                <w:sz w:val="24"/>
              </w:rPr>
              <w:t xml:space="preserve">400 </w:t>
            </w:r>
          </w:p>
        </w:tc>
      </w:tr>
    </w:tbl>
    <w:p w:rsidR="002C0F56" w:rsidRDefault="00E67C6E">
      <w:pPr>
        <w:spacing w:after="0" w:line="259" w:lineRule="auto"/>
        <w:ind w:left="1558" w:firstLine="0"/>
        <w:jc w:val="left"/>
      </w:pPr>
      <w:r>
        <w:t xml:space="preserve"> </w:t>
      </w:r>
    </w:p>
    <w:p w:rsidR="002C0F56" w:rsidRDefault="00E67C6E">
      <w:pPr>
        <w:ind w:left="994" w:right="302"/>
      </w:pPr>
      <w:r>
        <w:t xml:space="preserve">Вычислить необходимый объем валового выпуска каждой отрасли, если конечный продукт первой отрасли должен увеличиться </w:t>
      </w:r>
      <w:r>
        <w:t xml:space="preserve">в 2 раза, а второй отрасли - на 20%.  </w:t>
      </w:r>
    </w:p>
    <w:p w:rsidR="002C0F56" w:rsidRDefault="00E67C6E">
      <w:pPr>
        <w:ind w:left="994" w:right="302"/>
      </w:pPr>
      <w:r>
        <w:rPr>
          <w:b/>
        </w:rPr>
        <w:lastRenderedPageBreak/>
        <w:t xml:space="preserve">Решение. </w:t>
      </w:r>
      <w:r>
        <w:t xml:space="preserve">Балансовые модели основываются на понятии межотраслевого баланса, который представляет собой таблицу, характеризующую связи между отраслями экономической системы. В данной задаче мы имеем </w:t>
      </w:r>
      <w:r>
        <w:rPr>
          <w:i/>
        </w:rPr>
        <w:t>x</w:t>
      </w:r>
      <w:r>
        <w:rPr>
          <w:i/>
          <w:vertAlign w:val="subscript"/>
        </w:rPr>
        <w:t>1</w:t>
      </w:r>
      <w:r>
        <w:rPr>
          <w:i/>
        </w:rPr>
        <w:t xml:space="preserve"> =500, x</w:t>
      </w:r>
      <w:r>
        <w:rPr>
          <w:i/>
          <w:vertAlign w:val="subscript"/>
        </w:rPr>
        <w:t>2</w:t>
      </w:r>
      <w:r>
        <w:rPr>
          <w:i/>
        </w:rPr>
        <w:t xml:space="preserve"> =400, x</w:t>
      </w:r>
      <w:r>
        <w:rPr>
          <w:i/>
          <w:vertAlign w:val="subscript"/>
        </w:rPr>
        <w:t>1</w:t>
      </w:r>
      <w:r>
        <w:rPr>
          <w:i/>
          <w:vertAlign w:val="subscript"/>
        </w:rPr>
        <w:t>1</w:t>
      </w:r>
      <w:r>
        <w:rPr>
          <w:i/>
        </w:rPr>
        <w:t xml:space="preserve"> =100, x</w:t>
      </w:r>
      <w:r>
        <w:rPr>
          <w:i/>
          <w:vertAlign w:val="subscript"/>
        </w:rPr>
        <w:t>12</w:t>
      </w:r>
      <w:r>
        <w:rPr>
          <w:i/>
        </w:rPr>
        <w:t xml:space="preserve"> =160, x</w:t>
      </w:r>
      <w:r>
        <w:rPr>
          <w:i/>
          <w:vertAlign w:val="subscript"/>
        </w:rPr>
        <w:t>21</w:t>
      </w:r>
      <w:r>
        <w:rPr>
          <w:i/>
        </w:rPr>
        <w:t xml:space="preserve"> =275, x</w:t>
      </w:r>
      <w:r>
        <w:rPr>
          <w:i/>
          <w:vertAlign w:val="subscript"/>
        </w:rPr>
        <w:t>22</w:t>
      </w:r>
      <w:r>
        <w:rPr>
          <w:i/>
        </w:rPr>
        <w:t xml:space="preserve"> = 40, y</w:t>
      </w:r>
      <w:r>
        <w:rPr>
          <w:i/>
          <w:vertAlign w:val="subscript"/>
        </w:rPr>
        <w:t>1</w:t>
      </w:r>
      <w:r>
        <w:rPr>
          <w:i/>
        </w:rPr>
        <w:t xml:space="preserve"> = 240, y</w:t>
      </w:r>
      <w:r>
        <w:rPr>
          <w:i/>
          <w:vertAlign w:val="subscript"/>
        </w:rPr>
        <w:t>2</w:t>
      </w:r>
      <w:r>
        <w:rPr>
          <w:i/>
        </w:rPr>
        <w:t xml:space="preserve"> = 85.</w:t>
      </w:r>
      <w:r>
        <w:t xml:space="preserve"> </w:t>
      </w:r>
    </w:p>
    <w:p w:rsidR="002C0F56" w:rsidRDefault="00E67C6E">
      <w:pPr>
        <w:ind w:left="1558" w:right="302" w:firstLine="0"/>
      </w:pPr>
      <w:r>
        <w:t xml:space="preserve">По формуле </w:t>
      </w:r>
      <w:r>
        <w:rPr>
          <w:i/>
        </w:rPr>
        <w:t>a</w:t>
      </w:r>
      <w:r>
        <w:rPr>
          <w:i/>
          <w:vertAlign w:val="subscript"/>
        </w:rPr>
        <w:t>ij</w:t>
      </w:r>
      <w:r>
        <w:rPr>
          <w:i/>
        </w:rPr>
        <w:t xml:space="preserve"> = x</w:t>
      </w:r>
      <w:r>
        <w:rPr>
          <w:i/>
          <w:vertAlign w:val="subscript"/>
        </w:rPr>
        <w:t>ij</w:t>
      </w:r>
      <w:r>
        <w:rPr>
          <w:i/>
        </w:rPr>
        <w:t xml:space="preserve"> / x</w:t>
      </w:r>
      <w:r>
        <w:rPr>
          <w:i/>
          <w:vertAlign w:val="subscript"/>
        </w:rPr>
        <w:t>j</w:t>
      </w:r>
      <w:r>
        <w:t xml:space="preserve"> находим коэффициенты прямых затрат: </w:t>
      </w:r>
      <w:r>
        <w:rPr>
          <w:i/>
        </w:rPr>
        <w:t>a</w:t>
      </w:r>
      <w:r>
        <w:rPr>
          <w:i/>
          <w:vertAlign w:val="subscript"/>
        </w:rPr>
        <w:t>11</w:t>
      </w:r>
      <w:r>
        <w:rPr>
          <w:i/>
        </w:rPr>
        <w:t xml:space="preserve"> = </w:t>
      </w:r>
    </w:p>
    <w:p w:rsidR="002C0F56" w:rsidRDefault="00E67C6E">
      <w:pPr>
        <w:ind w:left="1023" w:right="302" w:hanging="29"/>
      </w:pPr>
      <w:r>
        <w:rPr>
          <w:i/>
        </w:rPr>
        <w:t>0,2; a</w:t>
      </w:r>
      <w:r>
        <w:rPr>
          <w:i/>
          <w:vertAlign w:val="subscript"/>
        </w:rPr>
        <w:t>12</w:t>
      </w:r>
      <w:r>
        <w:rPr>
          <w:b/>
          <w:i/>
        </w:rPr>
        <w:t xml:space="preserve"> = 0,4; a</w:t>
      </w:r>
      <w:r>
        <w:rPr>
          <w:b/>
          <w:i/>
          <w:vertAlign w:val="subscript"/>
        </w:rPr>
        <w:t>21</w:t>
      </w:r>
      <w:r>
        <w:rPr>
          <w:b/>
          <w:i/>
        </w:rPr>
        <w:t xml:space="preserve"> = 0,55; a</w:t>
      </w:r>
      <w:r>
        <w:rPr>
          <w:b/>
          <w:i/>
          <w:vertAlign w:val="subscript"/>
        </w:rPr>
        <w:t>22</w:t>
      </w:r>
      <w:r>
        <w:rPr>
          <w:b/>
          <w:i/>
        </w:rPr>
        <w:t xml:space="preserve"> = 0,1. </w:t>
      </w:r>
      <w:r>
        <w:t xml:space="preserve">Т.е. матрица прямых затрат А= </w:t>
      </w:r>
      <w:r>
        <w:rPr>
          <w:rFonts w:ascii="Segoe UI Symbol" w:eastAsia="Segoe UI Symbol" w:hAnsi="Segoe UI Symbol" w:cs="Segoe UI Symbol"/>
        </w:rPr>
        <w:t xml:space="preserve"> </w:t>
      </w:r>
      <w:r>
        <w:t>0.2 0.4</w:t>
      </w:r>
      <w:r>
        <w:rPr>
          <w:rFonts w:ascii="Segoe UI Symbol" w:eastAsia="Segoe UI Symbol" w:hAnsi="Segoe UI Symbol" w:cs="Segoe UI Symbol"/>
        </w:rPr>
        <w:t></w:t>
      </w:r>
    </w:p>
    <w:p w:rsidR="002C0F56" w:rsidRDefault="00E67C6E">
      <w:pPr>
        <w:tabs>
          <w:tab w:val="center" w:pos="1335"/>
          <w:tab w:val="center" w:pos="6276"/>
        </w:tabs>
        <w:spacing w:after="364"/>
        <w:ind w:left="0" w:firstLine="0"/>
        <w:jc w:val="left"/>
      </w:pPr>
      <w:r>
        <w:rPr>
          <w:rFonts w:ascii="Calibri" w:eastAsia="Calibri" w:hAnsi="Calibri" w:cs="Calibri"/>
          <w:sz w:val="22"/>
        </w:rPr>
        <w:tab/>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0.55</w:t>
      </w:r>
      <w:r>
        <w:tab/>
        <w:t>0.1</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имеет неотрицательные элементы и у</w:t>
      </w:r>
      <w:r>
        <w:t xml:space="preserve">довлетворяет критерию </w:t>
      </w:r>
    </w:p>
    <w:p w:rsidR="002C0F56" w:rsidRDefault="00E67C6E">
      <w:pPr>
        <w:spacing w:after="12"/>
        <w:ind w:left="994" w:right="302" w:firstLine="0"/>
      </w:pPr>
      <w:r>
        <w:t xml:space="preserve">продуктивности:  </w:t>
      </w:r>
    </w:p>
    <w:p w:rsidR="002C0F56" w:rsidRDefault="00E67C6E">
      <w:pPr>
        <w:spacing w:after="307" w:line="354" w:lineRule="auto"/>
        <w:ind w:left="994" w:right="302"/>
      </w:pPr>
      <w:r>
        <w:t>max {0,2+ 0,55; 0,4 + 0,1} = max {0,75; 0,5} = 0,75 &lt; 1.</w:t>
      </w:r>
      <w:r>
        <w:rPr>
          <w:b/>
        </w:rPr>
        <w:t xml:space="preserve"> </w:t>
      </w:r>
      <w:r>
        <w:t>Поэтому для любого вектора конечного продукта Y можно найти необходимый объем валового выпуска X по формуле X = (E - A)</w:t>
      </w:r>
      <w:r>
        <w:rPr>
          <w:vertAlign w:val="superscript"/>
        </w:rPr>
        <w:t>-1</w:t>
      </w:r>
      <w:r>
        <w:t xml:space="preserve"> Y</w:t>
      </w:r>
      <w:r>
        <w:rPr>
          <w:b/>
        </w:rPr>
        <w:t xml:space="preserve">. </w:t>
      </w:r>
      <w:r>
        <w:t>Найдем матрицу полных затрат  S</w:t>
      </w:r>
      <w:r>
        <w:t xml:space="preserve"> = (E - A)</w:t>
      </w:r>
      <w:r>
        <w:rPr>
          <w:sz w:val="18"/>
        </w:rPr>
        <w:t>-1</w:t>
      </w:r>
      <w:r>
        <w:t xml:space="preserve"> = 1/0,5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00..559 00..48</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11..81 10..68</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Наша матрица А является </w:t>
      </w:r>
    </w:p>
    <w:p w:rsidR="002C0F56" w:rsidRDefault="00E67C6E">
      <w:pPr>
        <w:spacing w:after="67" w:line="346" w:lineRule="auto"/>
        <w:ind w:left="994" w:right="302" w:firstLine="0"/>
      </w:pPr>
      <w:r>
        <w:t xml:space="preserve">неразложимой, так как каждая отрасль использует продукцию всех отраслей. По условию вектор конечного продукта: Y = </w:t>
      </w:r>
      <w:r>
        <w:rPr>
          <w:rFonts w:ascii="Segoe UI Symbol" w:eastAsia="Segoe UI Symbol" w:hAnsi="Segoe UI Symbol" w:cs="Segoe UI Symbol"/>
          <w:sz w:val="44"/>
          <w:vertAlign w:val="superscript"/>
        </w:rPr>
        <w:t></w:t>
      </w:r>
      <w:r>
        <w:rPr>
          <w:rFonts w:ascii="Segoe UI Symbol" w:eastAsia="Segoe UI Symbol" w:hAnsi="Segoe UI Symbol" w:cs="Segoe UI Symbol"/>
        </w:rPr>
        <w:t></w:t>
      </w:r>
      <w:r>
        <w:rPr>
          <w:rFonts w:ascii="Segoe UI Symbol" w:eastAsia="Segoe UI Symbol" w:hAnsi="Segoe UI Symbol" w:cs="Segoe UI Symbol"/>
          <w:sz w:val="44"/>
          <w:vertAlign w:val="subscript"/>
        </w:rPr>
        <w:t></w:t>
      </w:r>
      <w:r>
        <w:rPr>
          <w:rFonts w:ascii="Segoe UI Symbol" w:eastAsia="Segoe UI Symbol" w:hAnsi="Segoe UI Symbol" w:cs="Segoe UI Symbol"/>
        </w:rPr>
        <w:t></w:t>
      </w:r>
      <w:r>
        <w:t>102480</w:t>
      </w:r>
      <w:r>
        <w:rPr>
          <w:rFonts w:ascii="Segoe UI Symbol" w:eastAsia="Segoe UI Symbol" w:hAnsi="Segoe UI Symbol" w:cs="Segoe UI Symbol"/>
          <w:sz w:val="44"/>
          <w:vertAlign w:val="superscript"/>
        </w:rPr>
        <w:t></w:t>
      </w:r>
      <w:r>
        <w:rPr>
          <w:rFonts w:ascii="Segoe UI Symbol" w:eastAsia="Segoe UI Symbol" w:hAnsi="Segoe UI Symbol" w:cs="Segoe UI Symbol"/>
        </w:rPr>
        <w:t></w:t>
      </w:r>
      <w:r>
        <w:rPr>
          <w:rFonts w:ascii="Segoe UI Symbol" w:eastAsia="Segoe UI Symbol" w:hAnsi="Segoe UI Symbol" w:cs="Segoe UI Symbol"/>
          <w:sz w:val="44"/>
          <w:vertAlign w:val="subscript"/>
        </w:rPr>
        <w:t></w:t>
      </w:r>
      <w:r>
        <w:rPr>
          <w:rFonts w:ascii="Segoe UI Symbol" w:eastAsia="Segoe UI Symbol" w:hAnsi="Segoe UI Symbol" w:cs="Segoe UI Symbol"/>
          <w:sz w:val="44"/>
          <w:vertAlign w:val="subscript"/>
        </w:rPr>
        <w:t></w:t>
      </w:r>
      <w:r>
        <w:t xml:space="preserve">. Тогда получаем вектор </w:t>
      </w:r>
    </w:p>
    <w:p w:rsidR="002C0F56" w:rsidRDefault="00E67C6E">
      <w:pPr>
        <w:spacing w:after="475"/>
        <w:ind w:left="994" w:right="302" w:firstLine="0"/>
      </w:pPr>
      <w:r>
        <w:t xml:space="preserve">валового </w:t>
      </w:r>
      <w:r>
        <w:t xml:space="preserve">выпуска:  </w:t>
      </w:r>
    </w:p>
    <w:p w:rsidR="002C0F56" w:rsidRDefault="00E67C6E">
      <w:pPr>
        <w:tabs>
          <w:tab w:val="center" w:pos="2060"/>
          <w:tab w:val="center" w:pos="4021"/>
        </w:tabs>
        <w:spacing w:after="129"/>
        <w:ind w:left="0" w:firstLine="0"/>
        <w:jc w:val="left"/>
      </w:pPr>
      <w:r>
        <w:rPr>
          <w:rFonts w:ascii="Calibri" w:eastAsia="Calibri" w:hAnsi="Calibri" w:cs="Calibri"/>
          <w:sz w:val="22"/>
        </w:rPr>
        <w:tab/>
      </w:r>
      <w:r>
        <w:t xml:space="preserve">X =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11..81</w:t>
      </w:r>
      <w:r>
        <w:tab/>
        <w:t>10..68</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102480</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945691..62</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w:t>
      </w:r>
    </w:p>
    <w:p w:rsidR="002C0F56" w:rsidRDefault="00E67C6E">
      <w:pPr>
        <w:spacing w:after="0" w:line="259" w:lineRule="auto"/>
        <w:ind w:left="2095" w:hanging="10"/>
        <w:jc w:val="left"/>
      </w:pPr>
      <w:r>
        <w:rPr>
          <w:rFonts w:ascii="Segoe UI Symbol" w:eastAsia="Segoe UI Symbol" w:hAnsi="Segoe UI Symbol" w:cs="Segoe UI Symbol"/>
        </w:rPr>
        <w:t></w:t>
      </w:r>
    </w:p>
    <w:p w:rsidR="002C0F56" w:rsidRDefault="00E67C6E">
      <w:pPr>
        <w:ind w:left="994" w:right="302"/>
      </w:pPr>
      <w:r>
        <w:t xml:space="preserve">т.е. валовой выпуск в первой отрасли нужно увеличить до </w:t>
      </w:r>
      <w:r>
        <w:rPr>
          <w:i/>
        </w:rPr>
        <w:t>945,6 ден. ед.</w:t>
      </w:r>
      <w:r>
        <w:t xml:space="preserve">, а во второй - до </w:t>
      </w:r>
      <w:r>
        <w:rPr>
          <w:i/>
        </w:rPr>
        <w:t xml:space="preserve">691,2 ден. ед. </w:t>
      </w:r>
    </w:p>
    <w:p w:rsidR="002C0F56" w:rsidRDefault="00E67C6E">
      <w:pPr>
        <w:spacing w:after="0"/>
        <w:ind w:left="994" w:right="302"/>
      </w:pPr>
      <w:r>
        <w:t xml:space="preserve">Таким образом, для неразложимых матриц (пример матрицы в задаче 1) следует условие продуктивности: если сумма элементов любой строки (столбца) не больше 1 и хотя бы в одной строке (столбце) строго меньше 1, то модель Леонтьева с этой матрицей продуктивна. </w:t>
      </w:r>
      <w:r>
        <w:t xml:space="preserve">В стоимостной модели баланса </w:t>
      </w:r>
    </w:p>
    <w:p w:rsidR="002C0F56" w:rsidRDefault="00E67C6E">
      <w:pPr>
        <w:spacing w:after="80" w:line="259" w:lineRule="auto"/>
        <w:ind w:left="4974" w:firstLine="0"/>
        <w:jc w:val="left"/>
      </w:pPr>
      <w:r>
        <w:rPr>
          <w:rFonts w:ascii="Calibri" w:eastAsia="Calibri" w:hAnsi="Calibri" w:cs="Calibri"/>
          <w:noProof/>
          <w:sz w:val="22"/>
        </w:rPr>
        <mc:AlternateContent>
          <mc:Choice Requires="wpg">
            <w:drawing>
              <wp:inline distT="0" distB="0" distL="0" distR="0">
                <wp:extent cx="202317" cy="7421"/>
                <wp:effectExtent l="0" t="0" r="0" b="0"/>
                <wp:docPr id="649619" name="Group 649619"/>
                <wp:cNvGraphicFramePr/>
                <a:graphic xmlns:a="http://schemas.openxmlformats.org/drawingml/2006/main">
                  <a:graphicData uri="http://schemas.microsoft.com/office/word/2010/wordprocessingGroup">
                    <wpg:wgp>
                      <wpg:cNvGrpSpPr/>
                      <wpg:grpSpPr>
                        <a:xfrm>
                          <a:off x="0" y="0"/>
                          <a:ext cx="202317" cy="7421"/>
                          <a:chOff x="0" y="0"/>
                          <a:chExt cx="202317" cy="7421"/>
                        </a:xfrm>
                      </wpg:grpSpPr>
                      <wps:wsp>
                        <wps:cNvPr id="63898" name="Shape 63898"/>
                        <wps:cNvSpPr/>
                        <wps:spPr>
                          <a:xfrm>
                            <a:off x="0" y="0"/>
                            <a:ext cx="202317" cy="0"/>
                          </a:xfrm>
                          <a:custGeom>
                            <a:avLst/>
                            <a:gdLst/>
                            <a:ahLst/>
                            <a:cxnLst/>
                            <a:rect l="0" t="0" r="0" b="0"/>
                            <a:pathLst>
                              <a:path w="202317">
                                <a:moveTo>
                                  <a:pt x="0" y="0"/>
                                </a:moveTo>
                                <a:lnTo>
                                  <a:pt x="202317" y="0"/>
                                </a:lnTo>
                              </a:path>
                            </a:pathLst>
                          </a:custGeom>
                          <a:ln w="7421"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49619" style="width:15.9305pt;height:0.584333pt;mso-position-horizontal-relative:char;mso-position-vertical-relative:line" coordsize="2023,74">
                <v:shape id="Shape 63898" style="position:absolute;width:2023;height:0;left:0;top:0;" coordsize="202317,0" path="m0,0l202317,0">
                  <v:stroke weight="0.584333pt" endcap="flat" joinstyle="round" on="true" color="#000000"/>
                  <v:fill on="false" color="#000000" opacity="0"/>
                </v:shape>
              </v:group>
            </w:pict>
          </mc:Fallback>
        </mc:AlternateContent>
      </w:r>
    </w:p>
    <w:p w:rsidR="002C0F56" w:rsidRDefault="00E67C6E">
      <w:pPr>
        <w:ind w:left="994" w:right="302" w:firstLine="0"/>
      </w:pPr>
      <w:r>
        <w:t xml:space="preserve">это означает, что при любом </w:t>
      </w:r>
      <w:r>
        <w:rPr>
          <w:i/>
        </w:rPr>
        <w:t xml:space="preserve">j </w:t>
      </w:r>
      <w:r>
        <w:rPr>
          <w:rFonts w:ascii="Segoe UI Symbol" w:eastAsia="Segoe UI Symbol" w:hAnsi="Segoe UI Symbol" w:cs="Segoe UI Symbol"/>
        </w:rPr>
        <w:t></w:t>
      </w:r>
      <w:r>
        <w:t>1,</w:t>
      </w:r>
      <w:r>
        <w:rPr>
          <w:i/>
        </w:rPr>
        <w:t>n</w:t>
      </w:r>
      <w:r>
        <w:t xml:space="preserve"> суммарный вклад всех отраслей в выпуск 1 ден.ед. продукции отрасли j меньше 1, т.е. что j-ая отрасль является рентабельной.</w:t>
      </w:r>
      <w:r>
        <w:rPr>
          <w:i/>
        </w:rPr>
        <w:t xml:space="preserve"> </w:t>
      </w:r>
    </w:p>
    <w:p w:rsidR="002C0F56" w:rsidRDefault="00E67C6E">
      <w:pPr>
        <w:spacing w:after="10"/>
        <w:ind w:left="994" w:right="302"/>
      </w:pPr>
      <w:r>
        <w:rPr>
          <w:b/>
        </w:rPr>
        <w:lastRenderedPageBreak/>
        <w:t xml:space="preserve">Задача 2. </w:t>
      </w:r>
      <w:r>
        <w:t xml:space="preserve">Найти расчетные объемы работ (число часов использования оборудования), которые окупят затраты на эксплуатацию, расценки на проведение соответствующих работ указаны в таблице 3.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5" w:line="271" w:lineRule="auto"/>
        <w:ind w:left="1988" w:right="396" w:hanging="10"/>
        <w:jc w:val="left"/>
      </w:pPr>
      <w:r>
        <w:rPr>
          <w:i/>
          <w:sz w:val="24"/>
        </w:rPr>
        <w:t>Таблица 3</w:t>
      </w:r>
      <w:r>
        <w:rPr>
          <w:sz w:val="24"/>
        </w:rPr>
        <w:t xml:space="preserve"> – </w:t>
      </w:r>
      <w:r>
        <w:rPr>
          <w:b/>
          <w:sz w:val="24"/>
        </w:rPr>
        <w:t xml:space="preserve">Расценки на проведение работ по обслуживанию оборудования </w:t>
      </w:r>
    </w:p>
    <w:tbl>
      <w:tblPr>
        <w:tblStyle w:val="TableGrid"/>
        <w:tblW w:w="9856" w:type="dxa"/>
        <w:tblInd w:w="886" w:type="dxa"/>
        <w:tblCellMar>
          <w:top w:w="14" w:type="dxa"/>
          <w:left w:w="149" w:type="dxa"/>
          <w:bottom w:w="0" w:type="dxa"/>
          <w:right w:w="90" w:type="dxa"/>
        </w:tblCellMar>
        <w:tblLook w:val="04A0" w:firstRow="1" w:lastRow="0" w:firstColumn="1" w:lastColumn="0" w:noHBand="0" w:noVBand="1"/>
      </w:tblPr>
      <w:tblGrid>
        <w:gridCol w:w="2484"/>
        <w:gridCol w:w="1779"/>
        <w:gridCol w:w="1798"/>
        <w:gridCol w:w="1956"/>
        <w:gridCol w:w="1839"/>
      </w:tblGrid>
      <w:tr w:rsidR="002C0F56">
        <w:trPr>
          <w:trHeight w:val="288"/>
        </w:trPr>
        <w:tc>
          <w:tcPr>
            <w:tcW w:w="2484"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2" w:firstLine="0"/>
              <w:jc w:val="center"/>
            </w:pPr>
            <w:r>
              <w:rPr>
                <w:sz w:val="24"/>
              </w:rPr>
              <w:t xml:space="preserve">Виды работ </w:t>
            </w:r>
          </w:p>
        </w:tc>
        <w:tc>
          <w:tcPr>
            <w:tcW w:w="5533" w:type="dxa"/>
            <w:gridSpan w:val="3"/>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6" w:firstLine="0"/>
              <w:jc w:val="center"/>
            </w:pPr>
            <w:r>
              <w:rPr>
                <w:sz w:val="24"/>
              </w:rPr>
              <w:t xml:space="preserve">Нормативы по видам оборудования (ден.ед./час) </w:t>
            </w:r>
          </w:p>
        </w:tc>
        <w:tc>
          <w:tcPr>
            <w:tcW w:w="1839"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45" w:line="238" w:lineRule="auto"/>
              <w:ind w:left="0" w:firstLine="0"/>
              <w:jc w:val="center"/>
            </w:pPr>
            <w:r>
              <w:rPr>
                <w:sz w:val="24"/>
              </w:rPr>
              <w:t xml:space="preserve">Полные затраты на </w:t>
            </w:r>
          </w:p>
          <w:p w:rsidR="002C0F56" w:rsidRDefault="00E67C6E">
            <w:pPr>
              <w:spacing w:after="20" w:line="259" w:lineRule="auto"/>
              <w:ind w:left="5" w:firstLine="0"/>
              <w:jc w:val="left"/>
            </w:pPr>
            <w:r>
              <w:rPr>
                <w:sz w:val="24"/>
              </w:rPr>
              <w:t xml:space="preserve">эксплуата-цию </w:t>
            </w:r>
          </w:p>
          <w:p w:rsidR="002C0F56" w:rsidRDefault="00E67C6E">
            <w:pPr>
              <w:spacing w:after="0" w:line="259" w:lineRule="auto"/>
              <w:ind w:left="0" w:right="63" w:firstLine="0"/>
              <w:jc w:val="center"/>
            </w:pPr>
            <w:r>
              <w:rPr>
                <w:sz w:val="24"/>
              </w:rPr>
              <w:t xml:space="preserve">(ден.ед.) </w:t>
            </w:r>
          </w:p>
        </w:tc>
      </w:tr>
      <w:tr w:rsidR="002C0F56">
        <w:trPr>
          <w:trHeight w:val="828"/>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7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Механическое оборудование </w:t>
            </w:r>
          </w:p>
        </w:tc>
        <w:tc>
          <w:tcPr>
            <w:tcW w:w="17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Тепловое оборудование </w:t>
            </w:r>
          </w:p>
        </w:tc>
        <w:tc>
          <w:tcPr>
            <w:tcW w:w="19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Электрическое оборудование </w:t>
            </w: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562"/>
        </w:trPr>
        <w:tc>
          <w:tcPr>
            <w:tcW w:w="24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center"/>
            </w:pPr>
            <w:r>
              <w:rPr>
                <w:sz w:val="24"/>
              </w:rPr>
              <w:t xml:space="preserve">Техническое обслуживание </w:t>
            </w:r>
          </w:p>
        </w:tc>
        <w:tc>
          <w:tcPr>
            <w:tcW w:w="177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1" w:firstLine="0"/>
              <w:jc w:val="center"/>
            </w:pPr>
            <w:r>
              <w:rPr>
                <w:sz w:val="24"/>
              </w:rPr>
              <w:t xml:space="preserve">3 </w:t>
            </w:r>
          </w:p>
        </w:tc>
        <w:tc>
          <w:tcPr>
            <w:tcW w:w="1798"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2" w:firstLine="0"/>
              <w:jc w:val="center"/>
            </w:pPr>
            <w:r>
              <w:rPr>
                <w:sz w:val="24"/>
              </w:rPr>
              <w:t xml:space="preserve">1 </w:t>
            </w:r>
          </w:p>
        </w:tc>
        <w:tc>
          <w:tcPr>
            <w:tcW w:w="1956"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61" w:firstLine="0"/>
              <w:jc w:val="center"/>
            </w:pPr>
            <w:r>
              <w:rPr>
                <w:sz w:val="24"/>
              </w:rPr>
              <w:t xml:space="preserve">4 </w:t>
            </w:r>
          </w:p>
        </w:tc>
        <w:tc>
          <w:tcPr>
            <w:tcW w:w="1839"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58" w:firstLine="0"/>
              <w:jc w:val="center"/>
            </w:pPr>
            <w:r>
              <w:rPr>
                <w:sz w:val="24"/>
              </w:rPr>
              <w:t xml:space="preserve">85 </w:t>
            </w:r>
          </w:p>
        </w:tc>
      </w:tr>
      <w:tr w:rsidR="002C0F56">
        <w:trPr>
          <w:trHeight w:val="314"/>
        </w:trPr>
        <w:tc>
          <w:tcPr>
            <w:tcW w:w="24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3" w:firstLine="0"/>
              <w:jc w:val="center"/>
            </w:pPr>
            <w:r>
              <w:rPr>
                <w:sz w:val="24"/>
              </w:rPr>
              <w:t xml:space="preserve">Текущие услуги </w:t>
            </w:r>
          </w:p>
        </w:tc>
        <w:tc>
          <w:tcPr>
            <w:tcW w:w="17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2 </w:t>
            </w:r>
          </w:p>
        </w:tc>
        <w:tc>
          <w:tcPr>
            <w:tcW w:w="17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2 </w:t>
            </w:r>
          </w:p>
        </w:tc>
        <w:tc>
          <w:tcPr>
            <w:tcW w:w="19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3 </w:t>
            </w:r>
          </w:p>
        </w:tc>
        <w:tc>
          <w:tcPr>
            <w:tcW w:w="18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82 </w:t>
            </w:r>
          </w:p>
        </w:tc>
      </w:tr>
      <w:tr w:rsidR="002C0F56">
        <w:trPr>
          <w:trHeight w:val="288"/>
        </w:trPr>
        <w:tc>
          <w:tcPr>
            <w:tcW w:w="248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 w:firstLine="0"/>
              <w:jc w:val="left"/>
            </w:pPr>
            <w:r>
              <w:rPr>
                <w:sz w:val="24"/>
              </w:rPr>
              <w:t xml:space="preserve">Капитальный ремонт </w:t>
            </w:r>
          </w:p>
        </w:tc>
        <w:tc>
          <w:tcPr>
            <w:tcW w:w="177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10 </w:t>
            </w:r>
          </w:p>
        </w:tc>
        <w:tc>
          <w:tcPr>
            <w:tcW w:w="1798"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sz w:val="24"/>
              </w:rPr>
              <w:t xml:space="preserve">20 </w:t>
            </w:r>
          </w:p>
        </w:tc>
        <w:tc>
          <w:tcPr>
            <w:tcW w:w="1956"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jc w:val="center"/>
            </w:pPr>
            <w:r>
              <w:rPr>
                <w:sz w:val="24"/>
              </w:rPr>
              <w:t xml:space="preserve">15 </w:t>
            </w:r>
          </w:p>
        </w:tc>
        <w:tc>
          <w:tcPr>
            <w:tcW w:w="183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sz w:val="24"/>
              </w:rPr>
              <w:t xml:space="preserve">580 </w:t>
            </w:r>
          </w:p>
        </w:tc>
      </w:tr>
    </w:tbl>
    <w:p w:rsidR="002C0F56" w:rsidRDefault="00E67C6E">
      <w:pPr>
        <w:spacing w:after="33" w:line="259" w:lineRule="auto"/>
        <w:ind w:left="1558" w:firstLine="0"/>
        <w:jc w:val="left"/>
      </w:pPr>
      <w:r>
        <w:rPr>
          <w:b/>
        </w:rPr>
        <w:t xml:space="preserve">          </w:t>
      </w:r>
    </w:p>
    <w:p w:rsidR="002C0F56" w:rsidRDefault="00E67C6E">
      <w:pPr>
        <w:ind w:left="994" w:right="302"/>
      </w:pPr>
      <w:r>
        <w:rPr>
          <w:b/>
        </w:rPr>
        <w:t xml:space="preserve">Решение. </w:t>
      </w:r>
      <w:r>
        <w:t xml:space="preserve">Введём неизвестные величины </w:t>
      </w:r>
      <w:r>
        <w:rPr>
          <w:i/>
        </w:rPr>
        <w:t>x</w:t>
      </w:r>
      <w:r>
        <w:rPr>
          <w:i/>
          <w:vertAlign w:val="subscript"/>
        </w:rPr>
        <w:t>1</w:t>
      </w:r>
      <w:r>
        <w:rPr>
          <w:i/>
        </w:rPr>
        <w:t>, x</w:t>
      </w:r>
      <w:r>
        <w:rPr>
          <w:i/>
          <w:vertAlign w:val="subscript"/>
        </w:rPr>
        <w:t>2</w:t>
      </w:r>
      <w:r>
        <w:rPr>
          <w:i/>
        </w:rPr>
        <w:t>, x</w:t>
      </w:r>
      <w:r>
        <w:rPr>
          <w:i/>
          <w:vertAlign w:val="subscript"/>
        </w:rPr>
        <w:t>3</w:t>
      </w:r>
      <w:r>
        <w:t xml:space="preserve">, характеризующие число часов работы механического, теплового и электрического оборудования соответственно.  </w:t>
      </w:r>
    </w:p>
    <w:p w:rsidR="002C0F56" w:rsidRDefault="00E67C6E">
      <w:pPr>
        <w:spacing w:after="12"/>
        <w:ind w:left="2307" w:right="302" w:firstLine="0"/>
      </w:pPr>
      <w:r>
        <w:t xml:space="preserve">Используя таблицу, которая дана в условии, составим систему: </w:t>
      </w:r>
    </w:p>
    <w:p w:rsidR="002C0F56" w:rsidRDefault="00E67C6E">
      <w:pPr>
        <w:spacing w:after="0" w:line="259" w:lineRule="auto"/>
        <w:ind w:left="753" w:firstLine="0"/>
        <w:jc w:val="center"/>
      </w:pPr>
      <w:r>
        <w:rPr>
          <w:noProof/>
        </w:rPr>
        <w:drawing>
          <wp:inline distT="0" distB="0" distL="0" distR="0">
            <wp:extent cx="1934210" cy="838200"/>
            <wp:effectExtent l="0" t="0" r="0" b="0"/>
            <wp:docPr id="64157" name="Picture 64157"/>
            <wp:cNvGraphicFramePr/>
            <a:graphic xmlns:a="http://schemas.openxmlformats.org/drawingml/2006/main">
              <a:graphicData uri="http://schemas.openxmlformats.org/drawingml/2006/picture">
                <pic:pic xmlns:pic="http://schemas.openxmlformats.org/drawingml/2006/picture">
                  <pic:nvPicPr>
                    <pic:cNvPr id="64157" name="Picture 64157"/>
                    <pic:cNvPicPr/>
                  </pic:nvPicPr>
                  <pic:blipFill>
                    <a:blip r:embed="rId1180"/>
                    <a:stretch>
                      <a:fillRect/>
                    </a:stretch>
                  </pic:blipFill>
                  <pic:spPr>
                    <a:xfrm>
                      <a:off x="0" y="0"/>
                      <a:ext cx="1934210" cy="838200"/>
                    </a:xfrm>
                    <a:prstGeom prst="rect">
                      <a:avLst/>
                    </a:prstGeom>
                  </pic:spPr>
                </pic:pic>
              </a:graphicData>
            </a:graphic>
          </wp:inline>
        </w:drawing>
      </w:r>
      <w:r>
        <w:t xml:space="preserve"> </w:t>
      </w:r>
    </w:p>
    <w:p w:rsidR="002C0F56" w:rsidRDefault="00E67C6E">
      <w:pPr>
        <w:ind w:left="994" w:right="302"/>
      </w:pPr>
      <w:r>
        <w:t>Решаем данную систему методом Гаусса [1]. Для этого составляем расширенную матриц</w:t>
      </w:r>
      <w:r>
        <w:t xml:space="preserve">у и, применяя преобразования, находим решение системы. </w:t>
      </w:r>
    </w:p>
    <w:p w:rsidR="002C0F56" w:rsidRDefault="00E67C6E">
      <w:pPr>
        <w:tabs>
          <w:tab w:val="center" w:pos="1753"/>
          <w:tab w:val="center" w:pos="2361"/>
          <w:tab w:val="center" w:pos="3309"/>
          <w:tab w:val="center" w:pos="4304"/>
          <w:tab w:val="center" w:pos="4756"/>
          <w:tab w:val="center" w:pos="5464"/>
        </w:tabs>
        <w:spacing w:after="106"/>
        <w:ind w:left="0" w:firstLine="0"/>
        <w:jc w:val="left"/>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simplePos x="0" y="0"/>
                <wp:positionH relativeFrom="column">
                  <wp:posOffset>1996361</wp:posOffset>
                </wp:positionH>
                <wp:positionV relativeFrom="paragraph">
                  <wp:posOffset>10409</wp:posOffset>
                </wp:positionV>
                <wp:extent cx="6308" cy="702348"/>
                <wp:effectExtent l="0" t="0" r="0" b="0"/>
                <wp:wrapSquare wrapText="bothSides"/>
                <wp:docPr id="650745" name="Group 650745"/>
                <wp:cNvGraphicFramePr/>
                <a:graphic xmlns:a="http://schemas.openxmlformats.org/drawingml/2006/main">
                  <a:graphicData uri="http://schemas.microsoft.com/office/word/2010/wordprocessingGroup">
                    <wpg:wgp>
                      <wpg:cNvGrpSpPr/>
                      <wpg:grpSpPr>
                        <a:xfrm>
                          <a:off x="0" y="0"/>
                          <a:ext cx="6308" cy="702348"/>
                          <a:chOff x="0" y="0"/>
                          <a:chExt cx="6308" cy="702348"/>
                        </a:xfrm>
                      </wpg:grpSpPr>
                      <wps:wsp>
                        <wps:cNvPr id="64163" name="Shape 64163"/>
                        <wps:cNvSpPr/>
                        <wps:spPr>
                          <a:xfrm>
                            <a:off x="0" y="0"/>
                            <a:ext cx="0" cy="702348"/>
                          </a:xfrm>
                          <a:custGeom>
                            <a:avLst/>
                            <a:gdLst/>
                            <a:ahLst/>
                            <a:cxnLst/>
                            <a:rect l="0" t="0" r="0" b="0"/>
                            <a:pathLst>
                              <a:path h="702348">
                                <a:moveTo>
                                  <a:pt x="0" y="0"/>
                                </a:moveTo>
                                <a:lnTo>
                                  <a:pt x="0" y="702348"/>
                                </a:lnTo>
                              </a:path>
                            </a:pathLst>
                          </a:custGeom>
                          <a:ln w="630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50745" style="width:0.496709pt;height:55.303pt;position:absolute;mso-position-horizontal-relative:text;mso-position-horizontal:absolute;margin-left:157.194pt;mso-position-vertical-relative:text;margin-top:0.81958pt;" coordsize="63,7023">
                <v:shape id="Shape 64163" style="position:absolute;width:0;height:7023;left:0;top:0;" coordsize="0,702348" path="m0,0l0,702348">
                  <v:stroke weight="0.496709pt" endcap="flat" joinstyle="round" on="true" color="#000000"/>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73600" behindDoc="0" locked="0" layoutInCell="1" allowOverlap="1">
                <wp:simplePos x="0" y="0"/>
                <wp:positionH relativeFrom="column">
                  <wp:posOffset>3398457</wp:posOffset>
                </wp:positionH>
                <wp:positionV relativeFrom="paragraph">
                  <wp:posOffset>10409</wp:posOffset>
                </wp:positionV>
                <wp:extent cx="6308" cy="702348"/>
                <wp:effectExtent l="0" t="0" r="0" b="0"/>
                <wp:wrapSquare wrapText="bothSides"/>
                <wp:docPr id="650746" name="Group 650746"/>
                <wp:cNvGraphicFramePr/>
                <a:graphic xmlns:a="http://schemas.openxmlformats.org/drawingml/2006/main">
                  <a:graphicData uri="http://schemas.microsoft.com/office/word/2010/wordprocessingGroup">
                    <wpg:wgp>
                      <wpg:cNvGrpSpPr/>
                      <wpg:grpSpPr>
                        <a:xfrm>
                          <a:off x="0" y="0"/>
                          <a:ext cx="6308" cy="702348"/>
                          <a:chOff x="0" y="0"/>
                          <a:chExt cx="6308" cy="702348"/>
                        </a:xfrm>
                      </wpg:grpSpPr>
                      <wps:wsp>
                        <wps:cNvPr id="64189" name="Shape 64189"/>
                        <wps:cNvSpPr/>
                        <wps:spPr>
                          <a:xfrm>
                            <a:off x="0" y="0"/>
                            <a:ext cx="0" cy="702348"/>
                          </a:xfrm>
                          <a:custGeom>
                            <a:avLst/>
                            <a:gdLst/>
                            <a:ahLst/>
                            <a:cxnLst/>
                            <a:rect l="0" t="0" r="0" b="0"/>
                            <a:pathLst>
                              <a:path h="702348">
                                <a:moveTo>
                                  <a:pt x="0" y="0"/>
                                </a:moveTo>
                                <a:lnTo>
                                  <a:pt x="0" y="702348"/>
                                </a:lnTo>
                              </a:path>
                            </a:pathLst>
                          </a:custGeom>
                          <a:ln w="630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50746" style="width:0.496709pt;height:55.303pt;position:absolute;mso-position-horizontal-relative:text;mso-position-horizontal:absolute;margin-left:267.595pt;mso-position-vertical-relative:text;margin-top:0.81958pt;" coordsize="63,7023">
                <v:shape id="Shape 64189" style="position:absolute;width:0;height:7023;left:0;top:0;" coordsize="0,702348" path="m0,0l0,702348">
                  <v:stroke weight="0.496709pt" endcap="flat" joinstyle="round" on="true" color="#000000"/>
                  <v:fill on="false" color="#000000" opacity="0"/>
                </v:shape>
                <w10:wrap type="square"/>
              </v:group>
            </w:pict>
          </mc:Fallback>
        </mc:AlternateContent>
      </w:r>
      <w:r>
        <w:rPr>
          <w:rFonts w:ascii="Calibri" w:eastAsia="Calibri" w:hAnsi="Calibri" w:cs="Calibri"/>
          <w:sz w:val="22"/>
        </w:rPr>
        <w:tab/>
      </w:r>
      <w:r>
        <w:rPr>
          <w:rFonts w:ascii="Segoe UI Symbol" w:eastAsia="Segoe UI Symbol" w:hAnsi="Segoe UI Symbol" w:cs="Segoe UI Symbol"/>
        </w:rPr>
        <w:t xml:space="preserve"> </w:t>
      </w:r>
      <w:r>
        <w:t>3</w:t>
      </w:r>
      <w:r>
        <w:tab/>
        <w:t>1</w:t>
      </w:r>
      <w:r>
        <w:tab/>
        <w:t xml:space="preserve">485 </w:t>
      </w:r>
      <w:r>
        <w:rPr>
          <w:rFonts w:ascii="Segoe UI Symbol" w:eastAsia="Segoe UI Symbol" w:hAnsi="Segoe UI Symbol" w:cs="Segoe UI Symbol"/>
        </w:rPr>
        <w:t></w:t>
      </w:r>
      <w:r>
        <w:rPr>
          <w:rFonts w:ascii="Segoe UI Symbol" w:eastAsia="Segoe UI Symbol" w:hAnsi="Segoe UI Symbol" w:cs="Segoe UI Symbol"/>
        </w:rPr>
        <w:tab/>
      </w:r>
      <w:r>
        <w:rPr>
          <w:rFonts w:ascii="Segoe UI Symbol" w:eastAsia="Segoe UI Symbol" w:hAnsi="Segoe UI Symbol" w:cs="Segoe UI Symbol"/>
        </w:rPr>
        <w:t></w:t>
      </w:r>
      <w:r>
        <w:t>1</w:t>
      </w:r>
      <w:r>
        <w:tab/>
        <w:t>0</w:t>
      </w:r>
      <w:r>
        <w:tab/>
        <w:t>012</w:t>
      </w:r>
      <w:r>
        <w:rPr>
          <w:rFonts w:ascii="Segoe UI Symbol" w:eastAsia="Segoe UI Symbol" w:hAnsi="Segoe UI Symbol" w:cs="Segoe UI Symbol"/>
        </w:rPr>
        <w:t></w:t>
      </w:r>
    </w:p>
    <w:p w:rsidR="002C0F56" w:rsidRDefault="00E67C6E">
      <w:pPr>
        <w:tabs>
          <w:tab w:val="center" w:pos="1753"/>
          <w:tab w:val="center" w:pos="2365"/>
          <w:tab w:val="center" w:pos="3625"/>
          <w:tab w:val="center" w:pos="4754"/>
          <w:tab w:val="center" w:pos="5464"/>
        </w:tabs>
        <w:spacing w:after="12"/>
        <w:ind w:left="0" w:firstLine="0"/>
        <w:jc w:val="left"/>
      </w:pPr>
      <w:r>
        <w:rPr>
          <w:rFonts w:ascii="Calibri" w:eastAsia="Calibri" w:hAnsi="Calibri" w:cs="Calibri"/>
          <w:sz w:val="22"/>
        </w:rPr>
        <w:tab/>
      </w:r>
      <w:r>
        <w:rPr>
          <w:rFonts w:ascii="Segoe UI Symbol" w:eastAsia="Segoe UI Symbol" w:hAnsi="Segoe UI Symbol" w:cs="Segoe UI Symbol"/>
          <w:sz w:val="43"/>
          <w:vertAlign w:val="superscript"/>
        </w:rPr>
        <w:t xml:space="preserve"> </w:t>
      </w:r>
      <w:r>
        <w:t>2</w:t>
      </w:r>
      <w:r>
        <w:tab/>
        <w:t>2</w:t>
      </w:r>
      <w:r>
        <w:tab/>
        <w:t xml:space="preserve">382 </w:t>
      </w:r>
      <w:r>
        <w:rPr>
          <w:rFonts w:ascii="Segoe UI Symbol" w:eastAsia="Segoe UI Symbol" w:hAnsi="Segoe UI Symbol" w:cs="Segoe UI Symbol"/>
          <w:sz w:val="43"/>
          <w:vertAlign w:val="superscript"/>
        </w:rPr>
        <w:t></w:t>
      </w:r>
      <w:r>
        <w:t xml:space="preserve">  - </w:t>
      </w:r>
      <w:r>
        <w:rPr>
          <w:rFonts w:ascii="Segoe UI Symbol" w:eastAsia="Segoe UI Symbol" w:hAnsi="Segoe UI Symbol" w:cs="Segoe UI Symbol"/>
          <w:sz w:val="43"/>
          <w:vertAlign w:val="superscript"/>
        </w:rPr>
        <w:t></w:t>
      </w:r>
      <w:r>
        <w:t>0</w:t>
      </w:r>
      <w:r>
        <w:tab/>
        <w:t>1</w:t>
      </w:r>
      <w:r>
        <w:tab/>
        <w:t>017</w:t>
      </w:r>
      <w:r>
        <w:rPr>
          <w:rFonts w:ascii="Segoe UI Symbol" w:eastAsia="Segoe UI Symbol" w:hAnsi="Segoe UI Symbol" w:cs="Segoe UI Symbol"/>
          <w:sz w:val="43"/>
          <w:vertAlign w:val="superscript"/>
        </w:rPr>
        <w:t></w:t>
      </w:r>
      <w:r>
        <w:t xml:space="preserve"> </w:t>
      </w:r>
    </w:p>
    <w:p w:rsidR="002C0F56" w:rsidRDefault="00E67C6E">
      <w:pPr>
        <w:tabs>
          <w:tab w:val="center" w:pos="2699"/>
          <w:tab w:val="center" w:pos="5014"/>
        </w:tabs>
        <w:spacing w:after="0" w:line="259" w:lineRule="auto"/>
        <w:ind w:left="0" w:firstLine="0"/>
        <w:jc w:val="left"/>
      </w:pPr>
      <w:r>
        <w:rPr>
          <w:rFonts w:ascii="Calibri" w:eastAsia="Calibri" w:hAnsi="Calibri" w:cs="Calibri"/>
          <w:sz w:val="22"/>
        </w:rPr>
        <w:tab/>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ab/>
      </w:r>
      <w:r>
        <w:rPr>
          <w:rFonts w:ascii="Segoe UI Symbol" w:eastAsia="Segoe UI Symbol" w:hAnsi="Segoe UI Symbol" w:cs="Segoe UI Symbol"/>
        </w:rPr>
        <w:t></w:t>
      </w:r>
      <w:r>
        <w:rPr>
          <w:rFonts w:ascii="Segoe UI Symbol" w:eastAsia="Segoe UI Symbol" w:hAnsi="Segoe UI Symbol" w:cs="Segoe UI Symbol"/>
        </w:rPr>
        <w:t></w:t>
      </w:r>
    </w:p>
    <w:p w:rsidR="002C0F56" w:rsidRDefault="00E67C6E">
      <w:pPr>
        <w:tabs>
          <w:tab w:val="center" w:pos="1778"/>
          <w:tab w:val="center" w:pos="2363"/>
          <w:tab w:val="center" w:pos="3268"/>
          <w:tab w:val="center" w:pos="4305"/>
          <w:tab w:val="center" w:pos="4756"/>
          <w:tab w:val="center" w:pos="5463"/>
        </w:tabs>
        <w:spacing w:after="12"/>
        <w:ind w:left="0" w:firstLine="0"/>
        <w:jc w:val="left"/>
      </w:pPr>
      <w:r>
        <w:rPr>
          <w:rFonts w:ascii="Calibri" w:eastAsia="Calibri" w:hAnsi="Calibri" w:cs="Calibri"/>
          <w:sz w:val="22"/>
        </w:rPr>
        <w:tab/>
      </w:r>
      <w:r>
        <w:rPr>
          <w:rFonts w:ascii="Segoe UI Symbol" w:eastAsia="Segoe UI Symbol" w:hAnsi="Segoe UI Symbol" w:cs="Segoe UI Symbol"/>
        </w:rPr>
        <w:t></w:t>
      </w:r>
      <w:r>
        <w:rPr>
          <w:rFonts w:ascii="Segoe UI Symbol" w:eastAsia="Segoe UI Symbol" w:hAnsi="Segoe UI Symbol" w:cs="Segoe UI Symbol"/>
          <w:sz w:val="43"/>
          <w:vertAlign w:val="subscript"/>
        </w:rPr>
        <w:t></w:t>
      </w:r>
      <w:r>
        <w:t>10</w:t>
      </w:r>
      <w:r>
        <w:tab/>
        <w:t>20</w:t>
      </w:r>
      <w:r>
        <w:tab/>
        <w:t>15580</w:t>
      </w:r>
      <w:r>
        <w:rPr>
          <w:rFonts w:ascii="Segoe UI Symbol" w:eastAsia="Segoe UI Symbol" w:hAnsi="Segoe UI Symbol" w:cs="Segoe UI Symbol"/>
        </w:rPr>
        <w:t></w:t>
      </w:r>
      <w:r>
        <w:rPr>
          <w:rFonts w:ascii="Segoe UI Symbol" w:eastAsia="Segoe UI Symbol" w:hAnsi="Segoe UI Symbol" w:cs="Segoe UI Symbol"/>
          <w:sz w:val="43"/>
          <w:vertAlign w:val="subscript"/>
        </w:rPr>
        <w:t></w:t>
      </w:r>
      <w:r>
        <w:rPr>
          <w:rFonts w:ascii="Segoe UI Symbol" w:eastAsia="Segoe UI Symbol" w:hAnsi="Segoe UI Symbol" w:cs="Segoe UI Symbol"/>
          <w:sz w:val="43"/>
          <w:vertAlign w:val="subscript"/>
        </w:rPr>
        <w:tab/>
      </w:r>
      <w:r>
        <w:rPr>
          <w:rFonts w:ascii="Segoe UI Symbol" w:eastAsia="Segoe UI Symbol" w:hAnsi="Segoe UI Symbol" w:cs="Segoe UI Symbol"/>
        </w:rPr>
        <w:t></w:t>
      </w:r>
      <w:r>
        <w:rPr>
          <w:rFonts w:ascii="Segoe UI Symbol" w:eastAsia="Segoe UI Symbol" w:hAnsi="Segoe UI Symbol" w:cs="Segoe UI Symbol"/>
          <w:sz w:val="43"/>
          <w:vertAlign w:val="subscript"/>
        </w:rPr>
        <w:t></w:t>
      </w:r>
      <w:r>
        <w:t>0</w:t>
      </w:r>
      <w:r>
        <w:tab/>
        <w:t>0</w:t>
      </w:r>
      <w:r>
        <w:tab/>
        <w:t xml:space="preserve">18 </w:t>
      </w:r>
      <w:r>
        <w:rPr>
          <w:rFonts w:ascii="Segoe UI Symbol" w:eastAsia="Segoe UI Symbol" w:hAnsi="Segoe UI Symbol" w:cs="Segoe UI Symbol"/>
        </w:rPr>
        <w:t></w:t>
      </w:r>
      <w:r>
        <w:rPr>
          <w:rFonts w:ascii="Segoe UI Symbol" w:eastAsia="Segoe UI Symbol" w:hAnsi="Segoe UI Symbol" w:cs="Segoe UI Symbol"/>
        </w:rPr>
        <w:t></w:t>
      </w:r>
    </w:p>
    <w:p w:rsidR="002C0F56" w:rsidRDefault="00E67C6E">
      <w:pPr>
        <w:spacing w:after="11"/>
        <w:ind w:left="994" w:right="302"/>
      </w:pPr>
      <w:r>
        <w:t xml:space="preserve">В соответствии с условием задачи полученное решение системы дает число часов работы механического, теплового и электрического оборудования, за которые окупятся затраты на эксплуатацию: 12 ч., 17 ч., 8ч. соответственно. </w:t>
      </w:r>
    </w:p>
    <w:p w:rsidR="002C0F56" w:rsidRDefault="00E67C6E">
      <w:pPr>
        <w:spacing w:after="24" w:line="259" w:lineRule="auto"/>
        <w:ind w:left="1918" w:firstLine="0"/>
        <w:jc w:val="left"/>
      </w:pPr>
      <w:r>
        <w:t xml:space="preserve"> </w:t>
      </w:r>
    </w:p>
    <w:p w:rsidR="002C0F56" w:rsidRDefault="00E67C6E">
      <w:pPr>
        <w:spacing w:after="15" w:line="268" w:lineRule="auto"/>
        <w:ind w:left="1619" w:hanging="10"/>
        <w:jc w:val="center"/>
      </w:pPr>
      <w:r>
        <w:t xml:space="preserve">Список литературы: </w:t>
      </w:r>
    </w:p>
    <w:p w:rsidR="002C0F56" w:rsidRDefault="00E67C6E">
      <w:pPr>
        <w:numPr>
          <w:ilvl w:val="0"/>
          <w:numId w:val="190"/>
        </w:numPr>
        <w:spacing w:after="11" w:line="270" w:lineRule="auto"/>
        <w:ind w:right="302"/>
      </w:pPr>
      <w:r>
        <w:lastRenderedPageBreak/>
        <w:t xml:space="preserve">Высшая математика для экономистов: Учебник для вузов/ </w:t>
      </w:r>
    </w:p>
    <w:p w:rsidR="002C0F56" w:rsidRDefault="00E67C6E">
      <w:pPr>
        <w:tabs>
          <w:tab w:val="center" w:pos="1788"/>
          <w:tab w:val="center" w:pos="3574"/>
          <w:tab w:val="center" w:pos="5385"/>
          <w:tab w:val="center" w:pos="7425"/>
          <w:tab w:val="center" w:pos="8891"/>
          <w:tab w:val="center" w:pos="10047"/>
        </w:tabs>
        <w:ind w:left="0" w:firstLine="0"/>
        <w:jc w:val="left"/>
      </w:pPr>
      <w:r>
        <w:rPr>
          <w:rFonts w:ascii="Calibri" w:eastAsia="Calibri" w:hAnsi="Calibri" w:cs="Calibri"/>
          <w:sz w:val="22"/>
        </w:rPr>
        <w:tab/>
      </w:r>
      <w:r>
        <w:t xml:space="preserve">Н.Ш.Кремер, </w:t>
      </w:r>
      <w:r>
        <w:tab/>
        <w:t xml:space="preserve">Б.А.Путко, </w:t>
      </w:r>
      <w:r>
        <w:tab/>
        <w:t xml:space="preserve">И.М.Тришин, </w:t>
      </w:r>
      <w:r>
        <w:tab/>
        <w:t xml:space="preserve">М.Н.Фридман; </w:t>
      </w:r>
      <w:r>
        <w:tab/>
        <w:t xml:space="preserve">Под </w:t>
      </w:r>
      <w:r>
        <w:tab/>
        <w:t xml:space="preserve">ред.проф. </w:t>
      </w:r>
    </w:p>
    <w:p w:rsidR="002C0F56" w:rsidRDefault="00E67C6E">
      <w:pPr>
        <w:ind w:left="994" w:right="302" w:firstLine="0"/>
      </w:pPr>
      <w:r>
        <w:t xml:space="preserve">Н.Ш.Кремера. – 2-е изд., перераб. и доп. – М.:ЮНИТИ, 2000. – 471 с. </w:t>
      </w:r>
    </w:p>
    <w:p w:rsidR="002C0F56" w:rsidRDefault="00E67C6E">
      <w:pPr>
        <w:numPr>
          <w:ilvl w:val="0"/>
          <w:numId w:val="190"/>
        </w:numPr>
        <w:ind w:right="302"/>
      </w:pPr>
      <w:r>
        <w:t xml:space="preserve">Сборник задач и упражнений по высшей математике. Для студентов экономических специальностей вузов, экономистов-практиков / Г.М.Булдык – Минск : ФУ Аинформ, 2009. – 320 с. </w:t>
      </w:r>
    </w:p>
    <w:p w:rsidR="002C0F56" w:rsidRDefault="00E67C6E">
      <w:pPr>
        <w:numPr>
          <w:ilvl w:val="0"/>
          <w:numId w:val="190"/>
        </w:numPr>
        <w:ind w:right="302"/>
      </w:pPr>
      <w:r>
        <w:t>Высшая математика : курс лекций : для студентов экон. специальностей / Г.М.Булдык. –</w:t>
      </w:r>
      <w:r>
        <w:t xml:space="preserve"> Минск : ФУАинформ, 2010. – 544 с. с ил. </w:t>
      </w:r>
    </w:p>
    <w:p w:rsidR="002C0F56" w:rsidRDefault="00E67C6E">
      <w:pPr>
        <w:numPr>
          <w:ilvl w:val="0"/>
          <w:numId w:val="190"/>
        </w:numPr>
        <w:ind w:right="302"/>
      </w:pPr>
      <w:r>
        <w:t xml:space="preserve">Математика в экономике: Учебник: В 2-х ч. Ч. 1/А.С.Солодовников, В.А.Бабайцев, А.В. Браилов, И.Г. Шандра. – 2-е изд., перераб. и доп. – М.: Финансы и статистика, 2006. – 384 с.: ил.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pStyle w:val="1"/>
        <w:spacing w:after="25" w:line="259" w:lineRule="auto"/>
        <w:ind w:right="307"/>
        <w:jc w:val="right"/>
      </w:pPr>
      <w:r>
        <w:t xml:space="preserve">Перегудина Э. С. </w:t>
      </w:r>
      <w:r>
        <w:rPr>
          <w:b w:val="0"/>
        </w:rPr>
        <w:t>Научны</w:t>
      </w:r>
      <w:r>
        <w:rPr>
          <w:b w:val="0"/>
        </w:rPr>
        <w:t xml:space="preserve">й руководитель: Перегудин С.И., д.ф.м.н., проф. </w:t>
      </w:r>
    </w:p>
    <w:p w:rsidR="002C0F56" w:rsidRDefault="00E67C6E">
      <w:pPr>
        <w:spacing w:after="0" w:line="267" w:lineRule="auto"/>
        <w:ind w:left="905" w:right="311" w:hanging="10"/>
        <w:jc w:val="right"/>
      </w:pPr>
      <w:r>
        <w:rPr>
          <w:i/>
        </w:rPr>
        <w:t xml:space="preserve">Санкт-петербургский горный университет </w:t>
      </w:r>
    </w:p>
    <w:p w:rsidR="002C0F56" w:rsidRDefault="00E67C6E">
      <w:pPr>
        <w:spacing w:after="0" w:line="259" w:lineRule="auto"/>
        <w:ind w:left="1558" w:firstLine="0"/>
        <w:jc w:val="left"/>
      </w:pPr>
      <w:r>
        <w:rPr>
          <w:b/>
        </w:rPr>
        <w:t xml:space="preserve"> </w:t>
      </w:r>
    </w:p>
    <w:p w:rsidR="002C0F56" w:rsidRDefault="00E67C6E">
      <w:pPr>
        <w:pStyle w:val="1"/>
        <w:ind w:left="980" w:right="215"/>
      </w:pPr>
      <w:r>
        <w:t xml:space="preserve">РЕШЕНИЕ СИСТЕМ ДИФФЕРЕНЦИАЛЬНЫХ УРАВНЕНИЙ МЕТОДОМ АДАМСА, МЕТОДОМ ПРОГНОЗА И КОРРЕКЦИИ </w:t>
      </w:r>
    </w:p>
    <w:p w:rsidR="002C0F56" w:rsidRDefault="00E67C6E">
      <w:pPr>
        <w:spacing w:after="25" w:line="259" w:lineRule="auto"/>
        <w:ind w:left="1558" w:firstLine="0"/>
        <w:jc w:val="left"/>
      </w:pPr>
      <w:r>
        <w:t xml:space="preserve"> </w:t>
      </w:r>
    </w:p>
    <w:p w:rsidR="002C0F56" w:rsidRDefault="00E67C6E">
      <w:pPr>
        <w:spacing w:after="2"/>
        <w:ind w:left="994" w:right="302"/>
      </w:pPr>
      <w:r>
        <w:t>При решении научных и инженерно-</w:t>
      </w:r>
      <w:r>
        <w:t>технических задач часто бывает необходимо математически описать какую-либо динамическую систему. Лучше всего это делать в виде дифференциальных уравнений или системы дифференциальных уравнений. Наиболее часто такая задача возникает при решении проблем, свя</w:t>
      </w:r>
      <w:r>
        <w:t xml:space="preserve">занных с моделированием различных процессов в любых областях. Кроме того, она является вспомогательной задачей при реализации многих алгоритмов вычислительной математики, математической физики, обработки результатов экспериментальных исследований. Поэтому </w:t>
      </w:r>
      <w:r>
        <w:t xml:space="preserve">для инженеров крайне важно грамотно находить решение задачи Коши для системы обыкновенных дифференциальных уравнений. </w:t>
      </w:r>
    </w:p>
    <w:p w:rsidR="002C0F56" w:rsidRDefault="00E67C6E">
      <w:pPr>
        <w:spacing w:after="10"/>
        <w:ind w:left="994" w:right="302"/>
      </w:pPr>
      <w:r>
        <w:t>Огромную роль дифференциальные уравнения, а также их решения играют в экономике, что позволяет решать и анализировать различного типа зад</w:t>
      </w:r>
      <w:r>
        <w:t xml:space="preserve">ачи.  Цель работы: изучить метод Адамса, метод прогноза и коррекции для решения обыкновенных дифференциальных уравнений, выполнить его реализацию. </w:t>
      </w:r>
    </w:p>
    <w:p w:rsidR="002C0F56" w:rsidRDefault="00E67C6E">
      <w:pPr>
        <w:spacing w:after="10"/>
        <w:ind w:left="994" w:right="302"/>
      </w:pPr>
      <w:r>
        <w:t>В данной статье будет рассмотрено описание метода Адамса, метода прогноза и коррекции, представлена их сравн</w:t>
      </w:r>
      <w:r>
        <w:t xml:space="preserve">ительная характеристика, а так же описаны  их достоинства и недостатки.  </w:t>
      </w:r>
    </w:p>
    <w:p w:rsidR="002C0F56" w:rsidRDefault="00E67C6E">
      <w:pPr>
        <w:ind w:left="994" w:right="302"/>
      </w:pPr>
      <w:r>
        <w:lastRenderedPageBreak/>
        <w:t>Пусть требуется найти приближенное решение дифференциального уравнения y'= f(x,y),  удовлетворяющее начальному условию y(x</w:t>
      </w:r>
      <w:r>
        <w:rPr>
          <w:vertAlign w:val="subscript"/>
        </w:rPr>
        <w:t>0</w:t>
      </w:r>
      <w:r>
        <w:t>) =y</w:t>
      </w:r>
      <w:r>
        <w:rPr>
          <w:vertAlign w:val="subscript"/>
        </w:rPr>
        <w:t>0</w:t>
      </w:r>
      <w:r>
        <w:t>.</w:t>
      </w:r>
      <w:r>
        <w:rPr>
          <w:vertAlign w:val="subscript"/>
        </w:rPr>
        <w:t xml:space="preserve"> </w:t>
      </w:r>
      <w:r>
        <w:t xml:space="preserve"> </w:t>
      </w:r>
    </w:p>
    <w:p w:rsidR="002C0F56" w:rsidRDefault="00E67C6E">
      <w:pPr>
        <w:ind w:left="994" w:right="302"/>
      </w:pPr>
      <w:r>
        <w:t>Как обычно, численное решение состоит в построении</w:t>
      </w:r>
      <w:r>
        <w:t xml:space="preserve"> таблицы приближенных значений y</w:t>
      </w:r>
      <w:r>
        <w:rPr>
          <w:vertAlign w:val="subscript"/>
        </w:rPr>
        <w:t>1</w:t>
      </w:r>
      <w:r>
        <w:t>, y</w:t>
      </w:r>
      <w:r>
        <w:rPr>
          <w:vertAlign w:val="subscript"/>
        </w:rPr>
        <w:t>2,....</w:t>
      </w:r>
      <w:r>
        <w:t xml:space="preserve"> y</w:t>
      </w:r>
      <w:r>
        <w:rPr>
          <w:vertAlign w:val="subscript"/>
        </w:rPr>
        <w:t xml:space="preserve">n </w:t>
      </w:r>
      <w:r>
        <w:t>решения уравнения  y (x) в заданных  точках x</w:t>
      </w:r>
      <w:r>
        <w:rPr>
          <w:vertAlign w:val="subscript"/>
        </w:rPr>
        <w:t>1</w:t>
      </w:r>
      <w:r>
        <w:t>, x</w:t>
      </w:r>
      <w:r>
        <w:rPr>
          <w:vertAlign w:val="subscript"/>
        </w:rPr>
        <w:t>2,....</w:t>
      </w:r>
      <w:r>
        <w:t xml:space="preserve"> x</w:t>
      </w:r>
      <w:r>
        <w:rPr>
          <w:vertAlign w:val="subscript"/>
        </w:rPr>
        <w:t>n.</w:t>
      </w:r>
      <w:r>
        <w:t>.</w:t>
      </w:r>
      <w:r>
        <w:rPr>
          <w:vertAlign w:val="subscript"/>
        </w:rPr>
        <w:t xml:space="preserve"> </w:t>
      </w:r>
      <w:r>
        <w:t>Точки x</w:t>
      </w:r>
      <w:r>
        <w:rPr>
          <w:vertAlign w:val="subscript"/>
        </w:rPr>
        <w:t>1</w:t>
      </w:r>
      <w:r>
        <w:t>, x</w:t>
      </w:r>
      <w:r>
        <w:rPr>
          <w:vertAlign w:val="subscript"/>
        </w:rPr>
        <w:t>2,....</w:t>
      </w:r>
      <w:r>
        <w:t xml:space="preserve"> x</w:t>
      </w:r>
      <w:r>
        <w:rPr>
          <w:vertAlign w:val="subscript"/>
        </w:rPr>
        <w:t xml:space="preserve">n </w:t>
      </w:r>
      <w:r>
        <w:t>- узлы сетки. Чаще всего x</w:t>
      </w:r>
      <w:r>
        <w:rPr>
          <w:vertAlign w:val="subscript"/>
        </w:rPr>
        <w:t xml:space="preserve">i </w:t>
      </w:r>
      <w:r>
        <w:t>= x</w:t>
      </w:r>
      <w:r>
        <w:rPr>
          <w:vertAlign w:val="subscript"/>
        </w:rPr>
        <w:t>0</w:t>
      </w:r>
      <w:r>
        <w:t>+ih , где i =1, 2, ...Точки x</w:t>
      </w:r>
      <w:r>
        <w:rPr>
          <w:vertAlign w:val="subscript"/>
        </w:rPr>
        <w:t xml:space="preserve">i  </w:t>
      </w:r>
      <w:r>
        <w:t xml:space="preserve">называют узлами сетки с шагом h (h&gt;0). </w:t>
      </w:r>
    </w:p>
    <w:p w:rsidR="002C0F56" w:rsidRDefault="00E67C6E">
      <w:pPr>
        <w:ind w:left="994" w:right="302"/>
      </w:pPr>
      <w:r>
        <w:t>В методе Адамса четверто</w:t>
      </w:r>
      <w:r>
        <w:t xml:space="preserve">го порядка величины y </w:t>
      </w:r>
      <w:r>
        <w:rPr>
          <w:vertAlign w:val="subscript"/>
        </w:rPr>
        <w:t>i+1</w:t>
      </w:r>
      <w:r>
        <w:t xml:space="preserve"> вычисляют по формуле: </w:t>
      </w:r>
    </w:p>
    <w:p w:rsidR="002C0F56" w:rsidRDefault="00E67C6E">
      <w:pPr>
        <w:tabs>
          <w:tab w:val="center" w:pos="4584"/>
          <w:tab w:val="center" w:pos="8077"/>
        </w:tabs>
        <w:spacing w:after="27" w:line="259" w:lineRule="auto"/>
        <w:ind w:left="0" w:firstLine="0"/>
        <w:jc w:val="left"/>
      </w:pPr>
      <w:r>
        <w:rPr>
          <w:rFonts w:ascii="Calibri" w:eastAsia="Calibri" w:hAnsi="Calibri" w:cs="Calibri"/>
          <w:sz w:val="22"/>
        </w:rPr>
        <w:tab/>
      </w:r>
      <w:r>
        <w:rPr>
          <w:noProof/>
        </w:rPr>
        <w:drawing>
          <wp:inline distT="0" distB="0" distL="0" distR="0">
            <wp:extent cx="3759835" cy="522605"/>
            <wp:effectExtent l="0" t="0" r="0" b="0"/>
            <wp:docPr id="64475" name="Picture 64475"/>
            <wp:cNvGraphicFramePr/>
            <a:graphic xmlns:a="http://schemas.openxmlformats.org/drawingml/2006/main">
              <a:graphicData uri="http://schemas.openxmlformats.org/drawingml/2006/picture">
                <pic:pic xmlns:pic="http://schemas.openxmlformats.org/drawingml/2006/picture">
                  <pic:nvPicPr>
                    <pic:cNvPr id="64475" name="Picture 64475"/>
                    <pic:cNvPicPr/>
                  </pic:nvPicPr>
                  <pic:blipFill>
                    <a:blip r:embed="rId1181"/>
                    <a:stretch>
                      <a:fillRect/>
                    </a:stretch>
                  </pic:blipFill>
                  <pic:spPr>
                    <a:xfrm>
                      <a:off x="0" y="0"/>
                      <a:ext cx="3759835" cy="522605"/>
                    </a:xfrm>
                    <a:prstGeom prst="rect">
                      <a:avLst/>
                    </a:prstGeom>
                  </pic:spPr>
                </pic:pic>
              </a:graphicData>
            </a:graphic>
          </wp:inline>
        </w:drawing>
      </w:r>
      <w:r>
        <w:rPr>
          <w:sz w:val="24"/>
        </w:rPr>
        <w:tab/>
        <w:t>(2)</w:t>
      </w:r>
      <w:r>
        <w:t xml:space="preserve"> </w:t>
      </w:r>
    </w:p>
    <w:p w:rsidR="002C0F56" w:rsidRDefault="00E67C6E">
      <w:pPr>
        <w:spacing w:after="7"/>
        <w:ind w:left="994" w:right="302"/>
      </w:pPr>
      <w:r>
        <w:t xml:space="preserve">Этот метод относится к группе многошаговых методов, в которых для нахождения точки (x </w:t>
      </w:r>
      <w:r>
        <w:rPr>
          <w:vertAlign w:val="subscript"/>
        </w:rPr>
        <w:t xml:space="preserve">i+1 </w:t>
      </w:r>
      <w:r>
        <w:t xml:space="preserve">, y </w:t>
      </w:r>
      <w:r>
        <w:rPr>
          <w:vertAlign w:val="subscript"/>
        </w:rPr>
        <w:t>i+1</w:t>
      </w:r>
      <w:r>
        <w:t>) Требуется информация о нескольких предыдущих точках. Формула Адамса принадлежит в классу четырехшаговых методов, поскольку в (2) используется информация о четырех предыдущих точках. Важной характеристикой метода является порядок точности. Для метода Адам</w:t>
      </w:r>
      <w:r>
        <w:t xml:space="preserve">са он равен 4, то есть погрешность метода на одном шаге равна O </w:t>
      </w:r>
    </w:p>
    <w:p w:rsidR="002C0F56" w:rsidRDefault="00E67C6E">
      <w:pPr>
        <w:ind w:left="994" w:right="302" w:firstLine="0"/>
      </w:pPr>
      <w:r>
        <w:t>(h</w:t>
      </w:r>
      <w:r>
        <w:rPr>
          <w:vertAlign w:val="superscript"/>
        </w:rPr>
        <w:t>5</w:t>
      </w:r>
      <w:r>
        <w:t xml:space="preserve">). </w:t>
      </w:r>
    </w:p>
    <w:p w:rsidR="002C0F56" w:rsidRDefault="00E67C6E">
      <w:pPr>
        <w:spacing w:after="393" w:line="268" w:lineRule="auto"/>
        <w:ind w:left="994" w:right="293" w:firstLine="554"/>
        <w:jc w:val="left"/>
      </w:pPr>
      <w:r>
        <w:t xml:space="preserve">Таким </w:t>
      </w:r>
      <w:r>
        <w:tab/>
        <w:t xml:space="preserve">образом, </w:t>
      </w:r>
      <w:r>
        <w:tab/>
        <w:t xml:space="preserve">многошаговых </w:t>
      </w:r>
      <w:r>
        <w:tab/>
        <w:t xml:space="preserve">методы </w:t>
      </w:r>
      <w:r>
        <w:tab/>
        <w:t xml:space="preserve">более </w:t>
      </w:r>
      <w:r>
        <w:tab/>
        <w:t xml:space="preserve">экономичны, </w:t>
      </w:r>
      <w:r>
        <w:tab/>
        <w:t>чем одношаговые (не требует дополнительных вычислений). В этом состоит достоинство многошаговых методов. Однако эти методы об</w:t>
      </w:r>
      <w:r>
        <w:t>ладают общим недостатком -  с их помощью нельзя начать решать задачу. Поясним это на примере метода Адамса (2). Пусть задано начальное значение y</w:t>
      </w:r>
      <w:r>
        <w:rPr>
          <w:vertAlign w:val="subscript"/>
        </w:rPr>
        <w:t xml:space="preserve">0 </w:t>
      </w:r>
      <w:r>
        <w:t>в точке x</w:t>
      </w:r>
      <w:r>
        <w:rPr>
          <w:vertAlign w:val="subscript"/>
        </w:rPr>
        <w:t xml:space="preserve">0 </w:t>
      </w:r>
      <w:r>
        <w:t>. На первом шаге необходимо вычислить значение y</w:t>
      </w:r>
      <w:r>
        <w:rPr>
          <w:vertAlign w:val="subscript"/>
        </w:rPr>
        <w:t xml:space="preserve">1 </w:t>
      </w:r>
      <w:r>
        <w:t>в точке x</w:t>
      </w:r>
      <w:r>
        <w:rPr>
          <w:vertAlign w:val="subscript"/>
        </w:rPr>
        <w:t xml:space="preserve">1 </w:t>
      </w:r>
      <w:r>
        <w:t>= x</w:t>
      </w:r>
      <w:r>
        <w:rPr>
          <w:vertAlign w:val="subscript"/>
        </w:rPr>
        <w:t>0</w:t>
      </w:r>
      <w:r>
        <w:t>+h. В соответствии с (2) значение</w:t>
      </w:r>
      <w:r>
        <w:t xml:space="preserve"> y</w:t>
      </w:r>
      <w:r>
        <w:rPr>
          <w:vertAlign w:val="subscript"/>
        </w:rPr>
        <w:t xml:space="preserve">1 </w:t>
      </w:r>
      <w:r>
        <w:t xml:space="preserve">следует находить по формуле: </w:t>
      </w:r>
      <w:r>
        <w:rPr>
          <w:i/>
          <w:sz w:val="25"/>
        </w:rPr>
        <w:t>h y</w:t>
      </w:r>
      <w:r>
        <w:rPr>
          <w:sz w:val="22"/>
          <w:vertAlign w:val="subscript"/>
        </w:rPr>
        <w:t xml:space="preserve">1 </w:t>
      </w:r>
      <w:r>
        <w:rPr>
          <w:rFonts w:ascii="Segoe UI Symbol" w:eastAsia="Segoe UI Symbol" w:hAnsi="Segoe UI Symbol" w:cs="Segoe UI Symbol"/>
          <w:sz w:val="25"/>
        </w:rPr>
        <w:t xml:space="preserve"> </w:t>
      </w:r>
      <w:r>
        <w:rPr>
          <w:i/>
          <w:sz w:val="25"/>
        </w:rPr>
        <w:t>y</w:t>
      </w:r>
      <w:r>
        <w:rPr>
          <w:sz w:val="22"/>
          <w:vertAlign w:val="subscript"/>
        </w:rPr>
        <w:t xml:space="preserve">0 </w:t>
      </w:r>
      <w:r>
        <w:rPr>
          <w:rFonts w:ascii="Segoe UI Symbol" w:eastAsia="Segoe UI Symbol" w:hAnsi="Segoe UI Symbol" w:cs="Segoe UI Symbol"/>
          <w:sz w:val="25"/>
        </w:rPr>
        <w:t xml:space="preserve"> </w:t>
      </w:r>
      <w:r>
        <w:rPr>
          <w:rFonts w:ascii="Calibri" w:eastAsia="Calibri" w:hAnsi="Calibri" w:cs="Calibri"/>
          <w:noProof/>
          <w:sz w:val="22"/>
        </w:rPr>
        <mc:AlternateContent>
          <mc:Choice Requires="wpg">
            <w:drawing>
              <wp:inline distT="0" distB="0" distL="0" distR="0">
                <wp:extent cx="168282" cy="6449"/>
                <wp:effectExtent l="0" t="0" r="0" b="0"/>
                <wp:docPr id="653208" name="Group 653208"/>
                <wp:cNvGraphicFramePr/>
                <a:graphic xmlns:a="http://schemas.openxmlformats.org/drawingml/2006/main">
                  <a:graphicData uri="http://schemas.microsoft.com/office/word/2010/wordprocessingGroup">
                    <wpg:wgp>
                      <wpg:cNvGrpSpPr/>
                      <wpg:grpSpPr>
                        <a:xfrm>
                          <a:off x="0" y="0"/>
                          <a:ext cx="168282" cy="6449"/>
                          <a:chOff x="0" y="0"/>
                          <a:chExt cx="168282" cy="6449"/>
                        </a:xfrm>
                      </wpg:grpSpPr>
                      <wps:wsp>
                        <wps:cNvPr id="64566" name="Shape 64566"/>
                        <wps:cNvSpPr/>
                        <wps:spPr>
                          <a:xfrm>
                            <a:off x="0" y="0"/>
                            <a:ext cx="168282" cy="0"/>
                          </a:xfrm>
                          <a:custGeom>
                            <a:avLst/>
                            <a:gdLst/>
                            <a:ahLst/>
                            <a:cxnLst/>
                            <a:rect l="0" t="0" r="0" b="0"/>
                            <a:pathLst>
                              <a:path w="168282">
                                <a:moveTo>
                                  <a:pt x="0" y="0"/>
                                </a:moveTo>
                                <a:lnTo>
                                  <a:pt x="168282" y="0"/>
                                </a:lnTo>
                              </a:path>
                            </a:pathLst>
                          </a:custGeom>
                          <a:ln w="6449"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53208" style="width:13.2505pt;height:0.507789pt;mso-position-horizontal-relative:char;mso-position-vertical-relative:line" coordsize="1682,64">
                <v:shape id="Shape 64566" style="position:absolute;width:1682;height:0;left:0;top:0;" coordsize="168282,0" path="m0,0l168282,0">
                  <v:stroke weight="0.507789pt" endcap="flat" joinstyle="round" on="true" color="#000000"/>
                  <v:fill on="false" color="#000000" opacity="0"/>
                </v:shape>
              </v:group>
            </w:pict>
          </mc:Fallback>
        </mc:AlternateContent>
      </w:r>
      <w:r>
        <w:rPr>
          <w:sz w:val="25"/>
        </w:rPr>
        <w:t>24</w:t>
      </w:r>
      <w:r>
        <w:rPr>
          <w:rFonts w:ascii="Segoe UI Symbol" w:eastAsia="Segoe UI Symbol" w:hAnsi="Segoe UI Symbol" w:cs="Segoe UI Symbol"/>
          <w:sz w:val="33"/>
        </w:rPr>
        <w:t></w:t>
      </w:r>
      <w:r>
        <w:rPr>
          <w:sz w:val="25"/>
        </w:rPr>
        <w:t>55</w:t>
      </w:r>
      <w:r>
        <w:rPr>
          <w:i/>
          <w:sz w:val="25"/>
        </w:rPr>
        <w:t xml:space="preserve">f </w:t>
      </w:r>
      <w:r>
        <w:rPr>
          <w:sz w:val="25"/>
        </w:rPr>
        <w:t>(</w:t>
      </w:r>
      <w:r>
        <w:rPr>
          <w:i/>
          <w:sz w:val="25"/>
        </w:rPr>
        <w:t>x</w:t>
      </w:r>
      <w:r>
        <w:rPr>
          <w:sz w:val="22"/>
          <w:vertAlign w:val="subscript"/>
        </w:rPr>
        <w:t>0</w:t>
      </w:r>
      <w:r>
        <w:rPr>
          <w:sz w:val="25"/>
        </w:rPr>
        <w:t xml:space="preserve">, </w:t>
      </w:r>
      <w:r>
        <w:rPr>
          <w:i/>
          <w:sz w:val="25"/>
        </w:rPr>
        <w:t>y</w:t>
      </w:r>
      <w:r>
        <w:rPr>
          <w:sz w:val="22"/>
          <w:vertAlign w:val="subscript"/>
        </w:rPr>
        <w:t>0</w:t>
      </w:r>
      <w:r>
        <w:rPr>
          <w:sz w:val="25"/>
        </w:rPr>
        <w:t xml:space="preserve">) </w:t>
      </w:r>
      <w:r>
        <w:rPr>
          <w:rFonts w:ascii="Segoe UI Symbol" w:eastAsia="Segoe UI Symbol" w:hAnsi="Segoe UI Symbol" w:cs="Segoe UI Symbol"/>
          <w:sz w:val="25"/>
        </w:rPr>
        <w:t></w:t>
      </w:r>
      <w:r>
        <w:rPr>
          <w:sz w:val="25"/>
        </w:rPr>
        <w:t xml:space="preserve">59 </w:t>
      </w:r>
      <w:r>
        <w:rPr>
          <w:i/>
          <w:sz w:val="25"/>
        </w:rPr>
        <w:t xml:space="preserve">f </w:t>
      </w:r>
      <w:r>
        <w:rPr>
          <w:sz w:val="25"/>
        </w:rPr>
        <w:t>(</w:t>
      </w:r>
      <w:r>
        <w:rPr>
          <w:i/>
          <w:sz w:val="25"/>
        </w:rPr>
        <w:t>x</w:t>
      </w:r>
      <w:r>
        <w:rPr>
          <w:rFonts w:ascii="Segoe UI Symbol" w:eastAsia="Segoe UI Symbol" w:hAnsi="Segoe UI Symbol" w:cs="Segoe UI Symbol"/>
          <w:sz w:val="22"/>
          <w:vertAlign w:val="subscript"/>
        </w:rPr>
        <w:t></w:t>
      </w:r>
      <w:r>
        <w:rPr>
          <w:sz w:val="22"/>
          <w:vertAlign w:val="subscript"/>
        </w:rPr>
        <w:t>1</w:t>
      </w:r>
      <w:r>
        <w:rPr>
          <w:sz w:val="25"/>
        </w:rPr>
        <w:t xml:space="preserve">, </w:t>
      </w:r>
      <w:r>
        <w:rPr>
          <w:i/>
          <w:sz w:val="25"/>
        </w:rPr>
        <w:t>y</w:t>
      </w:r>
      <w:r>
        <w:rPr>
          <w:rFonts w:ascii="Segoe UI Symbol" w:eastAsia="Segoe UI Symbol" w:hAnsi="Segoe UI Symbol" w:cs="Segoe UI Symbol"/>
          <w:sz w:val="22"/>
          <w:vertAlign w:val="subscript"/>
        </w:rPr>
        <w:t></w:t>
      </w:r>
      <w:r>
        <w:rPr>
          <w:sz w:val="22"/>
          <w:vertAlign w:val="subscript"/>
        </w:rPr>
        <w:t>1</w:t>
      </w:r>
      <w:r>
        <w:rPr>
          <w:sz w:val="25"/>
        </w:rPr>
        <w:t xml:space="preserve">) </w:t>
      </w:r>
      <w:r>
        <w:rPr>
          <w:rFonts w:ascii="Segoe UI Symbol" w:eastAsia="Segoe UI Symbol" w:hAnsi="Segoe UI Symbol" w:cs="Segoe UI Symbol"/>
          <w:sz w:val="25"/>
        </w:rPr>
        <w:t></w:t>
      </w:r>
      <w:r>
        <w:rPr>
          <w:sz w:val="25"/>
        </w:rPr>
        <w:t xml:space="preserve">37 </w:t>
      </w:r>
      <w:r>
        <w:rPr>
          <w:i/>
          <w:sz w:val="25"/>
        </w:rPr>
        <w:t xml:space="preserve">f </w:t>
      </w:r>
      <w:r>
        <w:rPr>
          <w:sz w:val="25"/>
        </w:rPr>
        <w:t>(</w:t>
      </w:r>
      <w:r>
        <w:rPr>
          <w:i/>
          <w:sz w:val="25"/>
        </w:rPr>
        <w:t>x</w:t>
      </w:r>
      <w:r>
        <w:rPr>
          <w:rFonts w:ascii="Segoe UI Symbol" w:eastAsia="Segoe UI Symbol" w:hAnsi="Segoe UI Symbol" w:cs="Segoe UI Symbol"/>
          <w:sz w:val="22"/>
          <w:vertAlign w:val="subscript"/>
        </w:rPr>
        <w:t></w:t>
      </w:r>
      <w:r>
        <w:rPr>
          <w:sz w:val="22"/>
          <w:vertAlign w:val="subscript"/>
        </w:rPr>
        <w:t>2</w:t>
      </w:r>
      <w:r>
        <w:rPr>
          <w:sz w:val="25"/>
        </w:rPr>
        <w:t xml:space="preserve">, </w:t>
      </w:r>
      <w:r>
        <w:rPr>
          <w:i/>
          <w:sz w:val="25"/>
        </w:rPr>
        <w:t>y</w:t>
      </w:r>
      <w:r>
        <w:rPr>
          <w:rFonts w:ascii="Segoe UI Symbol" w:eastAsia="Segoe UI Symbol" w:hAnsi="Segoe UI Symbol" w:cs="Segoe UI Symbol"/>
          <w:sz w:val="22"/>
          <w:vertAlign w:val="subscript"/>
        </w:rPr>
        <w:t></w:t>
      </w:r>
      <w:r>
        <w:rPr>
          <w:sz w:val="22"/>
          <w:vertAlign w:val="subscript"/>
        </w:rPr>
        <w:t>2</w:t>
      </w:r>
      <w:r>
        <w:rPr>
          <w:sz w:val="25"/>
        </w:rPr>
        <w:t xml:space="preserve">) </w:t>
      </w:r>
      <w:r>
        <w:rPr>
          <w:rFonts w:ascii="Segoe UI Symbol" w:eastAsia="Segoe UI Symbol" w:hAnsi="Segoe UI Symbol" w:cs="Segoe UI Symbol"/>
          <w:sz w:val="25"/>
        </w:rPr>
        <w:t></w:t>
      </w:r>
      <w:r>
        <w:rPr>
          <w:sz w:val="25"/>
        </w:rPr>
        <w:t xml:space="preserve">9 </w:t>
      </w:r>
      <w:r>
        <w:rPr>
          <w:i/>
          <w:sz w:val="25"/>
        </w:rPr>
        <w:t xml:space="preserve">f </w:t>
      </w:r>
      <w:r>
        <w:rPr>
          <w:sz w:val="25"/>
        </w:rPr>
        <w:t>(</w:t>
      </w:r>
      <w:r>
        <w:rPr>
          <w:i/>
          <w:sz w:val="25"/>
        </w:rPr>
        <w:t>x</w:t>
      </w:r>
      <w:r>
        <w:rPr>
          <w:rFonts w:ascii="Segoe UI Symbol" w:eastAsia="Segoe UI Symbol" w:hAnsi="Segoe UI Symbol" w:cs="Segoe UI Symbol"/>
          <w:sz w:val="22"/>
          <w:vertAlign w:val="subscript"/>
        </w:rPr>
        <w:t></w:t>
      </w:r>
      <w:r>
        <w:rPr>
          <w:sz w:val="22"/>
          <w:vertAlign w:val="subscript"/>
        </w:rPr>
        <w:t>3</w:t>
      </w:r>
      <w:r>
        <w:rPr>
          <w:sz w:val="25"/>
        </w:rPr>
        <w:t xml:space="preserve">, </w:t>
      </w:r>
      <w:r>
        <w:rPr>
          <w:i/>
          <w:sz w:val="25"/>
        </w:rPr>
        <w:t>y</w:t>
      </w:r>
      <w:r>
        <w:rPr>
          <w:rFonts w:ascii="Segoe UI Symbol" w:eastAsia="Segoe UI Symbol" w:hAnsi="Segoe UI Symbol" w:cs="Segoe UI Symbol"/>
          <w:sz w:val="22"/>
          <w:vertAlign w:val="subscript"/>
        </w:rPr>
        <w:t></w:t>
      </w:r>
      <w:r>
        <w:rPr>
          <w:sz w:val="22"/>
          <w:vertAlign w:val="subscript"/>
        </w:rPr>
        <w:t>3</w:t>
      </w:r>
      <w:r>
        <w:rPr>
          <w:sz w:val="25"/>
        </w:rPr>
        <w:t xml:space="preserve">) </w:t>
      </w:r>
      <w:r>
        <w:rPr>
          <w:rFonts w:ascii="Segoe UI Symbol" w:eastAsia="Segoe UI Symbol" w:hAnsi="Segoe UI Symbol" w:cs="Segoe UI Symbol"/>
          <w:sz w:val="50"/>
          <w:vertAlign w:val="superscript"/>
        </w:rPr>
        <w:t></w:t>
      </w:r>
      <w:r>
        <w:t xml:space="preserve"> </w:t>
      </w:r>
    </w:p>
    <w:p w:rsidR="002C0F56" w:rsidRDefault="00E67C6E">
      <w:pPr>
        <w:spacing w:after="16"/>
        <w:ind w:left="994" w:right="302"/>
      </w:pPr>
      <w:r>
        <w:t>Отсюда видно, что для получения решения y</w:t>
      </w:r>
      <w:r>
        <w:rPr>
          <w:vertAlign w:val="subscript"/>
        </w:rPr>
        <w:t xml:space="preserve">1 </w:t>
      </w:r>
      <w:r>
        <w:t>в точке x</w:t>
      </w:r>
      <w:r>
        <w:rPr>
          <w:vertAlign w:val="subscript"/>
        </w:rPr>
        <w:t xml:space="preserve">1 </w:t>
      </w:r>
      <w:r>
        <w:t xml:space="preserve">необходима информация о точках x </w:t>
      </w:r>
      <w:r>
        <w:rPr>
          <w:vertAlign w:val="subscript"/>
        </w:rPr>
        <w:t xml:space="preserve">-1, </w:t>
      </w:r>
      <w:r>
        <w:t xml:space="preserve">x </w:t>
      </w:r>
      <w:r>
        <w:rPr>
          <w:vertAlign w:val="subscript"/>
        </w:rPr>
        <w:t xml:space="preserve">-2, </w:t>
      </w:r>
      <w:r>
        <w:t xml:space="preserve">x </w:t>
      </w:r>
      <w:r>
        <w:rPr>
          <w:vertAlign w:val="subscript"/>
        </w:rPr>
        <w:t>-3</w:t>
      </w:r>
      <w:r>
        <w:t>, которой мы не располагаем. Выход из положения состоит в использовании какого-либо одношагового метода того же порядка точности до тех пор, пока не будет получено достаточно значений доя работы многошагового метода. В данной работе для этой цели используе</w:t>
      </w:r>
      <w:r>
        <w:t xml:space="preserve">тся метод Рунге-Кутты, описанный выше. </w:t>
      </w:r>
    </w:p>
    <w:p w:rsidR="002C0F56" w:rsidRDefault="00E67C6E">
      <w:pPr>
        <w:ind w:left="994" w:right="302"/>
      </w:pPr>
      <w:r>
        <w:t xml:space="preserve">Метод Адамса легко переносится на нормальные системы дифференциальных  уравнений вида </w:t>
      </w:r>
    </w:p>
    <w:p w:rsidR="002C0F56" w:rsidRDefault="00E67C6E">
      <w:pPr>
        <w:spacing w:after="5" w:line="268" w:lineRule="auto"/>
        <w:ind w:left="1558" w:right="1884" w:firstLine="0"/>
        <w:jc w:val="left"/>
      </w:pPr>
      <w:r>
        <w:t>y'</w:t>
      </w:r>
      <w:r>
        <w:rPr>
          <w:vertAlign w:val="subscript"/>
        </w:rPr>
        <w:t>k</w:t>
      </w:r>
      <w:r>
        <w:t>(x) = f</w:t>
      </w:r>
      <w:r>
        <w:rPr>
          <w:vertAlign w:val="subscript"/>
        </w:rPr>
        <w:t xml:space="preserve">k </w:t>
      </w:r>
      <w:r>
        <w:t>(x, y</w:t>
      </w:r>
      <w:r>
        <w:rPr>
          <w:vertAlign w:val="subscript"/>
        </w:rPr>
        <w:t xml:space="preserve">1, </w:t>
      </w:r>
      <w:r>
        <w:t>y</w:t>
      </w:r>
      <w:r>
        <w:rPr>
          <w:vertAlign w:val="subscript"/>
        </w:rPr>
        <w:t>2,....</w:t>
      </w:r>
      <w:r>
        <w:t xml:space="preserve"> y</w:t>
      </w:r>
      <w:r>
        <w:rPr>
          <w:vertAlign w:val="subscript"/>
        </w:rPr>
        <w:t>n</w:t>
      </w:r>
      <w:r>
        <w:t xml:space="preserve">), где </w:t>
      </w:r>
      <w:r>
        <w:rPr>
          <w:sz w:val="25"/>
        </w:rPr>
        <w:t>1</w:t>
      </w:r>
      <w:r>
        <w:rPr>
          <w:rFonts w:ascii="Segoe UI Symbol" w:eastAsia="Segoe UI Symbol" w:hAnsi="Segoe UI Symbol" w:cs="Segoe UI Symbol"/>
          <w:sz w:val="25"/>
        </w:rPr>
        <w:t></w:t>
      </w:r>
      <w:r>
        <w:rPr>
          <w:i/>
          <w:sz w:val="25"/>
        </w:rPr>
        <w:t>k</w:t>
      </w:r>
      <w:r>
        <w:rPr>
          <w:rFonts w:ascii="Segoe UI Symbol" w:eastAsia="Segoe UI Symbol" w:hAnsi="Segoe UI Symbol" w:cs="Segoe UI Symbol"/>
          <w:sz w:val="25"/>
        </w:rPr>
        <w:t></w:t>
      </w:r>
      <w:r>
        <w:rPr>
          <w:i/>
          <w:sz w:val="25"/>
        </w:rPr>
        <w:t>n</w:t>
      </w:r>
      <w:r>
        <w:t>, которые для краткости удобно записывать в векторной форме: y'</w:t>
      </w:r>
      <w:r>
        <w:rPr>
          <w:vertAlign w:val="subscript"/>
        </w:rPr>
        <w:t>k</w:t>
      </w:r>
      <w:r>
        <w:t xml:space="preserve">(x) =f (x,y). </w:t>
      </w:r>
    </w:p>
    <w:p w:rsidR="002C0F56" w:rsidRDefault="00E67C6E">
      <w:pPr>
        <w:spacing w:after="12"/>
        <w:ind w:left="1558" w:right="302" w:firstLine="0"/>
      </w:pPr>
      <w:r>
        <w:t>y = (y</w:t>
      </w:r>
      <w:r>
        <w:rPr>
          <w:vertAlign w:val="subscript"/>
        </w:rPr>
        <w:t>1</w:t>
      </w:r>
      <w:r>
        <w:t>, y</w:t>
      </w:r>
      <w:r>
        <w:rPr>
          <w:vertAlign w:val="subscript"/>
        </w:rPr>
        <w:t>2,</w:t>
      </w:r>
      <w:r>
        <w:t xml:space="preserve"> .... y</w:t>
      </w:r>
      <w:r>
        <w:rPr>
          <w:vertAlign w:val="subscript"/>
        </w:rPr>
        <w:t xml:space="preserve">n </w:t>
      </w:r>
      <w:r>
        <w:t>), f = (f</w:t>
      </w:r>
      <w:r>
        <w:rPr>
          <w:vertAlign w:val="subscript"/>
        </w:rPr>
        <w:t>1</w:t>
      </w:r>
      <w:r>
        <w:t>, f</w:t>
      </w:r>
      <w:r>
        <w:rPr>
          <w:vertAlign w:val="subscript"/>
        </w:rPr>
        <w:t>2,</w:t>
      </w:r>
      <w:r>
        <w:t xml:space="preserve"> .... f</w:t>
      </w:r>
      <w:r>
        <w:rPr>
          <w:vertAlign w:val="subscript"/>
        </w:rPr>
        <w:t>n</w:t>
      </w:r>
      <w:r>
        <w:t xml:space="preserve">). </w:t>
      </w:r>
    </w:p>
    <w:p w:rsidR="002C0F56" w:rsidRDefault="00E67C6E">
      <w:pPr>
        <w:ind w:left="994" w:right="302"/>
      </w:pPr>
      <w:r>
        <w:lastRenderedPageBreak/>
        <w:t xml:space="preserve">Для получения расчетных формул Адамса  достаточно в формулах (2) заменить y и f (x,y) соответственно на  векторы </w:t>
      </w:r>
      <w:r>
        <w:rPr>
          <w:b/>
        </w:rPr>
        <w:t>y</w:t>
      </w:r>
      <w:r>
        <w:t xml:space="preserve"> и </w:t>
      </w:r>
      <w:r>
        <w:rPr>
          <w:b/>
        </w:rPr>
        <w:t>f</w:t>
      </w:r>
      <w:r>
        <w:t xml:space="preserve"> (x,y), а коэффициенты k</w:t>
      </w:r>
      <w:r>
        <w:rPr>
          <w:vertAlign w:val="subscript"/>
        </w:rPr>
        <w:t>j</w:t>
      </w:r>
      <w:r>
        <w:t xml:space="preserve"> - на  векторы </w:t>
      </w:r>
      <w:r>
        <w:rPr>
          <w:b/>
        </w:rPr>
        <w:t>k</w:t>
      </w:r>
      <w:r>
        <w:rPr>
          <w:b/>
          <w:vertAlign w:val="subscript"/>
        </w:rPr>
        <w:t xml:space="preserve">j </w:t>
      </w:r>
      <w:r>
        <w:t xml:space="preserve">(j = 1, 2, 3,4).   </w:t>
      </w:r>
    </w:p>
    <w:p w:rsidR="002C0F56" w:rsidRDefault="00E67C6E">
      <w:pPr>
        <w:ind w:left="994" w:right="302"/>
      </w:pPr>
      <w:r>
        <w:t>В методах прогноза и коррекции каждое значение y</w:t>
      </w:r>
      <w:r>
        <w:rPr>
          <w:vertAlign w:val="subscript"/>
        </w:rPr>
        <w:t xml:space="preserve">i </w:t>
      </w:r>
      <w:r>
        <w:t>определяют в два этапа. На первом этапе находят начальное (нулевое) приближение для y</w:t>
      </w:r>
      <w:r>
        <w:rPr>
          <w:vertAlign w:val="subscript"/>
        </w:rPr>
        <w:t xml:space="preserve">i </w:t>
      </w:r>
      <w:r>
        <w:t>; этот этап называют прогнозом. На втором этапе начальное приближение уточняется с помощью итерационного процесса корре</w:t>
      </w:r>
      <w:r>
        <w:t xml:space="preserve">кции.  </w:t>
      </w:r>
    </w:p>
    <w:p w:rsidR="002C0F56" w:rsidRDefault="00E67C6E">
      <w:pPr>
        <w:spacing w:after="271"/>
        <w:ind w:left="1620" w:right="1235" w:hanging="62"/>
      </w:pPr>
      <w:r>
        <w:t xml:space="preserve">Для прогноза обычно используют одну из следующих формул: </w:t>
      </w:r>
      <w:r>
        <w:rPr>
          <w:i/>
          <w:sz w:val="23"/>
        </w:rPr>
        <w:t>y</w:t>
      </w:r>
      <w:r>
        <w:rPr>
          <w:sz w:val="14"/>
        </w:rPr>
        <w:t>(0)</w:t>
      </w:r>
      <w:r>
        <w:rPr>
          <w:i/>
          <w:sz w:val="14"/>
        </w:rPr>
        <w:t>i</w:t>
      </w:r>
      <w:r>
        <w:rPr>
          <w:rFonts w:ascii="Segoe UI Symbol" w:eastAsia="Segoe UI Symbol" w:hAnsi="Segoe UI Symbol" w:cs="Segoe UI Symbol"/>
          <w:sz w:val="14"/>
        </w:rPr>
        <w:t></w:t>
      </w:r>
      <w:r>
        <w:rPr>
          <w:sz w:val="14"/>
        </w:rPr>
        <w:t xml:space="preserve">1 </w:t>
      </w:r>
      <w:r>
        <w:rPr>
          <w:rFonts w:ascii="Segoe UI Symbol" w:eastAsia="Segoe UI Symbol" w:hAnsi="Segoe UI Symbol" w:cs="Segoe UI Symbol"/>
          <w:sz w:val="23"/>
        </w:rPr>
        <w:t xml:space="preserve"> </w:t>
      </w:r>
      <w:r>
        <w:rPr>
          <w:i/>
          <w:sz w:val="23"/>
        </w:rPr>
        <w:t>y</w:t>
      </w:r>
      <w:r>
        <w:rPr>
          <w:i/>
          <w:sz w:val="14"/>
        </w:rPr>
        <w:t xml:space="preserve">i </w:t>
      </w:r>
      <w:r>
        <w:rPr>
          <w:rFonts w:ascii="Segoe UI Symbol" w:eastAsia="Segoe UI Symbol" w:hAnsi="Segoe UI Symbol" w:cs="Segoe UI Symbol"/>
          <w:sz w:val="23"/>
        </w:rPr>
        <w:t></w:t>
      </w:r>
      <w:r>
        <w:rPr>
          <w:i/>
          <w:sz w:val="23"/>
        </w:rPr>
        <w:t xml:space="preserve">hf </w:t>
      </w:r>
      <w:r>
        <w:rPr>
          <w:sz w:val="23"/>
        </w:rPr>
        <w:t>(</w:t>
      </w:r>
      <w:r>
        <w:rPr>
          <w:i/>
          <w:sz w:val="23"/>
        </w:rPr>
        <w:t>x</w:t>
      </w:r>
      <w:r>
        <w:rPr>
          <w:i/>
          <w:sz w:val="14"/>
        </w:rPr>
        <w:t xml:space="preserve">i </w:t>
      </w:r>
      <w:r>
        <w:rPr>
          <w:sz w:val="23"/>
        </w:rPr>
        <w:t xml:space="preserve">, </w:t>
      </w:r>
      <w:r>
        <w:rPr>
          <w:i/>
          <w:sz w:val="23"/>
        </w:rPr>
        <w:t>y</w:t>
      </w:r>
      <w:r>
        <w:rPr>
          <w:i/>
          <w:sz w:val="14"/>
        </w:rPr>
        <w:t xml:space="preserve">i </w:t>
      </w:r>
      <w:r>
        <w:rPr>
          <w:sz w:val="23"/>
        </w:rPr>
        <w:t xml:space="preserve">) </w:t>
      </w:r>
      <w:r>
        <w:rPr>
          <w:i/>
          <w:sz w:val="23"/>
        </w:rPr>
        <w:t xml:space="preserve">или </w:t>
      </w:r>
      <w:r>
        <w:rPr>
          <w:sz w:val="23"/>
        </w:rPr>
        <w:t>(3)</w:t>
      </w:r>
      <w:r>
        <w:t xml:space="preserve"> </w:t>
      </w:r>
    </w:p>
    <w:p w:rsidR="002C0F56" w:rsidRDefault="00E67C6E">
      <w:pPr>
        <w:tabs>
          <w:tab w:val="center" w:pos="2883"/>
          <w:tab w:val="center" w:pos="6915"/>
        </w:tabs>
        <w:spacing w:after="66" w:line="259" w:lineRule="auto"/>
        <w:ind w:left="0" w:firstLine="0"/>
        <w:jc w:val="left"/>
      </w:pPr>
      <w:r>
        <w:rPr>
          <w:rFonts w:ascii="Calibri" w:eastAsia="Calibri" w:hAnsi="Calibri" w:cs="Calibri"/>
          <w:sz w:val="22"/>
        </w:rPr>
        <w:tab/>
      </w:r>
      <w:r>
        <w:rPr>
          <w:i/>
          <w:sz w:val="23"/>
        </w:rPr>
        <w:t>y</w:t>
      </w:r>
      <w:r>
        <w:rPr>
          <w:sz w:val="14"/>
        </w:rPr>
        <w:t>(0)</w:t>
      </w:r>
      <w:r>
        <w:rPr>
          <w:i/>
          <w:sz w:val="14"/>
        </w:rPr>
        <w:t>i</w:t>
      </w:r>
      <w:r>
        <w:rPr>
          <w:rFonts w:ascii="Segoe UI Symbol" w:eastAsia="Segoe UI Symbol" w:hAnsi="Segoe UI Symbol" w:cs="Segoe UI Symbol"/>
          <w:sz w:val="14"/>
        </w:rPr>
        <w:t></w:t>
      </w:r>
      <w:r>
        <w:rPr>
          <w:sz w:val="14"/>
        </w:rPr>
        <w:t xml:space="preserve">1 </w:t>
      </w:r>
      <w:r>
        <w:rPr>
          <w:rFonts w:ascii="Segoe UI Symbol" w:eastAsia="Segoe UI Symbol" w:hAnsi="Segoe UI Symbol" w:cs="Segoe UI Symbol"/>
          <w:sz w:val="23"/>
        </w:rPr>
        <w:t xml:space="preserve"> </w:t>
      </w:r>
      <w:r>
        <w:rPr>
          <w:i/>
          <w:sz w:val="23"/>
        </w:rPr>
        <w:t>y</w:t>
      </w:r>
      <w:r>
        <w:rPr>
          <w:i/>
          <w:sz w:val="14"/>
        </w:rPr>
        <w:t>i</w:t>
      </w:r>
      <w:r>
        <w:rPr>
          <w:rFonts w:ascii="Segoe UI Symbol" w:eastAsia="Segoe UI Symbol" w:hAnsi="Segoe UI Symbol" w:cs="Segoe UI Symbol"/>
          <w:sz w:val="14"/>
        </w:rPr>
        <w:t></w:t>
      </w:r>
      <w:r>
        <w:rPr>
          <w:sz w:val="14"/>
        </w:rPr>
        <w:t xml:space="preserve">1 </w:t>
      </w:r>
      <w:r>
        <w:rPr>
          <w:rFonts w:ascii="Segoe UI Symbol" w:eastAsia="Segoe UI Symbol" w:hAnsi="Segoe UI Symbol" w:cs="Segoe UI Symbol"/>
          <w:sz w:val="23"/>
        </w:rPr>
        <w:t xml:space="preserve"> </w:t>
      </w:r>
      <w:r>
        <w:rPr>
          <w:sz w:val="23"/>
        </w:rPr>
        <w:t>2</w:t>
      </w:r>
      <w:r>
        <w:rPr>
          <w:i/>
          <w:sz w:val="23"/>
        </w:rPr>
        <w:t xml:space="preserve">hf </w:t>
      </w:r>
      <w:r>
        <w:rPr>
          <w:sz w:val="23"/>
        </w:rPr>
        <w:t>(</w:t>
      </w:r>
      <w:r>
        <w:rPr>
          <w:i/>
          <w:sz w:val="23"/>
        </w:rPr>
        <w:t>x</w:t>
      </w:r>
      <w:r>
        <w:rPr>
          <w:i/>
          <w:sz w:val="14"/>
        </w:rPr>
        <w:t xml:space="preserve">i </w:t>
      </w:r>
      <w:r>
        <w:rPr>
          <w:sz w:val="23"/>
        </w:rPr>
        <w:t xml:space="preserve">, </w:t>
      </w:r>
      <w:r>
        <w:rPr>
          <w:i/>
          <w:sz w:val="23"/>
        </w:rPr>
        <w:t>y</w:t>
      </w:r>
      <w:r>
        <w:rPr>
          <w:i/>
          <w:sz w:val="14"/>
        </w:rPr>
        <w:t xml:space="preserve">i </w:t>
      </w:r>
      <w:r>
        <w:rPr>
          <w:sz w:val="23"/>
        </w:rPr>
        <w:t>)</w:t>
      </w:r>
      <w:r>
        <w:rPr>
          <w:sz w:val="23"/>
        </w:rPr>
        <w:tab/>
        <w:t>(4)</w:t>
      </w:r>
    </w:p>
    <w:p w:rsidR="002C0F56" w:rsidRDefault="00E67C6E">
      <w:pPr>
        <w:spacing w:after="280"/>
        <w:ind w:left="994" w:right="302"/>
      </w:pPr>
      <w:r>
        <w:t xml:space="preserve">В простейшем варианте метода "прогноза и коррекции" применяется следующий итерационный процесс коррекции: </w:t>
      </w:r>
    </w:p>
    <w:p w:rsidR="002C0F56" w:rsidRDefault="00E67C6E">
      <w:pPr>
        <w:spacing w:after="99" w:line="221" w:lineRule="auto"/>
        <w:ind w:left="2890" w:right="3245" w:hanging="1271"/>
        <w:jc w:val="left"/>
      </w:pPr>
      <w:r>
        <w:rPr>
          <w:i/>
          <w:sz w:val="25"/>
        </w:rPr>
        <w:t>y</w:t>
      </w:r>
      <w:r>
        <w:rPr>
          <w:sz w:val="15"/>
        </w:rPr>
        <w:t>(</w:t>
      </w:r>
      <w:r>
        <w:rPr>
          <w:i/>
          <w:sz w:val="15"/>
        </w:rPr>
        <w:t>k</w:t>
      </w:r>
      <w:r>
        <w:rPr>
          <w:sz w:val="15"/>
        </w:rPr>
        <w:t>)</w:t>
      </w:r>
      <w:r>
        <w:rPr>
          <w:i/>
          <w:sz w:val="15"/>
        </w:rPr>
        <w:t>i</w:t>
      </w:r>
      <w:r>
        <w:rPr>
          <w:rFonts w:ascii="Segoe UI Symbol" w:eastAsia="Segoe UI Symbol" w:hAnsi="Segoe UI Symbol" w:cs="Segoe UI Symbol"/>
          <w:sz w:val="15"/>
        </w:rPr>
        <w:t></w:t>
      </w:r>
      <w:r>
        <w:rPr>
          <w:sz w:val="15"/>
        </w:rPr>
        <w:t xml:space="preserve">1 </w:t>
      </w:r>
      <w:r>
        <w:rPr>
          <w:rFonts w:ascii="Segoe UI Symbol" w:eastAsia="Segoe UI Symbol" w:hAnsi="Segoe UI Symbol" w:cs="Segoe UI Symbol"/>
          <w:sz w:val="25"/>
        </w:rPr>
        <w:t xml:space="preserve"> </w:t>
      </w:r>
      <w:r>
        <w:rPr>
          <w:i/>
          <w:sz w:val="25"/>
        </w:rPr>
        <w:t>y</w:t>
      </w:r>
      <w:r>
        <w:rPr>
          <w:i/>
          <w:sz w:val="15"/>
        </w:rPr>
        <w:t xml:space="preserve">i </w:t>
      </w:r>
      <w:r>
        <w:rPr>
          <w:rFonts w:ascii="Segoe UI Symbol" w:eastAsia="Segoe UI Symbol" w:hAnsi="Segoe UI Symbol" w:cs="Segoe UI Symbol"/>
          <w:sz w:val="25"/>
        </w:rPr>
        <w:t xml:space="preserve"> </w:t>
      </w:r>
      <w:r>
        <w:rPr>
          <w:rFonts w:ascii="Calibri" w:eastAsia="Calibri" w:hAnsi="Calibri" w:cs="Calibri"/>
          <w:noProof/>
          <w:sz w:val="22"/>
        </w:rPr>
        <mc:AlternateContent>
          <mc:Choice Requires="wpg">
            <w:drawing>
              <wp:inline distT="0" distB="0" distL="0" distR="0">
                <wp:extent cx="95798" cy="6428"/>
                <wp:effectExtent l="0" t="0" r="0" b="0"/>
                <wp:docPr id="653209" name="Group 653209"/>
                <wp:cNvGraphicFramePr/>
                <a:graphic xmlns:a="http://schemas.openxmlformats.org/drawingml/2006/main">
                  <a:graphicData uri="http://schemas.microsoft.com/office/word/2010/wordprocessingGroup">
                    <wpg:wgp>
                      <wpg:cNvGrpSpPr/>
                      <wpg:grpSpPr>
                        <a:xfrm>
                          <a:off x="0" y="0"/>
                          <a:ext cx="95798" cy="6428"/>
                          <a:chOff x="0" y="0"/>
                          <a:chExt cx="95798" cy="6428"/>
                        </a:xfrm>
                      </wpg:grpSpPr>
                      <wps:wsp>
                        <wps:cNvPr id="64833" name="Shape 64833"/>
                        <wps:cNvSpPr/>
                        <wps:spPr>
                          <a:xfrm>
                            <a:off x="0" y="0"/>
                            <a:ext cx="95798" cy="0"/>
                          </a:xfrm>
                          <a:custGeom>
                            <a:avLst/>
                            <a:gdLst/>
                            <a:ahLst/>
                            <a:cxnLst/>
                            <a:rect l="0" t="0" r="0" b="0"/>
                            <a:pathLst>
                              <a:path w="95798">
                                <a:moveTo>
                                  <a:pt x="0" y="0"/>
                                </a:moveTo>
                                <a:lnTo>
                                  <a:pt x="95798" y="0"/>
                                </a:lnTo>
                              </a:path>
                            </a:pathLst>
                          </a:custGeom>
                          <a:ln w="642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53209" style="width:7.54314pt;height:0.506119pt;mso-position-horizontal-relative:char;mso-position-vertical-relative:line" coordsize="957,64">
                <v:shape id="Shape 64833" style="position:absolute;width:957;height:0;left:0;top:0;" coordsize="95798,0" path="m0,0l95798,0">
                  <v:stroke weight="0.506119pt" endcap="flat" joinstyle="round" on="true" color="#000000"/>
                  <v:fill on="false" color="#000000" opacity="0"/>
                </v:shape>
              </v:group>
            </w:pict>
          </mc:Fallback>
        </mc:AlternateContent>
      </w:r>
      <w:r>
        <w:rPr>
          <w:i/>
          <w:sz w:val="25"/>
        </w:rPr>
        <w:t xml:space="preserve">h </w:t>
      </w:r>
      <w:r>
        <w:rPr>
          <w:rFonts w:ascii="Segoe UI Symbol" w:eastAsia="Segoe UI Symbol" w:hAnsi="Segoe UI Symbol" w:cs="Segoe UI Symbol"/>
          <w:sz w:val="41"/>
        </w:rPr>
        <w:t></w:t>
      </w:r>
      <w:r>
        <w:rPr>
          <w:i/>
          <w:sz w:val="25"/>
        </w:rPr>
        <w:t xml:space="preserve">f </w:t>
      </w:r>
      <w:r>
        <w:rPr>
          <w:sz w:val="25"/>
        </w:rPr>
        <w:t>(</w:t>
      </w:r>
      <w:r>
        <w:rPr>
          <w:i/>
          <w:sz w:val="25"/>
        </w:rPr>
        <w:t>x</w:t>
      </w:r>
      <w:r>
        <w:rPr>
          <w:i/>
          <w:sz w:val="15"/>
        </w:rPr>
        <w:t xml:space="preserve">i </w:t>
      </w:r>
      <w:r>
        <w:rPr>
          <w:sz w:val="25"/>
        </w:rPr>
        <w:t xml:space="preserve">, </w:t>
      </w:r>
      <w:r>
        <w:rPr>
          <w:i/>
          <w:sz w:val="25"/>
        </w:rPr>
        <w:t>y</w:t>
      </w:r>
      <w:r>
        <w:rPr>
          <w:i/>
          <w:sz w:val="15"/>
        </w:rPr>
        <w:t xml:space="preserve">i </w:t>
      </w:r>
      <w:r>
        <w:rPr>
          <w:sz w:val="25"/>
        </w:rPr>
        <w:t>)</w:t>
      </w:r>
      <w:r>
        <w:rPr>
          <w:rFonts w:ascii="Segoe UI Symbol" w:eastAsia="Segoe UI Symbol" w:hAnsi="Segoe UI Symbol" w:cs="Segoe UI Symbol"/>
          <w:sz w:val="25"/>
        </w:rPr>
        <w:t xml:space="preserve"> </w:t>
      </w:r>
      <w:r>
        <w:rPr>
          <w:i/>
          <w:sz w:val="25"/>
        </w:rPr>
        <w:t xml:space="preserve">f </w:t>
      </w:r>
      <w:r>
        <w:rPr>
          <w:sz w:val="25"/>
        </w:rPr>
        <w:t>(</w:t>
      </w:r>
      <w:r>
        <w:rPr>
          <w:i/>
          <w:sz w:val="25"/>
        </w:rPr>
        <w:t>x</w:t>
      </w:r>
      <w:r>
        <w:rPr>
          <w:i/>
          <w:sz w:val="15"/>
        </w:rPr>
        <w:t>i</w:t>
      </w:r>
      <w:r>
        <w:rPr>
          <w:rFonts w:ascii="Segoe UI Symbol" w:eastAsia="Segoe UI Symbol" w:hAnsi="Segoe UI Symbol" w:cs="Segoe UI Symbol"/>
          <w:sz w:val="15"/>
        </w:rPr>
        <w:t></w:t>
      </w:r>
      <w:r>
        <w:rPr>
          <w:sz w:val="15"/>
        </w:rPr>
        <w:t>1</w:t>
      </w:r>
      <w:r>
        <w:rPr>
          <w:sz w:val="25"/>
        </w:rPr>
        <w:t xml:space="preserve">, </w:t>
      </w:r>
      <w:r>
        <w:rPr>
          <w:i/>
          <w:sz w:val="25"/>
        </w:rPr>
        <w:t>y</w:t>
      </w:r>
      <w:r>
        <w:rPr>
          <w:sz w:val="15"/>
        </w:rPr>
        <w:t>(</w:t>
      </w:r>
      <w:r>
        <w:rPr>
          <w:i/>
          <w:sz w:val="15"/>
        </w:rPr>
        <w:t>k</w:t>
      </w:r>
      <w:r>
        <w:rPr>
          <w:rFonts w:ascii="Segoe UI Symbol" w:eastAsia="Segoe UI Symbol" w:hAnsi="Segoe UI Symbol" w:cs="Segoe UI Symbol"/>
          <w:sz w:val="15"/>
        </w:rPr>
        <w:t></w:t>
      </w:r>
      <w:r>
        <w:rPr>
          <w:sz w:val="15"/>
        </w:rPr>
        <w:t>1)</w:t>
      </w:r>
      <w:r>
        <w:rPr>
          <w:i/>
          <w:sz w:val="15"/>
        </w:rPr>
        <w:t>i</w:t>
      </w:r>
      <w:r>
        <w:rPr>
          <w:rFonts w:ascii="Segoe UI Symbol" w:eastAsia="Segoe UI Symbol" w:hAnsi="Segoe UI Symbol" w:cs="Segoe UI Symbol"/>
          <w:sz w:val="15"/>
        </w:rPr>
        <w:t></w:t>
      </w:r>
      <w:r>
        <w:rPr>
          <w:sz w:val="15"/>
        </w:rPr>
        <w:t>1</w:t>
      </w:r>
      <w:r>
        <w:rPr>
          <w:sz w:val="25"/>
        </w:rPr>
        <w:t xml:space="preserve">) </w:t>
      </w:r>
      <w:r>
        <w:rPr>
          <w:rFonts w:ascii="Segoe UI Symbol" w:eastAsia="Segoe UI Symbol" w:hAnsi="Segoe UI Symbol" w:cs="Segoe UI Symbol"/>
          <w:sz w:val="41"/>
        </w:rPr>
        <w:t></w:t>
      </w:r>
      <w:r>
        <w:rPr>
          <w:rFonts w:ascii="Segoe UI Symbol" w:eastAsia="Segoe UI Symbol" w:hAnsi="Segoe UI Symbol" w:cs="Segoe UI Symbol"/>
          <w:sz w:val="41"/>
        </w:rPr>
        <w:tab/>
      </w:r>
      <w:r>
        <w:rPr>
          <w:rFonts w:ascii="Segoe UI Symbol" w:eastAsia="Segoe UI Symbol" w:hAnsi="Segoe UI Symbol" w:cs="Segoe UI Symbol"/>
          <w:sz w:val="33"/>
        </w:rPr>
        <w:t></w:t>
      </w:r>
      <w:r>
        <w:rPr>
          <w:sz w:val="25"/>
        </w:rPr>
        <w:t>5</w:t>
      </w:r>
      <w:r>
        <w:rPr>
          <w:rFonts w:ascii="Segoe UI Symbol" w:eastAsia="Segoe UI Symbol" w:hAnsi="Segoe UI Symbol" w:cs="Segoe UI Symbol"/>
          <w:sz w:val="33"/>
        </w:rPr>
        <w:t></w:t>
      </w:r>
      <w:r>
        <w:t xml:space="preserve"> </w:t>
      </w:r>
      <w:r>
        <w:rPr>
          <w:sz w:val="25"/>
        </w:rPr>
        <w:t>2</w:t>
      </w:r>
    </w:p>
    <w:p w:rsidR="002C0F56" w:rsidRDefault="00E67C6E">
      <w:pPr>
        <w:spacing w:after="121"/>
        <w:ind w:left="1558" w:right="302" w:firstLine="0"/>
      </w:pPr>
      <w:r>
        <w:t xml:space="preserve">Здесь </w:t>
      </w:r>
      <w:r>
        <w:rPr>
          <w:i/>
          <w:sz w:val="25"/>
        </w:rPr>
        <w:t>y</w:t>
      </w:r>
      <w:r>
        <w:rPr>
          <w:sz w:val="23"/>
          <w:vertAlign w:val="superscript"/>
        </w:rPr>
        <w:t>(</w:t>
      </w:r>
      <w:r>
        <w:rPr>
          <w:i/>
          <w:sz w:val="23"/>
          <w:vertAlign w:val="superscript"/>
        </w:rPr>
        <w:t>k</w:t>
      </w:r>
      <w:r>
        <w:rPr>
          <w:rFonts w:ascii="Segoe UI Symbol" w:eastAsia="Segoe UI Symbol" w:hAnsi="Segoe UI Symbol" w:cs="Segoe UI Symbol"/>
          <w:sz w:val="23"/>
          <w:vertAlign w:val="superscript"/>
        </w:rPr>
        <w:t></w:t>
      </w:r>
      <w:r>
        <w:rPr>
          <w:sz w:val="23"/>
          <w:vertAlign w:val="superscript"/>
        </w:rPr>
        <w:t>1)</w:t>
      </w:r>
      <w:r>
        <w:rPr>
          <w:i/>
          <w:sz w:val="23"/>
          <w:vertAlign w:val="subscript"/>
        </w:rPr>
        <w:t>i</w:t>
      </w:r>
      <w:r>
        <w:rPr>
          <w:rFonts w:ascii="Segoe UI Symbol" w:eastAsia="Segoe UI Symbol" w:hAnsi="Segoe UI Symbol" w:cs="Segoe UI Symbol"/>
          <w:sz w:val="23"/>
          <w:vertAlign w:val="subscript"/>
        </w:rPr>
        <w:t></w:t>
      </w:r>
      <w:r>
        <w:rPr>
          <w:sz w:val="23"/>
          <w:vertAlign w:val="subscript"/>
        </w:rPr>
        <w:t>1</w:t>
      </w:r>
      <w:r>
        <w:t xml:space="preserve"> k-е приближение для величины y </w:t>
      </w:r>
      <w:r>
        <w:rPr>
          <w:vertAlign w:val="subscript"/>
        </w:rPr>
        <w:t xml:space="preserve">i+1. </w:t>
      </w:r>
    </w:p>
    <w:p w:rsidR="002C0F56" w:rsidRDefault="00E67C6E">
      <w:pPr>
        <w:ind w:left="994" w:right="302"/>
      </w:pPr>
      <w:r>
        <w:t xml:space="preserve">Сравним методы (3), (5) и (4), (5). В методе (3), (5) для нахождения величины y </w:t>
      </w:r>
      <w:r>
        <w:rPr>
          <w:vertAlign w:val="subscript"/>
        </w:rPr>
        <w:t xml:space="preserve">i+1 </w:t>
      </w:r>
      <w:r>
        <w:t xml:space="preserve">требуется информация только о последней вычисленной точке (x </w:t>
      </w:r>
      <w:r>
        <w:rPr>
          <w:sz w:val="18"/>
        </w:rPr>
        <w:t>i</w:t>
      </w:r>
      <w:r>
        <w:t xml:space="preserve">, y </w:t>
      </w:r>
      <w:r>
        <w:rPr>
          <w:vertAlign w:val="subscript"/>
        </w:rPr>
        <w:t>i</w:t>
      </w:r>
      <w:r>
        <w:t xml:space="preserve">).  Следовательно, методом (3), (5) можно начинать решение задачи.  </w:t>
      </w:r>
    </w:p>
    <w:p w:rsidR="002C0F56" w:rsidRDefault="00E67C6E">
      <w:pPr>
        <w:ind w:left="994" w:right="302"/>
      </w:pPr>
      <w:r>
        <w:t>Методом (4), (5) решение задачи начать нельзя. Необходимо предварительно совершить один шаг каким-либо другим методом, например Рунге-Кутты или методом (3), (5). В То же время "прогноз" п</w:t>
      </w:r>
      <w:r>
        <w:t xml:space="preserve">о формуле (4) более точен, и значит, итерации должны сходиться быстрее.  </w:t>
      </w:r>
    </w:p>
    <w:p w:rsidR="002C0F56" w:rsidRDefault="00E67C6E">
      <w:pPr>
        <w:spacing w:after="12"/>
        <w:ind w:left="1558" w:right="302" w:firstLine="0"/>
      </w:pPr>
      <w:r>
        <w:t xml:space="preserve">Постановка задачи </w:t>
      </w:r>
    </w:p>
    <w:p w:rsidR="002C0F56" w:rsidRDefault="00E67C6E">
      <w:pPr>
        <w:ind w:left="994" w:right="302"/>
      </w:pPr>
      <w:r>
        <w:t>Имеются данные по производству горнодобывающей промышленности. Экономист ставит перед собой задачу проанализировать проект, изучить всю структуру предприятия, поня</w:t>
      </w:r>
      <w:r>
        <w:t>ть как происходит производство, каковы затраты и какова прибыль. Понять, выгодно ли данное производство, сравнить годовые отчеты и,  возможно, даже предсказать развитие событий на ближайшее время. В результате всех проведенных работ перед экономистом возни</w:t>
      </w:r>
      <w:r>
        <w:t xml:space="preserve">кает задача, математически представляющая  задачу Коши для системы обыкновенных дифференциальных уравнений. Эту задачу следует решить.  </w:t>
      </w:r>
    </w:p>
    <w:p w:rsidR="002C0F56" w:rsidRDefault="00E67C6E">
      <w:pPr>
        <w:spacing w:after="12"/>
        <w:ind w:left="1558" w:right="302" w:firstLine="0"/>
      </w:pPr>
      <w:r>
        <w:t xml:space="preserve">Математическая постановка задачи следующая: </w:t>
      </w:r>
    </w:p>
    <w:p w:rsidR="002C0F56" w:rsidRDefault="00E67C6E">
      <w:pPr>
        <w:ind w:left="994" w:right="302"/>
      </w:pPr>
      <w:r>
        <w:t>Дана  система дифференциальных уравнений и начальное условие, то есть пост</w:t>
      </w:r>
      <w:r>
        <w:t>авлена задача Коши:</w:t>
      </w:r>
      <w:r>
        <w:rPr>
          <w:rFonts w:ascii="MT Extra" w:eastAsia="MT Extra" w:hAnsi="MT Extra" w:cs="MT Extra"/>
          <w:sz w:val="24"/>
        </w:rPr>
        <w:t></w:t>
      </w:r>
      <w:r>
        <w:rPr>
          <w:rFonts w:ascii="MT Extra" w:eastAsia="MT Extra" w:hAnsi="MT Extra" w:cs="MT Extra"/>
          <w:sz w:val="24"/>
        </w:rPr>
        <w:t></w:t>
      </w:r>
      <w:r>
        <w:rPr>
          <w:rFonts w:ascii="MT Extra" w:eastAsia="MT Extra" w:hAnsi="MT Extra" w:cs="MT Extra"/>
          <w:sz w:val="36"/>
          <w:vertAlign w:val="subscript"/>
        </w:rPr>
        <w:t></w:t>
      </w:r>
      <w:r>
        <w:rPr>
          <w:rFonts w:ascii="MT Extra" w:eastAsia="MT Extra" w:hAnsi="MT Extra" w:cs="MT Extra"/>
          <w:sz w:val="36"/>
          <w:vertAlign w:val="subscript"/>
        </w:rPr>
        <w:t></w:t>
      </w:r>
      <w:r>
        <w:rPr>
          <w:rFonts w:ascii="MT Extra" w:eastAsia="MT Extra" w:hAnsi="MT Extra" w:cs="MT Extra"/>
          <w:sz w:val="36"/>
          <w:vertAlign w:val="subscript"/>
        </w:rPr>
        <w:t></w:t>
      </w:r>
      <w:r>
        <w:t xml:space="preserve"> </w:t>
      </w:r>
      <w:r>
        <w:rPr>
          <w:i/>
          <w:sz w:val="24"/>
        </w:rPr>
        <w:t xml:space="preserve">y </w:t>
      </w:r>
      <w:r>
        <w:rPr>
          <w:rFonts w:ascii="Segoe UI Symbol" w:eastAsia="Segoe UI Symbol" w:hAnsi="Segoe UI Symbol" w:cs="Segoe UI Symbol"/>
          <w:sz w:val="24"/>
        </w:rPr>
        <w:t xml:space="preserve"> </w:t>
      </w:r>
      <w:r>
        <w:rPr>
          <w:i/>
          <w:sz w:val="24"/>
        </w:rPr>
        <w:t xml:space="preserve">f </w:t>
      </w:r>
      <w:r>
        <w:rPr>
          <w:sz w:val="24"/>
        </w:rPr>
        <w:t>(</w:t>
      </w:r>
      <w:r>
        <w:rPr>
          <w:i/>
          <w:sz w:val="24"/>
        </w:rPr>
        <w:t>x</w:t>
      </w:r>
      <w:r>
        <w:rPr>
          <w:sz w:val="24"/>
        </w:rPr>
        <w:t xml:space="preserve">, </w:t>
      </w:r>
      <w:r>
        <w:rPr>
          <w:i/>
          <w:sz w:val="24"/>
        </w:rPr>
        <w:t>y</w:t>
      </w:r>
      <w:r>
        <w:rPr>
          <w:sz w:val="24"/>
        </w:rPr>
        <w:t xml:space="preserve">), </w:t>
      </w:r>
      <w:r>
        <w:rPr>
          <w:i/>
          <w:sz w:val="24"/>
        </w:rPr>
        <w:t>y</w:t>
      </w:r>
      <w:r>
        <w:rPr>
          <w:sz w:val="24"/>
        </w:rPr>
        <w:t>(</w:t>
      </w:r>
      <w:r>
        <w:rPr>
          <w:i/>
          <w:sz w:val="24"/>
        </w:rPr>
        <w:t>x</w:t>
      </w:r>
      <w:r>
        <w:rPr>
          <w:sz w:val="21"/>
          <w:vertAlign w:val="subscript"/>
        </w:rPr>
        <w:t>0</w:t>
      </w:r>
      <w:r>
        <w:rPr>
          <w:sz w:val="24"/>
        </w:rPr>
        <w:t xml:space="preserve">) </w:t>
      </w:r>
      <w:r>
        <w:rPr>
          <w:rFonts w:ascii="Segoe UI Symbol" w:eastAsia="Segoe UI Symbol" w:hAnsi="Segoe UI Symbol" w:cs="Segoe UI Symbol"/>
          <w:sz w:val="24"/>
        </w:rPr>
        <w:t xml:space="preserve"> </w:t>
      </w:r>
      <w:r>
        <w:rPr>
          <w:i/>
          <w:sz w:val="24"/>
        </w:rPr>
        <w:t>y</w:t>
      </w:r>
      <w:r>
        <w:rPr>
          <w:sz w:val="21"/>
          <w:vertAlign w:val="subscript"/>
        </w:rPr>
        <w:t>0</w:t>
      </w:r>
    </w:p>
    <w:p w:rsidR="002C0F56" w:rsidRDefault="00E67C6E">
      <w:pPr>
        <w:spacing w:after="0" w:line="259" w:lineRule="auto"/>
        <w:ind w:left="1642" w:hanging="10"/>
        <w:jc w:val="left"/>
      </w:pPr>
      <w:r>
        <w:rPr>
          <w:rFonts w:ascii="MT Extra" w:eastAsia="MT Extra" w:hAnsi="MT Extra" w:cs="MT Extra"/>
          <w:sz w:val="24"/>
        </w:rPr>
        <w:t></w:t>
      </w:r>
    </w:p>
    <w:p w:rsidR="002C0F56" w:rsidRDefault="00E67C6E">
      <w:pPr>
        <w:tabs>
          <w:tab w:val="center" w:pos="3072"/>
          <w:tab w:val="center" w:pos="5329"/>
        </w:tabs>
        <w:spacing w:after="5" w:line="271" w:lineRule="auto"/>
        <w:ind w:left="0" w:firstLine="0"/>
        <w:jc w:val="left"/>
      </w:pPr>
      <w:r>
        <w:rPr>
          <w:rFonts w:ascii="Calibri" w:eastAsia="Calibri" w:hAnsi="Calibri" w:cs="Calibri"/>
          <w:sz w:val="22"/>
        </w:rPr>
        <w:tab/>
      </w:r>
      <w:r>
        <w:rPr>
          <w:i/>
          <w:sz w:val="24"/>
        </w:rPr>
        <w:t>y</w:t>
      </w:r>
      <w:r>
        <w:rPr>
          <w:sz w:val="24"/>
        </w:rPr>
        <w:t>(</w:t>
      </w:r>
      <w:r>
        <w:rPr>
          <w:i/>
          <w:sz w:val="24"/>
        </w:rPr>
        <w:t>x</w:t>
      </w:r>
      <w:r>
        <w:rPr>
          <w:sz w:val="24"/>
        </w:rPr>
        <w:t xml:space="preserve">) </w:t>
      </w:r>
      <w:r>
        <w:rPr>
          <w:rFonts w:ascii="Segoe UI Symbol" w:eastAsia="Segoe UI Symbol" w:hAnsi="Segoe UI Symbol" w:cs="Segoe UI Symbol"/>
          <w:sz w:val="24"/>
        </w:rPr>
        <w:t></w:t>
      </w:r>
      <w:r>
        <w:rPr>
          <w:rFonts w:ascii="Segoe UI Symbol" w:eastAsia="Segoe UI Symbol" w:hAnsi="Segoe UI Symbol" w:cs="Segoe UI Symbol"/>
          <w:sz w:val="31"/>
        </w:rPr>
        <w:t></w:t>
      </w:r>
      <w:r>
        <w:rPr>
          <w:i/>
          <w:sz w:val="24"/>
        </w:rPr>
        <w:t>y</w:t>
      </w:r>
      <w:r>
        <w:rPr>
          <w:sz w:val="21"/>
          <w:vertAlign w:val="subscript"/>
        </w:rPr>
        <w:t>1</w:t>
      </w:r>
      <w:r>
        <w:rPr>
          <w:sz w:val="24"/>
        </w:rPr>
        <w:t>(</w:t>
      </w:r>
      <w:r>
        <w:rPr>
          <w:i/>
          <w:sz w:val="24"/>
        </w:rPr>
        <w:t>x</w:t>
      </w:r>
      <w:r>
        <w:rPr>
          <w:sz w:val="24"/>
        </w:rPr>
        <w:t xml:space="preserve">), </w:t>
      </w:r>
      <w:r>
        <w:rPr>
          <w:i/>
          <w:sz w:val="24"/>
        </w:rPr>
        <w:t>y</w:t>
      </w:r>
      <w:r>
        <w:rPr>
          <w:sz w:val="21"/>
          <w:vertAlign w:val="subscript"/>
        </w:rPr>
        <w:t>2</w:t>
      </w:r>
      <w:r>
        <w:rPr>
          <w:sz w:val="24"/>
        </w:rPr>
        <w:t>(</w:t>
      </w:r>
      <w:r>
        <w:rPr>
          <w:i/>
          <w:sz w:val="24"/>
        </w:rPr>
        <w:t>x</w:t>
      </w:r>
      <w:r>
        <w:rPr>
          <w:sz w:val="24"/>
        </w:rPr>
        <w:t xml:space="preserve">),..., </w:t>
      </w:r>
      <w:r>
        <w:rPr>
          <w:i/>
          <w:sz w:val="24"/>
        </w:rPr>
        <w:t>y</w:t>
      </w:r>
      <w:r>
        <w:rPr>
          <w:i/>
          <w:sz w:val="21"/>
          <w:vertAlign w:val="subscript"/>
        </w:rPr>
        <w:t>n</w:t>
      </w:r>
      <w:r>
        <w:rPr>
          <w:sz w:val="24"/>
        </w:rPr>
        <w:t>(</w:t>
      </w:r>
      <w:r>
        <w:rPr>
          <w:i/>
          <w:sz w:val="24"/>
        </w:rPr>
        <w:t>x</w:t>
      </w:r>
      <w:r>
        <w:rPr>
          <w:sz w:val="24"/>
        </w:rPr>
        <w:t>)</w:t>
      </w:r>
      <w:r>
        <w:rPr>
          <w:rFonts w:ascii="Segoe UI Symbol" w:eastAsia="Segoe UI Symbol" w:hAnsi="Segoe UI Symbol" w:cs="Segoe UI Symbol"/>
          <w:sz w:val="31"/>
        </w:rPr>
        <w:t></w:t>
      </w:r>
      <w:r>
        <w:rPr>
          <w:rFonts w:ascii="Segoe UI Symbol" w:eastAsia="Segoe UI Symbol" w:hAnsi="Segoe UI Symbol" w:cs="Segoe UI Symbol"/>
          <w:sz w:val="31"/>
        </w:rPr>
        <w:tab/>
      </w:r>
      <w:r>
        <w:t xml:space="preserve"> </w:t>
      </w:r>
    </w:p>
    <w:p w:rsidR="002C0F56" w:rsidRDefault="00E67C6E">
      <w:pPr>
        <w:tabs>
          <w:tab w:val="center" w:pos="1697"/>
          <w:tab w:val="center" w:pos="2148"/>
          <w:tab w:val="center" w:pos="3216"/>
          <w:tab w:val="center" w:pos="4072"/>
          <w:tab w:val="center" w:pos="5085"/>
        </w:tabs>
        <w:spacing w:after="0" w:line="259" w:lineRule="auto"/>
        <w:ind w:left="0" w:firstLine="0"/>
        <w:jc w:val="left"/>
      </w:pPr>
      <w:r>
        <w:rPr>
          <w:rFonts w:ascii="Calibri" w:eastAsia="Calibri" w:hAnsi="Calibri" w:cs="Calibri"/>
          <w:sz w:val="22"/>
        </w:rPr>
        <w:tab/>
      </w:r>
      <w:r>
        <w:rPr>
          <w:rFonts w:ascii="MT Extra" w:eastAsia="MT Extra" w:hAnsi="MT Extra" w:cs="MT Extra"/>
          <w:sz w:val="24"/>
        </w:rPr>
        <w:t></w:t>
      </w:r>
      <w:r>
        <w:rPr>
          <w:rFonts w:ascii="MT Extra" w:eastAsia="MT Extra" w:hAnsi="MT Extra" w:cs="MT Extra"/>
          <w:sz w:val="24"/>
        </w:rPr>
        <w:tab/>
      </w:r>
      <w:r>
        <w:rPr>
          <w:rFonts w:ascii="MT Extra" w:eastAsia="MT Extra" w:hAnsi="MT Extra" w:cs="MT Extra"/>
          <w:sz w:val="24"/>
        </w:rPr>
        <w:t></w:t>
      </w:r>
      <w:r>
        <w:rPr>
          <w:rFonts w:ascii="MT Extra" w:eastAsia="MT Extra" w:hAnsi="MT Extra" w:cs="MT Extra"/>
          <w:sz w:val="24"/>
        </w:rPr>
        <w:tab/>
      </w:r>
      <w:r>
        <w:rPr>
          <w:rFonts w:ascii="MT Extra" w:eastAsia="MT Extra" w:hAnsi="MT Extra" w:cs="MT Extra"/>
          <w:sz w:val="24"/>
        </w:rPr>
        <w:t></w:t>
      </w:r>
      <w:r>
        <w:rPr>
          <w:rFonts w:ascii="MT Extra" w:eastAsia="MT Extra" w:hAnsi="MT Extra" w:cs="MT Extra"/>
          <w:sz w:val="24"/>
        </w:rPr>
        <w:tab/>
      </w:r>
      <w:r>
        <w:rPr>
          <w:rFonts w:ascii="MT Extra" w:eastAsia="MT Extra" w:hAnsi="MT Extra" w:cs="MT Extra"/>
          <w:sz w:val="24"/>
        </w:rPr>
        <w:t></w:t>
      </w:r>
      <w:r>
        <w:rPr>
          <w:rFonts w:ascii="MT Extra" w:eastAsia="MT Extra" w:hAnsi="MT Extra" w:cs="MT Extra"/>
          <w:sz w:val="24"/>
        </w:rPr>
        <w:tab/>
      </w:r>
      <w:r>
        <w:rPr>
          <w:rFonts w:ascii="MT Extra" w:eastAsia="MT Extra" w:hAnsi="MT Extra" w:cs="MT Extra"/>
          <w:sz w:val="24"/>
        </w:rPr>
        <w:t></w:t>
      </w:r>
    </w:p>
    <w:p w:rsidR="002C0F56" w:rsidRDefault="00E67C6E">
      <w:pPr>
        <w:spacing w:after="5" w:line="271" w:lineRule="auto"/>
        <w:ind w:left="1651" w:hanging="10"/>
        <w:jc w:val="left"/>
      </w:pPr>
      <w:r>
        <w:rPr>
          <w:i/>
          <w:sz w:val="24"/>
        </w:rPr>
        <w:lastRenderedPageBreak/>
        <w:t xml:space="preserve">f </w:t>
      </w:r>
      <w:r>
        <w:rPr>
          <w:sz w:val="24"/>
        </w:rPr>
        <w:t>(</w:t>
      </w:r>
      <w:r>
        <w:rPr>
          <w:i/>
          <w:sz w:val="24"/>
        </w:rPr>
        <w:t>x</w:t>
      </w:r>
      <w:r>
        <w:rPr>
          <w:sz w:val="24"/>
        </w:rPr>
        <w:t xml:space="preserve">, </w:t>
      </w:r>
      <w:r>
        <w:rPr>
          <w:i/>
          <w:sz w:val="24"/>
        </w:rPr>
        <w:t>y</w:t>
      </w:r>
      <w:r>
        <w:rPr>
          <w:sz w:val="24"/>
        </w:rPr>
        <w:t xml:space="preserve">) </w:t>
      </w:r>
      <w:r>
        <w:rPr>
          <w:rFonts w:ascii="Segoe UI Symbol" w:eastAsia="Segoe UI Symbol" w:hAnsi="Segoe UI Symbol" w:cs="Segoe UI Symbol"/>
          <w:sz w:val="24"/>
        </w:rPr>
        <w:t></w:t>
      </w:r>
      <w:r>
        <w:rPr>
          <w:rFonts w:ascii="Segoe UI Symbol" w:eastAsia="Segoe UI Symbol" w:hAnsi="Segoe UI Symbol" w:cs="Segoe UI Symbol"/>
          <w:sz w:val="31"/>
        </w:rPr>
        <w:t></w:t>
      </w:r>
      <w:r>
        <w:rPr>
          <w:i/>
          <w:sz w:val="24"/>
        </w:rPr>
        <w:t>f</w:t>
      </w:r>
      <w:r>
        <w:rPr>
          <w:sz w:val="21"/>
          <w:vertAlign w:val="subscript"/>
        </w:rPr>
        <w:t>1</w:t>
      </w:r>
      <w:r>
        <w:rPr>
          <w:sz w:val="24"/>
        </w:rPr>
        <w:t>(</w:t>
      </w:r>
      <w:r>
        <w:rPr>
          <w:i/>
          <w:sz w:val="24"/>
        </w:rPr>
        <w:t>x</w:t>
      </w:r>
      <w:r>
        <w:rPr>
          <w:sz w:val="24"/>
        </w:rPr>
        <w:t xml:space="preserve">, </w:t>
      </w:r>
      <w:r>
        <w:rPr>
          <w:i/>
          <w:sz w:val="24"/>
        </w:rPr>
        <w:t>y</w:t>
      </w:r>
      <w:r>
        <w:rPr>
          <w:sz w:val="24"/>
        </w:rPr>
        <w:t xml:space="preserve">), </w:t>
      </w:r>
      <w:r>
        <w:rPr>
          <w:i/>
          <w:sz w:val="24"/>
        </w:rPr>
        <w:t>f</w:t>
      </w:r>
      <w:r>
        <w:rPr>
          <w:sz w:val="21"/>
          <w:vertAlign w:val="subscript"/>
        </w:rPr>
        <w:t>2</w:t>
      </w:r>
      <w:r>
        <w:rPr>
          <w:sz w:val="24"/>
        </w:rPr>
        <w:t>(</w:t>
      </w:r>
      <w:r>
        <w:rPr>
          <w:i/>
          <w:sz w:val="24"/>
        </w:rPr>
        <w:t>x</w:t>
      </w:r>
      <w:r>
        <w:rPr>
          <w:sz w:val="24"/>
        </w:rPr>
        <w:t xml:space="preserve">, </w:t>
      </w:r>
      <w:r>
        <w:rPr>
          <w:i/>
          <w:sz w:val="24"/>
        </w:rPr>
        <w:t>y</w:t>
      </w:r>
      <w:r>
        <w:rPr>
          <w:sz w:val="24"/>
        </w:rPr>
        <w:t xml:space="preserve">),... </w:t>
      </w:r>
      <w:r>
        <w:rPr>
          <w:i/>
          <w:sz w:val="24"/>
        </w:rPr>
        <w:t>f</w:t>
      </w:r>
      <w:r>
        <w:rPr>
          <w:i/>
          <w:sz w:val="21"/>
          <w:vertAlign w:val="subscript"/>
        </w:rPr>
        <w:t>n</w:t>
      </w:r>
      <w:r>
        <w:rPr>
          <w:sz w:val="24"/>
        </w:rPr>
        <w:t>(</w:t>
      </w:r>
      <w:r>
        <w:rPr>
          <w:i/>
          <w:sz w:val="24"/>
        </w:rPr>
        <w:t>x</w:t>
      </w:r>
      <w:r>
        <w:rPr>
          <w:sz w:val="24"/>
        </w:rPr>
        <w:t xml:space="preserve">, </w:t>
      </w:r>
      <w:r>
        <w:rPr>
          <w:i/>
          <w:sz w:val="24"/>
        </w:rPr>
        <w:t>y</w:t>
      </w:r>
      <w:r>
        <w:rPr>
          <w:sz w:val="24"/>
        </w:rPr>
        <w:t>)</w:t>
      </w:r>
      <w:r>
        <w:rPr>
          <w:rFonts w:ascii="Segoe UI Symbol" w:eastAsia="Segoe UI Symbol" w:hAnsi="Segoe UI Symbol" w:cs="Segoe UI Symbol"/>
          <w:sz w:val="31"/>
        </w:rPr>
        <w:t></w:t>
      </w:r>
    </w:p>
    <w:p w:rsidR="002C0F56" w:rsidRDefault="00E67C6E">
      <w:pPr>
        <w:spacing w:after="1"/>
        <w:ind w:left="994" w:right="302"/>
      </w:pPr>
      <w:r>
        <w:t xml:space="preserve">Требуется отыскать интегральную кривую, удовлетворяющую поставленной задаче Коши с помощью метода Адамса первого порядка и метода "прогноза и коррекции" с выбором шага на отрезке </w:t>
      </w:r>
      <w:r>
        <w:rPr>
          <w:i/>
          <w:sz w:val="27"/>
        </w:rPr>
        <w:t>x</w:t>
      </w:r>
      <w:r>
        <w:rPr>
          <w:rFonts w:ascii="Segoe UI Symbol" w:eastAsia="Segoe UI Symbol" w:hAnsi="Segoe UI Symbol" w:cs="Segoe UI Symbol"/>
          <w:sz w:val="27"/>
        </w:rPr>
        <w:t></w:t>
      </w:r>
      <w:r>
        <w:rPr>
          <w:rFonts w:ascii="Segoe UI Symbol" w:eastAsia="Segoe UI Symbol" w:hAnsi="Segoe UI Symbol" w:cs="Segoe UI Symbol"/>
          <w:sz w:val="36"/>
        </w:rPr>
        <w:t></w:t>
      </w:r>
      <w:r>
        <w:rPr>
          <w:i/>
          <w:sz w:val="27"/>
        </w:rPr>
        <w:t>a</w:t>
      </w:r>
      <w:r>
        <w:rPr>
          <w:sz w:val="27"/>
        </w:rPr>
        <w:t>;</w:t>
      </w:r>
      <w:r>
        <w:rPr>
          <w:i/>
          <w:sz w:val="27"/>
        </w:rPr>
        <w:t>b</w:t>
      </w:r>
      <w:r>
        <w:rPr>
          <w:rFonts w:ascii="Segoe UI Symbol" w:eastAsia="Segoe UI Symbol" w:hAnsi="Segoe UI Symbol" w:cs="Segoe UI Symbol"/>
          <w:sz w:val="36"/>
        </w:rPr>
        <w:t></w:t>
      </w:r>
      <w:r>
        <w:t>. Задачу можно решить аналитически, найдя решение дифференциального уравнения и подставив в него начальное условие, тем самым, отыскав требуемую интегральную кривую. Но не всегда можно решить задачу аналитически, может много трудностей стоять на этом пути,</w:t>
      </w:r>
      <w:r>
        <w:t xml:space="preserve"> возможно, трудно технически сделать. Именно поэтому нас интересует решение данной задачи с применением численного метода, а конкретнее – метода Адамса первого порядка  и метода "прогноза и коррекции" с выбором шага, то есть численное решение. Выбор шага –</w:t>
      </w:r>
      <w:r>
        <w:t xml:space="preserve"> необходимое условие поведения программы при резко изменяющихся функциях, задающих интегральную кривую, позволяющее отразить все моменты в поведении интегральной кривой и добиться высокой точности. Результаты </w:t>
      </w:r>
    </w:p>
    <w:p w:rsidR="002C0F56" w:rsidRDefault="00E67C6E">
      <w:pPr>
        <w:spacing w:after="2"/>
        <w:ind w:left="994" w:right="302"/>
      </w:pPr>
      <w:r>
        <w:t xml:space="preserve">В  статье рассмотрены  два численных  метода  </w:t>
      </w:r>
      <w:r>
        <w:t xml:space="preserve">приближенного  решения  задачи  Коши  для   системы дифференциальных  уравнений  первого  порядка:  метод Адамса и метод "прогноза и коррекции". Каждый  из  них  имеют  свои  преимущества  и  недостатки.  </w:t>
      </w:r>
    </w:p>
    <w:p w:rsidR="002C0F56" w:rsidRDefault="00E67C6E">
      <w:pPr>
        <w:ind w:left="994" w:right="302"/>
      </w:pPr>
      <w:r>
        <w:t>Так, метод Адамса, относясь к многошаговым методам</w:t>
      </w:r>
      <w:r>
        <w:t>, является более экономичным, чем одношаговый метод "прогноза и коррекции", требующий уточнения  с помощью итерационного процесса коррекции. В этом состоит достоинство многошагового метода Адамса. Однако, основным недостатком является отсутствие возможност</w:t>
      </w:r>
      <w:r>
        <w:t xml:space="preserve">и с его помощью начать решение задачи. В этом случае необходимо прибегать, например, к одношаговому методу Рунге- Кутты.  </w:t>
      </w:r>
    </w:p>
    <w:p w:rsidR="002C0F56" w:rsidRDefault="00E67C6E">
      <w:pPr>
        <w:ind w:left="994" w:right="302"/>
      </w:pPr>
      <w:r>
        <w:t>Важным достоинством метода "прогноза и коррекции" является простота вычислительных формул, а так же то, что одновременно с вычисления</w:t>
      </w:r>
      <w:r>
        <w:t xml:space="preserve">ми полу. </w:t>
      </w:r>
    </w:p>
    <w:p w:rsidR="002C0F56" w:rsidRDefault="00E67C6E">
      <w:pPr>
        <w:ind w:left="994" w:right="302"/>
      </w:pPr>
      <w:r>
        <w:t xml:space="preserve">Следовательно,  в  отдельных  случаях  в  зависимости  от  конкретных  целей  (получения  быстрых  или  точных  результатов),  применяют  тот  или  иной  метод. </w:t>
      </w:r>
    </w:p>
    <w:p w:rsidR="002C0F56" w:rsidRDefault="00E67C6E">
      <w:pPr>
        <w:spacing w:after="2"/>
        <w:ind w:left="994" w:right="302"/>
      </w:pPr>
      <w:r>
        <w:t>На основе изученных литературных источников</w:t>
      </w:r>
      <w:r>
        <w:rPr>
          <w:b/>
        </w:rPr>
        <w:t xml:space="preserve"> </w:t>
      </w:r>
      <w:r>
        <w:t>разработаны алгоритмы и  представлены пр</w:t>
      </w:r>
      <w:r>
        <w:t xml:space="preserve">ограммы для решения системы трёх обыкновенных дифференциальных уравнений первого порядка методом Адамса и методом "прогноза и коррекции". </w:t>
      </w:r>
    </w:p>
    <w:p w:rsidR="002C0F56" w:rsidRDefault="00E67C6E">
      <w:pPr>
        <w:spacing w:after="0"/>
        <w:ind w:left="994" w:right="302"/>
      </w:pPr>
      <w:r>
        <w:t>Проведены расчеты, подтверждающие эффективность работы программы и доказывающие возможность ее использования в различ</w:t>
      </w:r>
      <w:r>
        <w:t xml:space="preserve">ных областях науки и техники. Так же приведена  графическая интерпретация решения системы обыкновенных дифференциальных уравнений в Microsoft Excel. </w:t>
      </w:r>
    </w:p>
    <w:p w:rsidR="002C0F56" w:rsidRDefault="00E67C6E">
      <w:pPr>
        <w:ind w:left="994" w:right="302"/>
      </w:pPr>
      <w:r>
        <w:t xml:space="preserve">Представленные в работе результаты тестирования программы доказывают эффективность ее работы. </w:t>
      </w:r>
    </w:p>
    <w:p w:rsidR="002C0F56" w:rsidRDefault="00E67C6E">
      <w:pPr>
        <w:spacing w:after="24" w:line="259" w:lineRule="auto"/>
        <w:ind w:left="1558" w:firstLine="0"/>
        <w:jc w:val="left"/>
      </w:pPr>
      <w:r>
        <w:lastRenderedPageBreak/>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91"/>
        </w:numPr>
        <w:ind w:right="302"/>
      </w:pPr>
      <w:r>
        <w:t xml:space="preserve">Бибиков Ю.Н. Общий курс обыкновенных дифференциальных уравнений: Учеб.пособие.-2-е изд.,-СПБ.: Издательство С. Петербургского университета, 2005. - 276с. </w:t>
      </w:r>
    </w:p>
    <w:p w:rsidR="002C0F56" w:rsidRDefault="00E67C6E">
      <w:pPr>
        <w:numPr>
          <w:ilvl w:val="0"/>
          <w:numId w:val="191"/>
        </w:numPr>
        <w:ind w:right="302"/>
      </w:pPr>
      <w:r>
        <w:t>Вержбицкий В.М. Основы численных методов: Учебник для вузов- М.: Высшая шк., 2009</w:t>
      </w:r>
      <w:r>
        <w:t xml:space="preserve"> - 840с. </w:t>
      </w:r>
    </w:p>
    <w:p w:rsidR="002C0F56" w:rsidRDefault="00E67C6E">
      <w:pPr>
        <w:numPr>
          <w:ilvl w:val="0"/>
          <w:numId w:val="191"/>
        </w:numPr>
        <w:ind w:right="302"/>
      </w:pPr>
      <w:r>
        <w:t xml:space="preserve">Матвеев Н.М. Обыкновенные дифференциальные уравнения М.: Просвещение, 1996. — 372 с. </w:t>
      </w:r>
    </w:p>
    <w:p w:rsidR="002C0F56" w:rsidRDefault="00E67C6E">
      <w:pPr>
        <w:numPr>
          <w:ilvl w:val="0"/>
          <w:numId w:val="191"/>
        </w:numPr>
        <w:ind w:right="302"/>
      </w:pPr>
      <w:r>
        <w:t xml:space="preserve">Мысовских И.П. Лекции по методам вычислений: Учеб.пособие.-2-е изд.- СПб.: Издательство С. Петербургского университета, 1998. - 472с. </w:t>
      </w:r>
    </w:p>
    <w:p w:rsidR="002C0F56" w:rsidRDefault="00E67C6E">
      <w:pPr>
        <w:numPr>
          <w:ilvl w:val="0"/>
          <w:numId w:val="191"/>
        </w:numPr>
        <w:ind w:right="302"/>
      </w:pPr>
      <w:r>
        <w:t>Письменный Д. Конспект ле</w:t>
      </w:r>
      <w:r>
        <w:t xml:space="preserve">кций по высшей математике.- 4-е изд. - М.: Айрис-пресс, 2006 г. , 608 с. </w:t>
      </w:r>
    </w:p>
    <w:p w:rsidR="002C0F56" w:rsidRDefault="00E67C6E">
      <w:pPr>
        <w:numPr>
          <w:ilvl w:val="0"/>
          <w:numId w:val="191"/>
        </w:numPr>
        <w:ind w:right="302"/>
      </w:pPr>
      <w:r>
        <w:t xml:space="preserve">Плис А.И., Сливина Н.А Лабораторный практикум по высшей математике: Учеб. пособие для втузов.-2-е изд.-М.: Высшая шк., 2994 - 416с.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6"/>
        <w:jc w:val="right"/>
      </w:pPr>
      <w:r>
        <w:t xml:space="preserve">Погорелая Е.В. </w:t>
      </w:r>
      <w:r>
        <w:rPr>
          <w:b w:val="0"/>
        </w:rPr>
        <w:t>Научный руководитель: Погорела</w:t>
      </w:r>
      <w:r>
        <w:rPr>
          <w:b w:val="0"/>
        </w:rPr>
        <w:t xml:space="preserve">я Т. А., к.э.н., доц.  </w:t>
      </w:r>
    </w:p>
    <w:p w:rsidR="002C0F56" w:rsidRDefault="00E67C6E">
      <w:pPr>
        <w:spacing w:after="0" w:line="267" w:lineRule="auto"/>
        <w:ind w:left="3430" w:right="23" w:hanging="10"/>
        <w:jc w:val="right"/>
      </w:pPr>
      <w:r>
        <w:rPr>
          <w:i/>
        </w:rPr>
        <w:t xml:space="preserve">Кузбасский государственный технический университет  имени Т.Ф. Горбачева </w:t>
      </w:r>
    </w:p>
    <w:p w:rsidR="002C0F56" w:rsidRDefault="00E67C6E">
      <w:pPr>
        <w:spacing w:after="30" w:line="259" w:lineRule="auto"/>
        <w:ind w:left="1558" w:firstLine="0"/>
        <w:jc w:val="left"/>
      </w:pPr>
      <w:r>
        <w:t xml:space="preserve"> </w:t>
      </w:r>
    </w:p>
    <w:p w:rsidR="002C0F56" w:rsidRDefault="00E67C6E">
      <w:pPr>
        <w:pStyle w:val="1"/>
        <w:ind w:left="700" w:right="2"/>
      </w:pPr>
      <w:r>
        <w:t xml:space="preserve">ПРОБЛЕМА ПРЕОДОЛЕНИЯ НЕРАВНОМЕРНОСТИ ОТРАСЛЕВОГО РАЗВИТИЯ В РЕГИОНЕ </w:t>
      </w:r>
    </w:p>
    <w:p w:rsidR="002C0F56" w:rsidRDefault="00E67C6E">
      <w:pPr>
        <w:spacing w:after="27" w:line="259" w:lineRule="auto"/>
        <w:ind w:left="1558" w:firstLine="0"/>
        <w:jc w:val="left"/>
      </w:pPr>
      <w:r>
        <w:rPr>
          <w:b/>
        </w:rPr>
        <w:t xml:space="preserve"> </w:t>
      </w:r>
    </w:p>
    <w:p w:rsidR="002C0F56" w:rsidRDefault="00E67C6E">
      <w:pPr>
        <w:spacing w:after="0"/>
        <w:ind w:left="994" w:right="17"/>
      </w:pPr>
      <w:r>
        <w:t>Для устойчивого развития промышленных регионов угольно</w:t>
      </w:r>
      <w:r>
        <w:t>металлургического профиля с проблемной экологией необходимы следующие условия: возможность создавать собственные инвестиционные средства за счет экспортная ориентация базовой отрасли), а также широкое использование национальных и иностранных научно-инвести</w:t>
      </w:r>
      <w:r>
        <w:t>ционных ресурсов. Ожидалось, что эти условия будут созданы в процессе формирования в Кузбассе СЭЗ с целью привлечения иностранного капитала, сохранения крупного топливноэнергетического и металлургического центра, усилении его рыночных  и социальных позиций</w:t>
      </w:r>
      <w:r>
        <w:t>. Роль экспорта в экономике Кузбасса с началом рыночных реформ резко выросла и сейчас слишком велика, поскольку именно он выступает фундаментом экономического роста. Однако задачи эффективного партнерства во внешнеторговом обмене товарами, услугами, капита</w:t>
      </w:r>
      <w:r>
        <w:t xml:space="preserve">лом, технологиями не реализовались в ожидаемом масштабе в период функционирования СЭЗ «Кузбасс» до 2005 г. И, несмотря на все привлекательные условия [1], иностранный капитал в кузбасскую экономику не стремился. Низкая эффективность СЭЗ проявилась в </w:t>
      </w:r>
      <w:r>
        <w:lastRenderedPageBreak/>
        <w:t>отсутс</w:t>
      </w:r>
      <w:r>
        <w:t xml:space="preserve">твии конкретных разработок и бизнеспланов. Поэтому основной формой включения Кемеровской области в систему международных экономических отношений стала внешняя торговля. </w:t>
      </w:r>
    </w:p>
    <w:p w:rsidR="002C0F56" w:rsidRDefault="00E67C6E">
      <w:pPr>
        <w:spacing w:after="0"/>
        <w:ind w:left="994" w:right="23"/>
      </w:pPr>
      <w:r>
        <w:t>Структура экспорта, как и импорта, определяется особенностями включения нашего региона</w:t>
      </w:r>
      <w:r>
        <w:t xml:space="preserve"> в систему международного разделения труда - важнейшей статьей экспорта из Кемеровской области является уголь и продукты его переработки. В связи с этим, главной спецификой региона остается зависимость его экономического развития от конъюнктуры на мировом </w:t>
      </w:r>
      <w:r>
        <w:t>рынке угля, основные тенденции в ценообразовании на котором пока крайне неутешительны. Отметим, что даже в условиях современного продолжительного экономического кризиса, в условиях действия жесткого санкционного механизма, в 2015 г. было кузбасскими произв</w:t>
      </w:r>
      <w:r>
        <w:t xml:space="preserve">одителями было продано товаров за границу чуть меньше, чем на 600 млрд. руб. [2]. </w:t>
      </w:r>
    </w:p>
    <w:p w:rsidR="002C0F56" w:rsidRDefault="00E67C6E">
      <w:pPr>
        <w:ind w:left="994" w:right="20"/>
      </w:pPr>
      <w:r>
        <w:t xml:space="preserve">С другой стороны, одновременно с усилением экспортной ориентации добывающего сектора произошло ослабление развития (или даже полное сворачивание) других отраслей, таких как </w:t>
      </w:r>
      <w:r>
        <w:t>машиностроение, текстильная, химическая, электротехническая и др. стратегических производств, для которых была создана мощная производственная база в советский период. В связи с этим постоянно увеличивается зависимость хозяйства региона от импорта стратеги</w:t>
      </w:r>
      <w:r>
        <w:t>чески важной промышленной продукции. Активный курс на импортозамещение был обозначен в 2014 г. с целью преодоления действия факторов сдерживания развития экономики России. Была принята Государственная программа «Развитие промышленности и повышение ее конку</w:t>
      </w:r>
      <w:r>
        <w:t xml:space="preserve">рентоспособности», реализовать которую в полном объеме планируется до 2020 г. [3]. При этом нельзя отказаться от поддержки высокоэффективных хозяйств, спрос на продукцию которой на мировом рынке растет.  </w:t>
      </w:r>
    </w:p>
    <w:p w:rsidR="002C0F56" w:rsidRDefault="00E67C6E">
      <w:pPr>
        <w:spacing w:after="0"/>
        <w:ind w:left="994" w:right="21"/>
      </w:pPr>
      <w:r>
        <w:t>На данный момент, доля импорта в российской экономи</w:t>
      </w:r>
      <w:r>
        <w:t>ке опасно высока. По данным таможенной статистики в 2014 г. импорт товаров из стран дальнего зарубежья в российскую экономику в стоимостном выражении снизился на 8,3% в сравнении с 2013 г., до 253814,4 млн. долл. Аналогичные процессы происходят и в российс</w:t>
      </w:r>
      <w:r>
        <w:t>ких регионах. Во внешнеторговой деятельности кузбасских производителей происходит постепенное сокращение номенклатуры и объема ввоза товаров из-за рубежа, годовой объем импорта не превышает 4% в структуре внешнего оборота региона и в 2015 г. ввоз товаров и</w:t>
      </w:r>
      <w:r>
        <w:t>з-за границы не превысил сумму в 25 млрд. руб. [2]. Однако, 67% общего объема импорта составили машины и оборудование. Обусловлено это, прежде всего, резким сокращение машиностроительного производства в регионе и формированием серьезной зависимости воспрои</w:t>
      </w:r>
      <w:r>
        <w:t xml:space="preserve">зводства важнейших хозяйствующих субъектов региона от импортного шахтового оборудования (на некоторых объектах она составляет около 80%) [4].  </w:t>
      </w:r>
    </w:p>
    <w:p w:rsidR="002C0F56" w:rsidRDefault="00E67C6E">
      <w:pPr>
        <w:spacing w:after="0"/>
        <w:ind w:left="994" w:right="23"/>
      </w:pPr>
      <w:r>
        <w:lastRenderedPageBreak/>
        <w:t>В этой ситуации важнейшими задачами, стоящими перед руководством Кузбасса выступают: уменьшение рисков, связанны</w:t>
      </w:r>
      <w:r>
        <w:t>х с зависимостью от внешних поставщиков и конъюнктуры на мировом рынке машин и оборудования; решение социальных проблем, связанных с макроэкономической нестабильностью, хронической безработицей; преодоление неравномерности отраслевого развития региона; глу</w:t>
      </w:r>
      <w:r>
        <w:t xml:space="preserve">бокая диверсификация экономики региона.  </w:t>
      </w:r>
    </w:p>
    <w:p w:rsidR="002C0F56" w:rsidRDefault="00E67C6E">
      <w:pPr>
        <w:spacing w:after="0"/>
        <w:ind w:left="994" w:right="30"/>
      </w:pPr>
      <w:r>
        <w:t xml:space="preserve">Аналогичные задачи стоят перед всеми старопромышленными регионами России. При этом импортозамещение обычно рассматривается лишь как фактор снижения внешних рисков, хотя на первом плане в целях стратегии уменьшения </w:t>
      </w:r>
      <w:r>
        <w:t xml:space="preserve">зависимости от импорта должна стоять задача преодоления неравномерности отраслевого развития региона за счет массового обновления основного капитала во всех без исключения отраслях региона.  </w:t>
      </w:r>
    </w:p>
    <w:p w:rsidR="002C0F56" w:rsidRDefault="00E67C6E">
      <w:pPr>
        <w:spacing w:after="2"/>
        <w:ind w:left="994" w:right="17"/>
      </w:pPr>
      <w:r>
        <w:t>Именно исходя из того, что импортозамещение является одновременн</w:t>
      </w:r>
      <w:r>
        <w:t>о основным условием повышения конкурентоспособности регионального производства, в Региональном плане по развитию импортозамещения в Кемеровской области на 2016-2020 гг. в качестве приоритетных направлений развития импортозамещения в регионе отмечены тяжело</w:t>
      </w:r>
      <w:r>
        <w:t>е и энергетическое машиностроение, химическая промышленность и сельское хозяйство [5]. Планируется увеличить долю несырьевого экспорта в доле отгруженной продукции на каждый год (она должна составлять от 4,8%, до 8,6% в период 20162020 гг.), а так же увели</w:t>
      </w:r>
      <w:r>
        <w:t>чить прирост инвестиций в промышленной сфере на 1.9%-2.8% ежегодно. Кроме того, планируется увеличивать ежегодно количество промышленных предприятий, реализующих проекты в сфере импортозамещения на 6-8 единиц. Повышение конкурентоспособности региональных т</w:t>
      </w:r>
      <w:r>
        <w:t xml:space="preserve">оваров за счет роста качества товаров, создаваемых на уже существующих производствах и создания новых товаров, замещающих импортные, обеспечит эффективную интеграцию кузбасских производителей в межрегиональные и международные производственные цепочки.  </w:t>
      </w:r>
    </w:p>
    <w:p w:rsidR="002C0F56" w:rsidRDefault="00E67C6E">
      <w:pPr>
        <w:spacing w:after="0"/>
        <w:ind w:left="994" w:right="24"/>
      </w:pPr>
      <w:r>
        <w:t>Ре</w:t>
      </w:r>
      <w:r>
        <w:t>альность реализации Плана подтверждается перечнем продукции, которую могут производить наши предприятия, аналогичные импортным [6]. Проработаны основные механизмы государственной поддержки инвестиционных проектов, направленных на импортозамещение: государс</w:t>
      </w:r>
      <w:r>
        <w:t>твенные гарантии РФ по кредитам либо облигационным займам, привлекаемым на реализацию инвестиционных проектов; Программа поддержки инвестиционных проектов, реализуемых на территории РФ на основе проектного финансирования; нефинансовый механизм заключения с</w:t>
      </w:r>
      <w:r>
        <w:t>пециальных инвестиционных контрактов для отдельных отраслей промышленности; финансирование проектов за счет средств Фонда национального благосостояния; финансирование проектов за счет средств Фонда развития промышленности; субсидирование (процентных ставок</w:t>
      </w:r>
      <w:r>
        <w:t xml:space="preserve"> по кредитам на реализацию инвестиционных проектов; процентных ставок по проектам технического перевооружения; затрат на НИОКР). Очевидно, что основной приоритет должен </w:t>
      </w:r>
      <w:r>
        <w:lastRenderedPageBreak/>
        <w:t>быть отдан развитию машиностроительных предприятий Кузбасса, поскольку инвестиции в эту</w:t>
      </w:r>
      <w:r>
        <w:t xml:space="preserve"> отрасль создадут реальные предпосылки для массового обновления капитала в старых и новых отраслях региона. Это особенно важно, с учетом того, что зависимость воспроизводственных процессов даже в угольной отрасли от импортного оборудования очень велика и в</w:t>
      </w:r>
      <w:r>
        <w:t xml:space="preserve"> условиях кризиса продолжала расти, достигнув в 2014 г. 60% [7]. </w:t>
      </w:r>
    </w:p>
    <w:p w:rsidR="002C0F56" w:rsidRDefault="00E67C6E">
      <w:pPr>
        <w:spacing w:after="0"/>
        <w:ind w:left="994" w:right="24"/>
      </w:pPr>
      <w:r>
        <w:t>Для развития машиностроения есть все базовые условия. Такие компании как «Анжеромарш» (выпуск редукторов для ленточных конвееров, не уступающих качеством зарубежным аналогам), «Юрмаш» (выпус</w:t>
      </w:r>
      <w:r>
        <w:t>к очистных комбайнов, заменит зарубежные аналоги), «Объединенные машиностроительные технологии» (выпуск гидравлических домкратов, которые уже используются на различных шахтах региона) и «Кормз» (помимо выпуска машин и оборудования для предприятий ЖКХ, нача</w:t>
      </w:r>
      <w:r>
        <w:t xml:space="preserve">та разработка и производство оборудования для проходки подземных выработок различного назначения и расположения) успешно участвуют в реализации стратегии импортозамещения [8].  </w:t>
      </w:r>
    </w:p>
    <w:p w:rsidR="002C0F56" w:rsidRDefault="00E67C6E">
      <w:pPr>
        <w:spacing w:after="0"/>
        <w:ind w:left="994" w:right="22"/>
      </w:pPr>
      <w:r>
        <w:t xml:space="preserve">Отметим, что большинство реализующихся в Кузбассе инвестиционных проектов уже </w:t>
      </w:r>
      <w:r>
        <w:t>связаны с  задачами уменьшения зависимости воспроизводственных процессов от импорта. Важную роль здесь играет Фонд развития промышленности. Например, ООО «Химпром» получил заем в размере превышающем 250 млн руб. для создания отечественного гипохлорита каль</w:t>
      </w:r>
      <w:r>
        <w:t xml:space="preserve">ция. «Юргинский машиностроительный завод» получил 60 млн руб. на производство добычных комбайнов и механизированных крепей.  </w:t>
      </w:r>
    </w:p>
    <w:p w:rsidR="002C0F56" w:rsidRDefault="00E67C6E">
      <w:pPr>
        <w:spacing w:after="0"/>
        <w:ind w:left="994" w:right="20"/>
      </w:pPr>
      <w:r>
        <w:t>Многим кузбасским предприятиям на эти цели выделяются существенные денежные средства государством. Так, в сферу тяжелого машиностр</w:t>
      </w:r>
      <w:r>
        <w:t>оения было выделено около 5000 млн руб. Из них на разработку шахтового оборудования ушло около 380 млн руб., остальные средства были выделены на Строительство завода по производству конвейерных систем, ООО «Транспортные системы», в г. Ленинск-Кузнецкий [9]</w:t>
      </w:r>
      <w:r>
        <w:t xml:space="preserve">.  </w:t>
      </w:r>
    </w:p>
    <w:p w:rsidR="002C0F56" w:rsidRDefault="00E67C6E">
      <w:pPr>
        <w:spacing w:after="2"/>
        <w:ind w:left="994" w:right="24"/>
      </w:pPr>
      <w:r>
        <w:t>На региональных предприятиях уже производят эффективные аналоги по ключевым технологиям, но наращивание объема их производства потребует определенного времени. Тем не менее, прогресс в процессе импортозамещения уже наметился, благодаря нацеленности на созд</w:t>
      </w:r>
      <w:r>
        <w:t xml:space="preserve">ание инновационных, наукоемких, конкурентоспособных производств в обрабатывающем секторе, что соответствует стратегическим целям развития экономики региона и национального хозяйства в целом.  </w:t>
      </w:r>
    </w:p>
    <w:p w:rsidR="002C0F56" w:rsidRDefault="00E67C6E">
      <w:pPr>
        <w:ind w:left="994" w:right="21"/>
      </w:pPr>
      <w:r>
        <w:t>Кроме прямой поддержки в производственной сфере все более важной составляющей комплексного подхода к осуществлению процесса импортозамещения стало увеличение объема инвестиций в соответствующие области науки. В целом из Фонда развития промышленности Сибирс</w:t>
      </w:r>
      <w:r>
        <w:t xml:space="preserve">кому отделению РАН было выделено больше 250 млн руб. на приобретение самого современного аналитического оборудования для повышения эффективности </w:t>
      </w:r>
      <w:r>
        <w:lastRenderedPageBreak/>
        <w:t xml:space="preserve">исследовательской работы, как фактора перехода на инновационную модель развития экономики региона [8]. </w:t>
      </w:r>
    </w:p>
    <w:p w:rsidR="002C0F56" w:rsidRDefault="00E67C6E">
      <w:pPr>
        <w:spacing w:after="0"/>
        <w:ind w:left="994" w:right="23"/>
      </w:pPr>
      <w:r>
        <w:t>Таким о</w:t>
      </w:r>
      <w:r>
        <w:t>бразом, благодаря активизации инновационно-инвестиционной деятельности в нашем регионе планируется к 2020 г. полностью заменить импортное оборудование для горных работ собственным, произведенным на региональных предприятиях. Ожидаемым результатом инвестиро</w:t>
      </w:r>
      <w:r>
        <w:t>вания к 2020 г. в тяжелой промышленности в проекты является 100% импортозамещение зарубежного оборудования отечественными аналогами в уголедобывающей сфере [5]. Очевидно, что комплексное развитие импортозамещающего производства в старопромышленных российск</w:t>
      </w:r>
      <w:r>
        <w:t xml:space="preserve">их регионах объективно считается и реально уже становится важнейшим элементом обеспечения национальной экономической безопасности. </w:t>
      </w:r>
    </w:p>
    <w:p w:rsidR="002C0F56" w:rsidRDefault="00E67C6E">
      <w:pPr>
        <w:ind w:left="994" w:right="27"/>
      </w:pPr>
      <w:r>
        <w:t>В Государственной программе Кемеровской области «Экономическое развитие и инновационная экономика Кузбасса» на 2014-2019 гг.</w:t>
      </w:r>
      <w:r>
        <w:t>, отмечается, что в первом полугодии 2014 г. завершено внедрение 15 требований Стандарта деятельности органов исполнительной власти по обеспечению благоприятного инвестиционного климата в субъектах Российской Федерации, разработанного автономной некоммерче</w:t>
      </w:r>
      <w:r>
        <w:t xml:space="preserve">ской организацией «Агентство стратегических инициатив по продвижению новых проектов». По итогам 2015 г. в экономику региона привлечено 162.06 млрд. рублей инвестиций, из которых прямых иностранных инвестиций (по данным ЦБ РФ) - 697 млн. долл. [9]. </w:t>
      </w:r>
    </w:p>
    <w:p w:rsidR="002C0F56" w:rsidRDefault="00E67C6E">
      <w:pPr>
        <w:ind w:left="994" w:right="22"/>
      </w:pPr>
      <w:r>
        <w:t>Кузбасс</w:t>
      </w:r>
      <w:r>
        <w:t xml:space="preserve"> занял первое место в Сибири и 21 в стране по эффективности инвестиционной политики властей, созданию условий для привлечения инвестиций. Кемеровская область вошла в группу регионов с комфортными условиями ведения бизнеса. На сегодня в Кузбассе созданы и ф</w:t>
      </w:r>
      <w:r>
        <w:t xml:space="preserve">ункционируют различные формы предприятий с иностранным участием.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81" w:hanging="10"/>
        <w:jc w:val="center"/>
      </w:pPr>
      <w:r>
        <w:t xml:space="preserve">Список литературы: </w:t>
      </w:r>
    </w:p>
    <w:p w:rsidR="002C0F56" w:rsidRDefault="00E67C6E">
      <w:pPr>
        <w:numPr>
          <w:ilvl w:val="0"/>
          <w:numId w:val="192"/>
        </w:numPr>
        <w:spacing w:after="11" w:line="270" w:lineRule="auto"/>
        <w:ind w:right="21"/>
      </w:pPr>
      <w:r>
        <w:t xml:space="preserve">«Положение о свободной экономической зоне в Кемеровской области (СЭЗ </w:t>
      </w:r>
    </w:p>
    <w:p w:rsidR="002C0F56" w:rsidRDefault="00E67C6E">
      <w:pPr>
        <w:spacing w:after="12"/>
        <w:ind w:left="994" w:firstLine="0"/>
      </w:pPr>
      <w:r>
        <w:t xml:space="preserve">«Кузбасс»)» / Законодательная база Российской Федерации. [Электронный </w:t>
      </w:r>
    </w:p>
    <w:p w:rsidR="002C0F56" w:rsidRDefault="00E67C6E">
      <w:pPr>
        <w:ind w:left="994" w:right="302" w:firstLine="0"/>
      </w:pPr>
      <w:r>
        <w:t>ресурс] – Режим доступа:  h</w:t>
      </w:r>
      <w:r>
        <w:t xml:space="preserve">ttp://zakonbase.ru/content/base/241/ </w:t>
      </w:r>
    </w:p>
    <w:p w:rsidR="002C0F56" w:rsidRDefault="00E67C6E">
      <w:pPr>
        <w:numPr>
          <w:ilvl w:val="0"/>
          <w:numId w:val="192"/>
        </w:numPr>
        <w:ind w:right="21"/>
      </w:pPr>
      <w:r>
        <w:t xml:space="preserve">Ловтаков, А.В. Импортозамещение как инструмент реализации стратегии развития инновационного предпринимательства // TRANSPORT BUSINESS IN RUSSIA. – 2015. – №1. - С. 121.  </w:t>
      </w:r>
    </w:p>
    <w:p w:rsidR="002C0F56" w:rsidRDefault="00E67C6E">
      <w:pPr>
        <w:numPr>
          <w:ilvl w:val="0"/>
          <w:numId w:val="192"/>
        </w:numPr>
        <w:spacing w:after="10"/>
        <w:ind w:right="21"/>
      </w:pPr>
      <w:r>
        <w:t xml:space="preserve">Об утверждении новой редакции государственной программы «Развитие промышленности и повышение её конкурентоспособности». [Электронный </w:t>
      </w:r>
    </w:p>
    <w:p w:rsidR="002C0F56" w:rsidRDefault="00E67C6E">
      <w:pPr>
        <w:ind w:left="994" w:right="302" w:firstLine="0"/>
      </w:pPr>
      <w:r>
        <w:t xml:space="preserve">ресурс] – Режим доступа: </w:t>
      </w:r>
      <w:hyperlink r:id="rId1182">
        <w:r>
          <w:t>http</w:t>
        </w:r>
      </w:hyperlink>
      <w:hyperlink r:id="rId1183">
        <w:r>
          <w:t>://</w:t>
        </w:r>
      </w:hyperlink>
      <w:hyperlink r:id="rId1184">
        <w:r>
          <w:t>government</w:t>
        </w:r>
      </w:hyperlink>
      <w:hyperlink r:id="rId1185">
        <w:r>
          <w:t>.</w:t>
        </w:r>
      </w:hyperlink>
      <w:hyperlink r:id="rId1186">
        <w:r>
          <w:t>ru</w:t>
        </w:r>
      </w:hyperlink>
      <w:hyperlink r:id="rId1187">
        <w:r>
          <w:t>/</w:t>
        </w:r>
      </w:hyperlink>
      <w:hyperlink r:id="rId1188">
        <w:r>
          <w:t>docs</w:t>
        </w:r>
      </w:hyperlink>
      <w:hyperlink r:id="rId1189">
        <w:r>
          <w:t>/11912/</w:t>
        </w:r>
      </w:hyperlink>
      <w:hyperlink r:id="rId1190">
        <w:r>
          <w:t xml:space="preserve"> </w:t>
        </w:r>
      </w:hyperlink>
    </w:p>
    <w:p w:rsidR="002C0F56" w:rsidRDefault="00E67C6E">
      <w:pPr>
        <w:numPr>
          <w:ilvl w:val="0"/>
          <w:numId w:val="192"/>
        </w:numPr>
        <w:ind w:right="21"/>
      </w:pPr>
      <w:r>
        <w:lastRenderedPageBreak/>
        <w:t>Поличук Е.А., Думенко, Т.Ю. Внесла ли политика импортозамещения существенные изменения в кузбасской экономи</w:t>
      </w:r>
      <w:r>
        <w:t xml:space="preserve">ке? // Капитал. - 2016 - №07. – С. 15-21. </w:t>
      </w:r>
    </w:p>
    <w:p w:rsidR="002C0F56" w:rsidRDefault="00E67C6E">
      <w:pPr>
        <w:numPr>
          <w:ilvl w:val="0"/>
          <w:numId w:val="192"/>
        </w:numPr>
        <w:ind w:right="21"/>
      </w:pPr>
      <w:r>
        <w:t>Распоряжение Коллегии Администрации Кемеровской области от 21.09.2016 №383-р "О внесении изменения в распоряжение Коллегии Администрации Кемеровской области от 05.05.2016 №162-р «О развитии импортозамещения в Кеме</w:t>
      </w:r>
      <w:r>
        <w:t xml:space="preserve">ровской области»" / Импортозамещение в Кемеровской области – 2016. [Электронный ресурс] – Режим доступа: </w:t>
      </w:r>
    </w:p>
    <w:p w:rsidR="002C0F56" w:rsidRDefault="00E67C6E">
      <w:pPr>
        <w:ind w:left="994" w:right="302" w:firstLine="0"/>
      </w:pPr>
      <w:r>
        <w:t xml:space="preserve">http://www.ako.ru/PRESS/MESS/TEXT/impotrozameshenie.asp  </w:t>
      </w:r>
    </w:p>
    <w:p w:rsidR="002C0F56" w:rsidRDefault="00E67C6E">
      <w:pPr>
        <w:numPr>
          <w:ilvl w:val="0"/>
          <w:numId w:val="192"/>
        </w:numPr>
        <w:ind w:right="21"/>
      </w:pPr>
      <w:r>
        <w:t>Сводный реестр импортной продукции для освоения выпуска аналогов кузбасскими и российскими п</w:t>
      </w:r>
      <w:r>
        <w:t xml:space="preserve">роизводителями / Импортозамещение в Кемеровской области [Электронный ресурс]. – 2016 – Режим доступа: </w:t>
      </w:r>
      <w:hyperlink r:id="rId1191">
        <w:r>
          <w:t>http://www.ako.ru/PRESS/MESS/TEXT/impotrozameshenie.asp</w:t>
        </w:r>
      </w:hyperlink>
      <w:hyperlink r:id="rId1192">
        <w:r>
          <w:t xml:space="preserve"> </w:t>
        </w:r>
      </w:hyperlink>
      <w:r>
        <w:t xml:space="preserve">Трубицына Н.В., </w:t>
      </w:r>
    </w:p>
    <w:p w:rsidR="002C0F56" w:rsidRDefault="00E67C6E">
      <w:pPr>
        <w:ind w:left="994" w:right="30" w:firstLine="0"/>
      </w:pPr>
      <w:r>
        <w:t>Ярош А.С. Обоснование концептуальных подходов к разработке программы импортозамещения оборудования угольных шахт Кемеровской области // Вестник Научного центра по безопасности работ в уго</w:t>
      </w:r>
      <w:r>
        <w:t xml:space="preserve">льной промышленности, 2014. - № 2. </w:t>
      </w:r>
    </w:p>
    <w:p w:rsidR="002C0F56" w:rsidRDefault="00E67C6E">
      <w:pPr>
        <w:numPr>
          <w:ilvl w:val="0"/>
          <w:numId w:val="192"/>
        </w:numPr>
        <w:ind w:right="21"/>
      </w:pPr>
      <w:r>
        <w:t xml:space="preserve">Внесла ли политика импортозамещения существенные изменения в кузбасской экономике? // Капитал. – 2016. [Электронный ресурс] – Режим доступа: </w:t>
      </w:r>
      <w:hyperlink r:id="rId1193">
        <w:r>
          <w:t>http://biz.a42.ru/lenta/show/201606031656</w:t>
        </w:r>
      </w:hyperlink>
      <w:hyperlink r:id="rId1194">
        <w:r>
          <w:t>-</w:t>
        </w:r>
      </w:hyperlink>
      <w:hyperlink r:id="rId1195">
        <w:r>
          <w:t>vnesla</w:t>
        </w:r>
      </w:hyperlink>
      <w:hyperlink r:id="rId1196">
        <w:r>
          <w:t>-</w:t>
        </w:r>
      </w:hyperlink>
      <w:hyperlink r:id="rId1197">
        <w:r>
          <w:t>li</w:t>
        </w:r>
      </w:hyperlink>
      <w:hyperlink r:id="rId1198">
        <w:r>
          <w:t>-</w:t>
        </w:r>
      </w:hyperlink>
      <w:hyperlink r:id="rId1199">
        <w:r>
          <w:t>politika</w:t>
        </w:r>
      </w:hyperlink>
      <w:hyperlink r:id="rId1200"/>
      <w:hyperlink r:id="rId1201">
        <w:r>
          <w:t>importozamescheniya</w:t>
        </w:r>
      </w:hyperlink>
      <w:hyperlink r:id="rId1202">
        <w:r>
          <w:t>-</w:t>
        </w:r>
      </w:hyperlink>
      <w:hyperlink r:id="rId1203">
        <w:r>
          <w:t>suschestvennyie</w:t>
        </w:r>
      </w:hyperlink>
      <w:hyperlink r:id="rId1204">
        <w:r>
          <w:t>-</w:t>
        </w:r>
      </w:hyperlink>
      <w:hyperlink r:id="rId1205">
        <w:r>
          <w:t>izmeneniya</w:t>
        </w:r>
      </w:hyperlink>
      <w:hyperlink r:id="rId1206">
        <w:r>
          <w:t>-</w:t>
        </w:r>
      </w:hyperlink>
      <w:hyperlink r:id="rId1207">
        <w:r>
          <w:t>v</w:t>
        </w:r>
      </w:hyperlink>
      <w:hyperlink r:id="rId1208">
        <w:r>
          <w:t>-</w:t>
        </w:r>
      </w:hyperlink>
      <w:hyperlink r:id="rId1209">
        <w:r>
          <w:t>kuzbasskoy</w:t>
        </w:r>
      </w:hyperlink>
      <w:hyperlink r:id="rId1210">
        <w:r>
          <w:t>-</w:t>
        </w:r>
      </w:hyperlink>
      <w:hyperlink r:id="rId1211">
        <w:r>
          <w:t>ekonomike.html</w:t>
        </w:r>
      </w:hyperlink>
      <w:hyperlink r:id="rId1212">
        <w:r>
          <w:t xml:space="preserve"> </w:t>
        </w:r>
      </w:hyperlink>
      <w:r>
        <w:t xml:space="preserve"> </w:t>
      </w:r>
    </w:p>
    <w:p w:rsidR="002C0F56" w:rsidRDefault="00E67C6E">
      <w:pPr>
        <w:numPr>
          <w:ilvl w:val="0"/>
          <w:numId w:val="192"/>
        </w:numPr>
        <w:ind w:right="21"/>
      </w:pPr>
      <w:r>
        <w:t xml:space="preserve">Информация о создании Центра по развитию импортозамещения в </w:t>
      </w:r>
    </w:p>
    <w:p w:rsidR="002C0F56" w:rsidRDefault="00E67C6E">
      <w:pPr>
        <w:ind w:left="994" w:firstLine="0"/>
      </w:pPr>
      <w:r>
        <w:t xml:space="preserve">Кемеровской области / Импортозамещение в Кемеровской области – 2016. </w:t>
      </w:r>
    </w:p>
    <w:p w:rsidR="002C0F56" w:rsidRDefault="00E67C6E">
      <w:pPr>
        <w:tabs>
          <w:tab w:val="center" w:pos="1853"/>
          <w:tab w:val="center" w:pos="4494"/>
          <w:tab w:val="center" w:pos="6347"/>
          <w:tab w:val="center" w:pos="8160"/>
          <w:tab w:val="right" w:pos="10942"/>
        </w:tabs>
        <w:spacing w:after="12"/>
        <w:ind w:left="0" w:firstLine="0"/>
        <w:jc w:val="left"/>
      </w:pPr>
      <w:r>
        <w:rPr>
          <w:rFonts w:ascii="Calibri" w:eastAsia="Calibri" w:hAnsi="Calibri" w:cs="Calibri"/>
          <w:sz w:val="22"/>
        </w:rPr>
        <w:tab/>
      </w:r>
      <w:r>
        <w:t xml:space="preserve">[Электронный </w:t>
      </w:r>
      <w:r>
        <w:tab/>
        <w:t>ресур</w:t>
      </w:r>
      <w:r>
        <w:t xml:space="preserve">с] </w:t>
      </w:r>
      <w:r>
        <w:tab/>
        <w:t xml:space="preserve">– </w:t>
      </w:r>
      <w:r>
        <w:tab/>
        <w:t xml:space="preserve">Режим </w:t>
      </w:r>
      <w:r>
        <w:tab/>
        <w:t xml:space="preserve">доступа: </w:t>
      </w:r>
    </w:p>
    <w:p w:rsidR="002C0F56" w:rsidRDefault="00E67C6E">
      <w:pPr>
        <w:ind w:left="994" w:right="302" w:firstLine="0"/>
      </w:pPr>
      <w:hyperlink r:id="rId1213">
        <w:r>
          <w:t>http://www.ako.ru/PRESS/MESS/TEXT/impotrozameshenie.asp</w:t>
        </w:r>
      </w:hyperlink>
      <w:hyperlink r:id="rId1214">
        <w:r>
          <w:t xml:space="preserve"> </w:t>
        </w:r>
      </w:hyperlink>
      <w:r>
        <w:rPr>
          <w:b/>
        </w:rPr>
        <w:t xml:space="preserve"> </w:t>
      </w:r>
    </w:p>
    <w:p w:rsidR="002C0F56" w:rsidRDefault="00E67C6E">
      <w:pPr>
        <w:numPr>
          <w:ilvl w:val="0"/>
          <w:numId w:val="192"/>
        </w:numPr>
        <w:ind w:right="21"/>
      </w:pPr>
      <w:r>
        <w:t>Государственная Программ</w:t>
      </w:r>
      <w:r>
        <w:t xml:space="preserve">а Кемеровской области «Экономическое развитие и инновационная экономика Кузбасса» на 2014 - 2019 годы. Инвестиционный климат [Электронный ресурс]. – Режим доступа: </w:t>
      </w:r>
      <w:hyperlink r:id="rId1215">
        <w:r>
          <w:t>http://docs.cntd.ru/document/41280</w:t>
        </w:r>
        <w:r>
          <w:t>5057</w:t>
        </w:r>
      </w:hyperlink>
      <w:hyperlink r:id="rId1216">
        <w:r>
          <w:t xml:space="preserve"> </w:t>
        </w:r>
      </w:hyperlink>
    </w:p>
    <w:p w:rsidR="002C0F56" w:rsidRDefault="00E67C6E">
      <w:pPr>
        <w:spacing w:after="0" w:line="259" w:lineRule="auto"/>
        <w:ind w:left="1558" w:firstLine="0"/>
        <w:jc w:val="left"/>
      </w:pPr>
      <w:r>
        <w:rPr>
          <w:b/>
        </w:rPr>
        <w:t xml:space="preserve"> </w:t>
      </w:r>
    </w:p>
    <w:p w:rsidR="002C0F56" w:rsidRDefault="00E67C6E">
      <w:pPr>
        <w:spacing w:after="26" w:line="259" w:lineRule="auto"/>
        <w:ind w:left="1558" w:firstLine="0"/>
        <w:jc w:val="left"/>
      </w:pPr>
      <w:r>
        <w:rPr>
          <w:b/>
        </w:rPr>
        <w:t xml:space="preserve"> </w:t>
      </w:r>
    </w:p>
    <w:p w:rsidR="002C0F56" w:rsidRDefault="00E67C6E">
      <w:pPr>
        <w:pStyle w:val="1"/>
        <w:spacing w:after="25" w:line="259" w:lineRule="auto"/>
        <w:ind w:right="307"/>
        <w:jc w:val="right"/>
      </w:pPr>
      <w:r>
        <w:t xml:space="preserve">Погребняк А. </w:t>
      </w:r>
      <w:r>
        <w:rPr>
          <w:b w:val="0"/>
        </w:rPr>
        <w:t xml:space="preserve">Научный руководитель: Бордачев В.С. </w:t>
      </w:r>
    </w:p>
    <w:p w:rsidR="002C0F56" w:rsidRDefault="00E67C6E">
      <w:pPr>
        <w:spacing w:after="0" w:line="267" w:lineRule="auto"/>
        <w:ind w:left="905" w:right="306" w:hanging="10"/>
        <w:jc w:val="right"/>
      </w:pPr>
      <w:r>
        <w:rPr>
          <w:i/>
        </w:rPr>
        <w:t xml:space="preserve">Макеевский экономико-гуманитарный институт </w:t>
      </w:r>
    </w:p>
    <w:p w:rsidR="002C0F56" w:rsidRDefault="00E67C6E">
      <w:pPr>
        <w:spacing w:after="0" w:line="259" w:lineRule="auto"/>
        <w:ind w:left="1558" w:firstLine="0"/>
        <w:jc w:val="left"/>
      </w:pPr>
      <w:r>
        <w:rPr>
          <w:b/>
        </w:rPr>
        <w:t xml:space="preserve"> </w:t>
      </w:r>
    </w:p>
    <w:p w:rsidR="002C0F56" w:rsidRDefault="00E67C6E">
      <w:pPr>
        <w:pStyle w:val="1"/>
        <w:spacing w:after="15" w:line="271" w:lineRule="auto"/>
        <w:ind w:left="1903" w:right="0" w:hanging="494"/>
        <w:jc w:val="left"/>
      </w:pPr>
      <w:r>
        <w:t xml:space="preserve">ОСОБЕННОСТИ ЗАНЯТИЙ В СПЕЦИАЛЬНЫХ МЕДИЦИНСКИХ ГРУППАХ СТУДЕНТОВ С ОСЛАБЛЕННЫМ ЗДОРОВЬЕМ </w:t>
      </w:r>
    </w:p>
    <w:p w:rsidR="002C0F56" w:rsidRDefault="00E67C6E">
      <w:pPr>
        <w:spacing w:after="0" w:line="259" w:lineRule="auto"/>
        <w:ind w:left="1558" w:firstLine="0"/>
        <w:jc w:val="left"/>
      </w:pPr>
      <w:r>
        <w:t xml:space="preserve"> </w:t>
      </w:r>
    </w:p>
    <w:p w:rsidR="002C0F56" w:rsidRDefault="00E67C6E">
      <w:pPr>
        <w:ind w:left="994" w:right="302"/>
      </w:pPr>
      <w:r>
        <w:t xml:space="preserve">Необходимость создания специальных медицинских групп обусловлена тем, что в последние годы у студентов все чаще наблюдаются самые различные отклонения и нарушения в состоянии здоровья, при которых они не могут </w:t>
      </w:r>
      <w:r>
        <w:lastRenderedPageBreak/>
        <w:t xml:space="preserve">заниматься в основной группе при максимальной </w:t>
      </w:r>
      <w:r>
        <w:t xml:space="preserve">физической нагрузке, а так же справляться с ежедневными нагрузками. </w:t>
      </w:r>
    </w:p>
    <w:p w:rsidR="002C0F56" w:rsidRDefault="00E67C6E">
      <w:pPr>
        <w:ind w:left="994" w:right="302"/>
      </w:pPr>
      <w:r>
        <w:t>Здоровье и здоровый образ жизни – качественная предпосылка  будущей самореализации молодых людей, их активного долголетия, способности к созданию семьи и деторождению, к сложному учебному</w:t>
      </w:r>
      <w:r>
        <w:t xml:space="preserve"> и профессиональному труду, общественной и творческой активности. Однако студенты не рассматривают свое здоровье как капитал, который нужно сохранять и преумножать, дабы в перспективе он принес свои дивиденды. </w:t>
      </w:r>
    </w:p>
    <w:p w:rsidR="002C0F56" w:rsidRDefault="00E67C6E">
      <w:pPr>
        <w:spacing w:after="10"/>
        <w:ind w:left="994" w:right="302"/>
      </w:pPr>
      <w:r>
        <w:t xml:space="preserve">Целью создания специальных медицинских групп </w:t>
      </w:r>
      <w:r>
        <w:t>являлось исследование физического  воспитания  студентов,  формирование социально-личностных компетенций, обеспечивающих целевое использование соответствующих средств физической культуры для сохранения и укрепления здоровья и подготовке к будущей профессио</w:t>
      </w:r>
      <w:r>
        <w:t xml:space="preserve">нальной деятельности. </w:t>
      </w:r>
    </w:p>
    <w:p w:rsidR="002C0F56" w:rsidRDefault="00E67C6E">
      <w:pPr>
        <w:ind w:left="994" w:right="302"/>
      </w:pPr>
      <w:r>
        <w:t xml:space="preserve">В создании специальных медицинских групп возникали следующие задачи: </w:t>
      </w:r>
    </w:p>
    <w:p w:rsidR="002C0F56" w:rsidRDefault="00E67C6E">
      <w:pPr>
        <w:numPr>
          <w:ilvl w:val="0"/>
          <w:numId w:val="193"/>
        </w:numPr>
        <w:ind w:right="302"/>
      </w:pPr>
      <w:r>
        <w:t xml:space="preserve">Понять социальную роль физической культуры в развитии личности и подготовке ее к профессиональной деятельности; </w:t>
      </w:r>
    </w:p>
    <w:p w:rsidR="002C0F56" w:rsidRDefault="00E67C6E">
      <w:pPr>
        <w:numPr>
          <w:ilvl w:val="0"/>
          <w:numId w:val="193"/>
        </w:numPr>
        <w:ind w:right="302"/>
      </w:pPr>
      <w:r>
        <w:t>Изучить научно-биологические основы физической кул</w:t>
      </w:r>
      <w:r>
        <w:t xml:space="preserve">ьтуры в вопросах  реабилитации организма при различных отклонениях в здоровье; </w:t>
      </w:r>
    </w:p>
    <w:p w:rsidR="002C0F56" w:rsidRDefault="00E67C6E">
      <w:pPr>
        <w:numPr>
          <w:ilvl w:val="0"/>
          <w:numId w:val="193"/>
        </w:numPr>
        <w:spacing w:after="10"/>
        <w:ind w:right="302"/>
      </w:pPr>
      <w:r>
        <w:t xml:space="preserve">Овладеть системой средств и методов, умений и навыков, обеспечивающих сохранение и укрепление здоровья, психофизических способностей, качеств и свойств личности; </w:t>
      </w:r>
    </w:p>
    <w:p w:rsidR="002C0F56" w:rsidRDefault="00E67C6E">
      <w:pPr>
        <w:numPr>
          <w:ilvl w:val="0"/>
          <w:numId w:val="193"/>
        </w:numPr>
        <w:ind w:right="302"/>
      </w:pPr>
      <w:r>
        <w:t xml:space="preserve">Изучить опыт </w:t>
      </w:r>
      <w:r>
        <w:t xml:space="preserve">творческого использования знаний предмета «Физическая культура» для достижения жизненных и профессиональных целей. </w:t>
      </w:r>
    </w:p>
    <w:p w:rsidR="002C0F56" w:rsidRDefault="00E67C6E">
      <w:pPr>
        <w:ind w:left="994" w:right="302"/>
      </w:pPr>
      <w:r>
        <w:t xml:space="preserve">Специальная медицинская группа, что же это за группа, и кто в неё входит? </w:t>
      </w:r>
    </w:p>
    <w:p w:rsidR="002C0F56" w:rsidRDefault="00E67C6E">
      <w:pPr>
        <w:ind w:left="994" w:right="302"/>
      </w:pPr>
      <w:r>
        <w:t xml:space="preserve">В специальную медицинскую группу входят – учащиеся, у которых по </w:t>
      </w:r>
      <w:r>
        <w:t>результатам медицинского обследования диагностированы определенные нарушения в физическом развитии или в здоровье, такие студенты нуждаются в занятиях физическими упражнениями по специальным программам. Для учащихся, отнесенных к этой группе, предусмотрено</w:t>
      </w:r>
      <w:r>
        <w:t xml:space="preserve"> обязательное посещение уроков физической культуры, где они получают специальные, индивидуальные задания. </w:t>
      </w:r>
    </w:p>
    <w:p w:rsidR="002C0F56" w:rsidRDefault="00E67C6E">
      <w:pPr>
        <w:ind w:left="994" w:right="302"/>
      </w:pPr>
      <w:r>
        <w:t xml:space="preserve">Перед преподавателем, работающим со студентами, имеющими отклонения в состоянии здоровья, стоят следующие задачи:  </w:t>
      </w:r>
    </w:p>
    <w:p w:rsidR="002C0F56" w:rsidRDefault="00E67C6E">
      <w:pPr>
        <w:numPr>
          <w:ilvl w:val="0"/>
          <w:numId w:val="193"/>
        </w:numPr>
        <w:ind w:right="302"/>
      </w:pPr>
      <w:r>
        <w:t xml:space="preserve">Улучшить функциональное состояние учащихся, то есть улучшить душевное и физическое состояние посредством лёгких дозируемых физических нагрузок; </w:t>
      </w:r>
    </w:p>
    <w:p w:rsidR="002C0F56" w:rsidRDefault="00E67C6E">
      <w:pPr>
        <w:numPr>
          <w:ilvl w:val="0"/>
          <w:numId w:val="193"/>
        </w:numPr>
        <w:ind w:right="302"/>
      </w:pPr>
      <w:r>
        <w:t xml:space="preserve">Повысить физическую работоспособность, </w:t>
      </w:r>
    </w:p>
    <w:p w:rsidR="002C0F56" w:rsidRDefault="00E67C6E">
      <w:pPr>
        <w:numPr>
          <w:ilvl w:val="0"/>
          <w:numId w:val="193"/>
        </w:numPr>
        <w:spacing w:after="15" w:line="268" w:lineRule="auto"/>
        <w:ind w:right="302"/>
      </w:pPr>
      <w:r>
        <w:t xml:space="preserve">Снять утомление и повысить адаптационные возможности студентов, </w:t>
      </w:r>
    </w:p>
    <w:p w:rsidR="002C0F56" w:rsidRDefault="00E67C6E">
      <w:pPr>
        <w:numPr>
          <w:ilvl w:val="0"/>
          <w:numId w:val="193"/>
        </w:numPr>
        <w:spacing w:after="12"/>
        <w:ind w:right="302"/>
      </w:pPr>
      <w:r>
        <w:t>Воспит</w:t>
      </w:r>
      <w:r>
        <w:t xml:space="preserve">ать потребность в занятиях оздоровительной физкультурой. </w:t>
      </w:r>
    </w:p>
    <w:p w:rsidR="002C0F56" w:rsidRDefault="00E67C6E">
      <w:pPr>
        <w:spacing w:after="0"/>
        <w:ind w:left="994" w:right="302"/>
      </w:pPr>
      <w:r>
        <w:lastRenderedPageBreak/>
        <w:t>Всё это нужно для большей активности, так как пагубно сказывается на студентах гиподинамия (малоподвижность). Она замедляет процесс выздоровления, снижает адаптационные возможности, ухудшает процесс</w:t>
      </w:r>
      <w:r>
        <w:t>ы метаболизма, то есть ухудшает процессы обмена веществ и запаса энергии в организме. Только систематические (3 раза в неделю) занятия физкультурой могут служить фактором профилактическим, нормализовать функциональное состояние учащегося, способствовать ег</w:t>
      </w:r>
      <w:r>
        <w:t xml:space="preserve">о выздоровлению. </w:t>
      </w:r>
    </w:p>
    <w:p w:rsidR="002C0F56" w:rsidRDefault="00E67C6E">
      <w:pPr>
        <w:ind w:left="994" w:right="302"/>
      </w:pPr>
      <w:r>
        <w:t>Регулярные, дозированные физические нагрузки способствуют нормализации моторных (двигательных) процессов, особенно при заболеваниях кардиореспираторной, эндокринной и других систем, помогают восстановить утраченные (сниженные) функции орг</w:t>
      </w:r>
      <w:r>
        <w:t xml:space="preserve">анизма. </w:t>
      </w:r>
    </w:p>
    <w:p w:rsidR="002C0F56" w:rsidRDefault="00E67C6E">
      <w:pPr>
        <w:ind w:left="1558" w:right="302" w:firstLine="0"/>
      </w:pPr>
      <w:r>
        <w:t xml:space="preserve">1. Как строится  программа занятий в специальных медицинских группах </w:t>
      </w:r>
    </w:p>
    <w:p w:rsidR="002C0F56" w:rsidRDefault="00E67C6E">
      <w:pPr>
        <w:ind w:left="994" w:right="302"/>
      </w:pPr>
      <w:r>
        <w:t>Специальная медицинская группа состоит из студентов разных академических групп, разного возраста и пола, страдающих различными недугами и психологически не готовых к занятиям фи</w:t>
      </w:r>
      <w:r>
        <w:t xml:space="preserve">зической культурой в основной группе. </w:t>
      </w:r>
    </w:p>
    <w:p w:rsidR="002C0F56" w:rsidRDefault="00E67C6E">
      <w:pPr>
        <w:ind w:left="994" w:right="302"/>
      </w:pPr>
      <w:r>
        <w:t xml:space="preserve">Комплектование специальных медицинских групп к предстоящему учебному году должно проводиться на основе учета состояния здоровья до 1 июня по данным медицинского обследования, проводимого в апреле – мае текущего года. </w:t>
      </w:r>
    </w:p>
    <w:p w:rsidR="002C0F56" w:rsidRDefault="00E67C6E">
      <w:pPr>
        <w:ind w:left="994" w:right="302"/>
      </w:pPr>
      <w:r>
        <w:t>Задача преподавателя оформить индивидуальные карты на студентов, занимающихся в специальной медицинской группе. В карте отражаются диагноз, рекомендации и дозировка физической культуры, индивидуальные комплексы упражнений, а также возможность оценить студ</w:t>
      </w:r>
      <w:r>
        <w:t>ентом своё состояние физической готовности на начало и конец года по 5ти бальной шкале, для того чтобы студент мог понять, как он был готов физически на начало года и как повлияли физические нагрузки на его здоровье по истечении учебного года, и помогли ли</w:t>
      </w:r>
      <w:r>
        <w:t xml:space="preserve"> ему физические упражнения. </w:t>
      </w:r>
    </w:p>
    <w:p w:rsidR="002C0F56" w:rsidRDefault="00E67C6E">
      <w:pPr>
        <w:ind w:left="994" w:right="302"/>
      </w:pPr>
      <w:r>
        <w:t>Проведение занятий со студентами в специальных медицинских группах позволяет избежать лишних методических и педагогических ошибок, беречь психику подростков, использовать дифференцированные нагрузки и легко контролировать состо</w:t>
      </w:r>
      <w:r>
        <w:t>яние студентов и их адаптацию к нагрузкам. Практический учебный материал для данной категории студентов разрабатывается с учетом показаний и противопоказаний.</w:t>
      </w:r>
      <w:r>
        <w:rPr>
          <w:b/>
        </w:rPr>
        <w:t xml:space="preserve"> </w:t>
      </w:r>
      <w:r>
        <w:t xml:space="preserve"> </w:t>
      </w:r>
    </w:p>
    <w:p w:rsidR="002C0F56" w:rsidRDefault="00E67C6E">
      <w:pPr>
        <w:spacing w:after="5"/>
        <w:ind w:left="994" w:right="302"/>
      </w:pPr>
      <w:r>
        <w:t>Учебный материал имеет корригирующую и оздоровительнопрофилактическую направленность. При его р</w:t>
      </w:r>
      <w:r>
        <w:t xml:space="preserve">еализации необходим индивидуально-дифференцированный подход в зависимости от уровня функциональной и физической подготовленности занимающегося, характера и выраженности структурных и функциональных нарушений в </w:t>
      </w:r>
      <w:r>
        <w:lastRenderedPageBreak/>
        <w:t>организме, вызванных  временными  или постоянн</w:t>
      </w:r>
      <w:r>
        <w:t xml:space="preserve">ыми патологическими факторами. </w:t>
      </w:r>
    </w:p>
    <w:p w:rsidR="002C0F56" w:rsidRDefault="00E67C6E">
      <w:pPr>
        <w:ind w:left="994" w:right="302"/>
      </w:pPr>
      <w:r>
        <w:t>Подобранные физические упражнения в зависимости от заболевания являются биологическим стимулятором, усиливая защитные реакции организма. Правильно подобранные упражнения оказывают трофическое и компенсаторное действие на орг</w:t>
      </w:r>
      <w:r>
        <w:t xml:space="preserve">анизм студента. </w:t>
      </w:r>
    </w:p>
    <w:p w:rsidR="002C0F56" w:rsidRDefault="00E67C6E">
      <w:pPr>
        <w:ind w:left="1558" w:right="302" w:firstLine="0"/>
      </w:pPr>
      <w:r>
        <w:t xml:space="preserve">2. Какие же упражнения используются в занятиях? </w:t>
      </w:r>
    </w:p>
    <w:p w:rsidR="002C0F56" w:rsidRDefault="00E67C6E">
      <w:pPr>
        <w:ind w:left="994" w:right="302"/>
      </w:pPr>
      <w:r>
        <w:t xml:space="preserve">Физическая нагрузка специальных медицинских групп ограничивает упражнения на скорость, силу, выносливость. </w:t>
      </w:r>
    </w:p>
    <w:p w:rsidR="002C0F56" w:rsidRDefault="00E67C6E">
      <w:pPr>
        <w:spacing w:after="0"/>
        <w:ind w:left="994" w:right="302"/>
      </w:pPr>
      <w:r>
        <w:t>В зависимости от заболевания включаются следующие виды упражнений: ходьба, бег в с</w:t>
      </w:r>
      <w:r>
        <w:t>очетании с ходьбой, так как ходьба и бег имеют огромное значение в нормализации обменных процессов, функционального состояния кардиореспираторной системы. В основном в осенний и в весенний период, когда занятий проходят в парке, дыхательные упражнения и уп</w:t>
      </w:r>
      <w:r>
        <w:t xml:space="preserve">ражнения на релаксацию, а при нарушениях осанки (сколиозах), что наиболее часто встречается у студентов, включаются упражнения на укрепление мышц живота и туловища (то есть создание мышечного корсета), выработку правильной осанки. Исключаются упражнения с </w:t>
      </w:r>
      <w:r>
        <w:t xml:space="preserve">гантелями, тяжестями в положении стоя. </w:t>
      </w:r>
    </w:p>
    <w:p w:rsidR="002C0F56" w:rsidRDefault="00E67C6E">
      <w:pPr>
        <w:ind w:left="994" w:right="302"/>
      </w:pPr>
      <w:r>
        <w:t>Подвижные и спортивные игры, а так же тренинги и интеллектуальные игры которые мы проводим в конце занятия в оставшиеся 20 минут, потому как сложно всю пару выполнять физическую нагрузку, являются хорошим средством ф</w:t>
      </w:r>
      <w:r>
        <w:t>изического развития, нормализации эмоционального состояния, совершенствования координации движений. Включая игры в занятия физкультуры, можно значительно снизить умственную нагрузку за счет эмоционального фактора, а если их проводить в парке на свежем возд</w:t>
      </w:r>
      <w:r>
        <w:t xml:space="preserve">ухе, то эффективность возрастает еще и за счет закаливающего и эмоционального факторов. </w:t>
      </w:r>
    </w:p>
    <w:p w:rsidR="002C0F56" w:rsidRDefault="00E67C6E">
      <w:pPr>
        <w:numPr>
          <w:ilvl w:val="0"/>
          <w:numId w:val="194"/>
        </w:numPr>
        <w:ind w:right="302"/>
      </w:pPr>
      <w:r>
        <w:t>Ходьба как физическое упражнение — ценное средство для улучшения деятельности ЦНС, сердечнососудистой и дыхательной систем. Если ее регулярно совершать по пересеченной</w:t>
      </w:r>
      <w:r>
        <w:t xml:space="preserve"> местности (в парке и пр.), то имеет место тренирующий эффект и профилактика заболеваний. Положительные эмоции при этом благоприятно влияют на ЦНС студента имеющего отклонения в состоянии здоровья. Во время ходьбы дыхание должно быть ритмичным, глубоким, н</w:t>
      </w:r>
      <w:r>
        <w:t xml:space="preserve">е следует задерживать дыхание и разговаривать во время ходьбы. Ходьба должна быть продолжительной (до появления испарины на лбу), но не утомительной. </w:t>
      </w:r>
    </w:p>
    <w:p w:rsidR="002C0F56" w:rsidRDefault="00E67C6E">
      <w:pPr>
        <w:numPr>
          <w:ilvl w:val="0"/>
          <w:numId w:val="194"/>
        </w:numPr>
        <w:spacing w:after="0"/>
        <w:ind w:right="302"/>
      </w:pPr>
      <w:r>
        <w:t xml:space="preserve">Бег — </w:t>
      </w:r>
      <w:r>
        <w:t>физическое упражнение с большой нагрузкой. Он развивает выносливость, особенно полезен для профилактики заболеваний сердечнососудистой системы, ожирения и др. Его лучше сочетать с ходьбой и дыхательными упражнениями. Ходьбу и бег можно проводить днем или в</w:t>
      </w:r>
      <w:r>
        <w:t xml:space="preserve">ечером, а во время занятия — в основной и в заключительной частях. </w:t>
      </w:r>
    </w:p>
    <w:p w:rsidR="002C0F56" w:rsidRDefault="00E67C6E">
      <w:pPr>
        <w:ind w:left="994" w:right="302"/>
      </w:pPr>
      <w:r>
        <w:lastRenderedPageBreak/>
        <w:t xml:space="preserve">Что касается непосредственно самих упражнений и физической нагрузки, выполняемой студентами с различными заболеваниями. </w:t>
      </w:r>
    </w:p>
    <w:p w:rsidR="002C0F56" w:rsidRDefault="00E67C6E">
      <w:pPr>
        <w:spacing w:after="5"/>
        <w:ind w:left="994" w:right="302"/>
      </w:pPr>
      <w:r>
        <w:t>Для студентов с заболеваниями сердечнососудистой системы показан гр</w:t>
      </w:r>
      <w:r>
        <w:t xml:space="preserve">упповой метод занятий, желательно на улице, в парке. Занятие строится так, чтобы преобладали циклические движения (различные виды ходьбы и бега, их сочетание,  дыхательные упражнения). Нужно следить, чтобы студенты дышали через нос. Показаны упражнения на </w:t>
      </w:r>
      <w:r>
        <w:t xml:space="preserve">расслабление. Исключаются упражнения с задержкой дыхания, натуживанием. </w:t>
      </w:r>
    </w:p>
    <w:p w:rsidR="002C0F56" w:rsidRDefault="00E67C6E">
      <w:pPr>
        <w:spacing w:after="70"/>
        <w:ind w:left="994" w:right="302"/>
      </w:pPr>
      <w:r>
        <w:t>Для студентов с заболеваниями органов дыхания занятия необходимо проводить тоже групповым методом на свежем воздухе если же занятия проводится в помещении, то зал хорошо проветриваетс</w:t>
      </w:r>
      <w:r>
        <w:t>я.</w:t>
      </w:r>
      <w:r>
        <w:rPr>
          <w:b/>
        </w:rPr>
        <w:t xml:space="preserve"> </w:t>
      </w:r>
      <w:r>
        <w:t xml:space="preserve">В занятие так же включают ходьбу, дозированный бег, различные эстафеты, упражнения с набивными мячами, гимнастическими палками. При проведении занятий акцент делается на правильное ритмичное дыхание, а также на дыхание с акцентом на выдохе[1]. </w:t>
      </w:r>
    </w:p>
    <w:p w:rsidR="002C0F56" w:rsidRDefault="00E67C6E">
      <w:pPr>
        <w:ind w:left="994" w:right="302"/>
      </w:pPr>
      <w:r>
        <w:t>Для студ</w:t>
      </w:r>
      <w:r>
        <w:t>ентов с функциональными нарушениями осанки (очень частое заболевание среди студентов сколиоз – это прогрессирующее заболевание позвоночника, характеризуется его искривлением) необходимы ежедневные занятия физкультурой (упражнения с гимнастической палкой, н</w:t>
      </w:r>
      <w:r>
        <w:t xml:space="preserve">абивными мячами, с гантелями в положении лежа, занятия на тренажерах с малыми напряжениями в положении лежа, полулежа, специальные упражнения у гимнастической стенки и др.). Исключаются упражнения с гантелями в исходном положении стоя, прыжки и подскоки с </w:t>
      </w:r>
      <w:r>
        <w:t xml:space="preserve">гантелями. В занятие включаются подвижные игры (или элементы спортивных игр), дыхательные и общеразвивающие упражнения, ходьбу, ходьбу в приседе. При регулярных занятиях удается ликвидировать функциональные нарушения осанки. </w:t>
      </w:r>
    </w:p>
    <w:p w:rsidR="002C0F56" w:rsidRDefault="00E67C6E">
      <w:pPr>
        <w:ind w:left="994" w:right="302"/>
      </w:pPr>
      <w:r>
        <w:t xml:space="preserve">Для студентов с  заболеванием </w:t>
      </w:r>
      <w:r>
        <w:t>органов пищеварения наиболее часто встречаются гастрит, язва желудка. Кроме того, нередки опущения желудка. Влияние упражнений на пищеварение оказывает стимулирующее действие, улучшают функцию желудочно-кишечного тракта.</w:t>
      </w:r>
      <w:r>
        <w:rPr>
          <w:b/>
        </w:rPr>
        <w:t xml:space="preserve"> </w:t>
      </w:r>
      <w:r>
        <w:t xml:space="preserve">В занятие включают ходьбу, бег (их </w:t>
      </w:r>
      <w:r>
        <w:t xml:space="preserve">сочетание), дыхательные и общеразвивающие упражнения, подвижные игры (или элементы спортивных игр). Включаются общеразвивающие упражнения, в положении лежа, сидя, с выполнением дыхательных упражнений[2]. </w:t>
      </w:r>
    </w:p>
    <w:p w:rsidR="002C0F56" w:rsidRDefault="00E67C6E">
      <w:pPr>
        <w:ind w:left="994" w:right="302"/>
      </w:pPr>
      <w:r>
        <w:t xml:space="preserve">Для студентов с  </w:t>
      </w:r>
      <w:r>
        <w:t>болезнями почек и мочеполовых путей наиболее часто встречаются следующие заболевания: пиелонефрит, опущение почки. В занятие рекомендуют включать дозированную ходьбу, бег, подвижные игры (или элементы спортивных игр), общеразвивающие и дыхательные упражнен</w:t>
      </w:r>
      <w:r>
        <w:t xml:space="preserve">ия, занятия на тренажерах. При опущении почки исключают прыжки, подскоки и </w:t>
      </w:r>
      <w:r>
        <w:lastRenderedPageBreak/>
        <w:t xml:space="preserve">подобные упражнения, выполняется специальный комплекс общеразвивающих упражнений. </w:t>
      </w:r>
    </w:p>
    <w:p w:rsidR="002C0F56" w:rsidRDefault="00E67C6E">
      <w:pPr>
        <w:spacing w:after="5"/>
        <w:ind w:left="994" w:right="302"/>
      </w:pPr>
      <w:r>
        <w:t>Для студентов с  заболеваниями эндокринной системы (К наиболее распространенным заболеваниям желез</w:t>
      </w:r>
      <w:r>
        <w:t xml:space="preserve"> внутренней секреции и обмена веществ относятся сахарный диабет, ожирение). Заболевания связаны с нарушением обмена веществ (углеводного, жирового, белкового), неправильным питанием, интоксикацией организма, гиподинамией. Мышечная деятельность оказывает ре</w:t>
      </w:r>
      <w:r>
        <w:t xml:space="preserve">гулирующее влияние на обменные процессы. </w:t>
      </w:r>
    </w:p>
    <w:p w:rsidR="002C0F56" w:rsidRDefault="00E67C6E">
      <w:pPr>
        <w:ind w:left="994" w:right="302"/>
      </w:pPr>
      <w:r>
        <w:t>Лечебное действие физических упражнений при нарушении обмена веществ обусловлено их мощным трофическим влиянием. Систематические тренировки способствуют нормализации (восстановлению) моторных рефлексов, оказывающих</w:t>
      </w:r>
      <w:r>
        <w:t xml:space="preserve"> регулирующее влияние на обмен веществ и железы внутренней секреции[2]. </w:t>
      </w:r>
    </w:p>
    <w:p w:rsidR="002C0F56" w:rsidRDefault="00E67C6E">
      <w:pPr>
        <w:ind w:left="994" w:right="302"/>
      </w:pPr>
      <w:r>
        <w:t xml:space="preserve">В занятие включают ходьбу и бег (сочетание бега, ходьбы и дыхательных упражнений), общеразвивающие, дыхательные упражнения, занятия на тренажеpax, подвижные игры. </w:t>
      </w:r>
    </w:p>
    <w:p w:rsidR="002C0F56" w:rsidRDefault="00E67C6E">
      <w:pPr>
        <w:spacing w:after="0"/>
        <w:ind w:left="994" w:right="302"/>
      </w:pPr>
      <w:r>
        <w:t>Для студентов с бол</w:t>
      </w:r>
      <w:r>
        <w:t xml:space="preserve">езнями суставов (По данным всемирной организации здравоохранения, каждый пятый житель планеты имеет нарушение функций суставов или предъявляет жалобы на боли в них). Из многочисленных заболеваний суставов наиболее распространены воспалительные заболевания </w:t>
      </w:r>
      <w:r>
        <w:t xml:space="preserve">(артриты) и дегенеративные (артрозы). Это касается и наших студентов. </w:t>
      </w:r>
    </w:p>
    <w:p w:rsidR="002C0F56" w:rsidRDefault="00E67C6E">
      <w:pPr>
        <w:ind w:left="994" w:right="302"/>
      </w:pPr>
      <w:r>
        <w:t>Под влиянием физических упражнений активизируется деятельность сердечнососудистой, дыхательной систем, нервно-мышечного аппарата, нормализуется обмен веществ, улучшается подвижность в с</w:t>
      </w:r>
      <w:r>
        <w:t xml:space="preserve">уставе, увеличивается сила мышц, исчезает боль. </w:t>
      </w:r>
    </w:p>
    <w:p w:rsidR="002C0F56" w:rsidRDefault="00E67C6E">
      <w:pPr>
        <w:spacing w:after="11"/>
        <w:ind w:left="994" w:right="302"/>
      </w:pPr>
      <w:r>
        <w:t xml:space="preserve">Активные движения следует выполнять в облегченных условиях (в положении лежа, на четвереньках, сидя, в висах и др.). Выполнение упражнений не должно сопровождаться болевыми ощущениями. </w:t>
      </w:r>
    </w:p>
    <w:p w:rsidR="002C0F56" w:rsidRDefault="00E67C6E">
      <w:pPr>
        <w:spacing w:after="0"/>
        <w:ind w:left="994" w:right="302"/>
      </w:pPr>
      <w:r>
        <w:t>При артритах в заняти</w:t>
      </w:r>
      <w:r>
        <w:t>е включают ходьбу, общеразвивающие и дыхательные упражнения, упражнения со снарядами (мячами, палками) в положении лежа и сидя, подвижные игры (или элементы спортивных игр). Исключаются прыжки, подскоки (многоскоки), упражнения с гантелями, гирями в положе</w:t>
      </w:r>
      <w:r>
        <w:t xml:space="preserve">нии стоя. </w:t>
      </w:r>
    </w:p>
    <w:p w:rsidR="002C0F56" w:rsidRDefault="00E67C6E">
      <w:pPr>
        <w:ind w:left="994" w:right="302"/>
      </w:pPr>
      <w:r>
        <w:t xml:space="preserve">При артрозах показаны занятия на тренажерах. Кроме того, в занятие включают подвижные игры (или элементы спортивных игр), ходьбу. </w:t>
      </w:r>
    </w:p>
    <w:p w:rsidR="002C0F56" w:rsidRDefault="00E67C6E">
      <w:pPr>
        <w:ind w:left="994" w:right="302"/>
      </w:pPr>
      <w:r>
        <w:t>Для студентов с заболеванием зрительного аппарата, а именно Миопия (близорукость) В настоящее время близоруких сре</w:t>
      </w:r>
      <w:r>
        <w:t xml:space="preserve">ди студентов составляет — 30—40%. У девушек этот показатель выше, из-за меньшей двигательной активности[2].  </w:t>
      </w:r>
    </w:p>
    <w:p w:rsidR="002C0F56" w:rsidRDefault="00E67C6E">
      <w:pPr>
        <w:ind w:left="994" w:right="302"/>
      </w:pPr>
      <w:r>
        <w:lastRenderedPageBreak/>
        <w:t>В зависимости от степени близорукости не показаны упражнения на поднятие тяжестей (штанги, гири и пр.), прыжковые упражнения в  этом случае показа</w:t>
      </w:r>
      <w:r>
        <w:t xml:space="preserve">ны ходьба, медленные бег. </w:t>
      </w:r>
    </w:p>
    <w:p w:rsidR="002C0F56" w:rsidRDefault="00E67C6E">
      <w:pPr>
        <w:ind w:left="994" w:right="302"/>
      </w:pPr>
      <w:r>
        <w:t xml:space="preserve">В процессе занятий постоянно контролируется внешние признаки утомляемости студентов, так же ведется контроль за пульсом, дыханием, цветом кожи и общим состоянием студента.  </w:t>
      </w:r>
    </w:p>
    <w:p w:rsidR="002C0F56" w:rsidRDefault="00E67C6E">
      <w:pPr>
        <w:ind w:left="1558" w:right="302" w:firstLine="0"/>
      </w:pPr>
      <w:r>
        <w:t xml:space="preserve">3. Схема занятия в специальных медицинских группах. </w:t>
      </w:r>
    </w:p>
    <w:p w:rsidR="002C0F56" w:rsidRDefault="00E67C6E">
      <w:pPr>
        <w:ind w:left="994" w:right="302"/>
      </w:pPr>
      <w:r>
        <w:t>За</w:t>
      </w:r>
      <w:r>
        <w:t xml:space="preserve">нятие в специальной медицинской группе строится по стандартной схеме: подготовительная, основная и заключительная части. </w:t>
      </w:r>
    </w:p>
    <w:p w:rsidR="002C0F56" w:rsidRDefault="00E67C6E">
      <w:pPr>
        <w:ind w:left="994" w:right="302"/>
      </w:pPr>
      <w:r>
        <w:t>В подготовительной части занятия (до 20 мин) выполняются общеразвивающие упражнения (в медленном и среднем темпе), чередуясь с дыхательными упражнениями. Нагрузка повышается постепенно; применяются такие упражнения, которые обеспечивают подготовку всех орг</w:t>
      </w:r>
      <w:r>
        <w:t xml:space="preserve">анов и систем к выполнению основной части занятия. В этой части занятия не следует использовать много новых упражнений, а также интенсивные нагрузки. </w:t>
      </w:r>
    </w:p>
    <w:p w:rsidR="002C0F56" w:rsidRDefault="00E67C6E">
      <w:pPr>
        <w:spacing w:after="11"/>
        <w:ind w:left="994" w:right="302"/>
      </w:pPr>
      <w:r>
        <w:t>В основной части занятия (20-30 мин) занимающиеся овладевают основными двигательными навыками получают оп</w:t>
      </w:r>
      <w:r>
        <w:t xml:space="preserve">ределенную для них максимальную физическую нагрузку, испытывают эмоциональное напряжение. </w:t>
      </w:r>
    </w:p>
    <w:p w:rsidR="002C0F56" w:rsidRDefault="00E67C6E">
      <w:pPr>
        <w:spacing w:after="2"/>
        <w:ind w:left="994" w:right="302"/>
      </w:pPr>
      <w:r>
        <w:t>Подбор упражнений в этой части занятия предусматривает решение ряда задач: овладение простейшими двигательными навыками, разностороннее развитие (в пределах возможно</w:t>
      </w:r>
      <w:r>
        <w:t xml:space="preserve">стей занимающихся) основных физических качеств: быстроты, силы, выносливости, ловкости. </w:t>
      </w:r>
    </w:p>
    <w:p w:rsidR="002C0F56" w:rsidRDefault="00E67C6E">
      <w:pPr>
        <w:ind w:left="994" w:right="302"/>
      </w:pPr>
      <w:r>
        <w:t xml:space="preserve">Большое внимание уделяется развитию гибкости и улучшению координации движений. </w:t>
      </w:r>
    </w:p>
    <w:p w:rsidR="002C0F56" w:rsidRDefault="00E67C6E">
      <w:pPr>
        <w:ind w:left="994" w:right="302"/>
      </w:pPr>
      <w:r>
        <w:t>В заключительной части занятия (15-20 мин) используются упражнения, восстанавливающие о</w:t>
      </w:r>
      <w:r>
        <w:t xml:space="preserve">рганизм после физической нагрузки (ходьба, дыхательные упражнения, упражнения на расслабление и др.) а так же подвижные игры, элементы спортивных игр, тренинги. </w:t>
      </w:r>
    </w:p>
    <w:p w:rsidR="002C0F56" w:rsidRDefault="00E67C6E">
      <w:pPr>
        <w:ind w:left="1558" w:right="302" w:firstLine="0"/>
      </w:pPr>
      <w:r>
        <w:t xml:space="preserve">4. Что касается планирования, учета и контроля учебного процесса. </w:t>
      </w:r>
    </w:p>
    <w:p w:rsidR="002C0F56" w:rsidRDefault="00E67C6E">
      <w:pPr>
        <w:ind w:left="994" w:right="302"/>
      </w:pPr>
      <w:r>
        <w:t>Планирование учебного проце</w:t>
      </w:r>
      <w:r>
        <w:t xml:space="preserve">сса в специальных медицинских группах осуществляется из расчета – 144 часа в год. Занятия по физическому воспитанию проводятся согласно рабочему учебному плану. </w:t>
      </w:r>
    </w:p>
    <w:p w:rsidR="002C0F56" w:rsidRDefault="00E67C6E">
      <w:pPr>
        <w:ind w:left="994" w:right="302"/>
      </w:pPr>
      <w:r>
        <w:t>Критерием успешности усвоения учебного материала студентами является положительная динамика фи</w:t>
      </w:r>
      <w:r>
        <w:t xml:space="preserve">зического состояния. </w:t>
      </w:r>
    </w:p>
    <w:p w:rsidR="002C0F56" w:rsidRDefault="00E67C6E">
      <w:pPr>
        <w:ind w:left="994" w:right="302"/>
      </w:pPr>
      <w:r>
        <w:t xml:space="preserve">Для объективной оценки учебной деятельности студента зачетные требования дифференцируются следующим образом: </w:t>
      </w:r>
    </w:p>
    <w:p w:rsidR="002C0F56" w:rsidRDefault="00E67C6E">
      <w:pPr>
        <w:numPr>
          <w:ilvl w:val="0"/>
          <w:numId w:val="195"/>
        </w:numPr>
        <w:ind w:right="302"/>
      </w:pPr>
      <w:r>
        <w:t xml:space="preserve">посещение занятий и работа на занятии. </w:t>
      </w:r>
    </w:p>
    <w:p w:rsidR="002C0F56" w:rsidRDefault="00E67C6E">
      <w:pPr>
        <w:numPr>
          <w:ilvl w:val="0"/>
          <w:numId w:val="195"/>
        </w:numPr>
        <w:ind w:right="302"/>
      </w:pPr>
      <w:r>
        <w:lastRenderedPageBreak/>
        <w:t>выполнение студентами практических заданий по организации и проведению учебных и сам</w:t>
      </w:r>
      <w:r>
        <w:t xml:space="preserve">остоятельных занятий физическими упражнениями; </w:t>
      </w:r>
    </w:p>
    <w:p w:rsidR="002C0F56" w:rsidRDefault="00E67C6E">
      <w:pPr>
        <w:numPr>
          <w:ilvl w:val="0"/>
          <w:numId w:val="195"/>
        </w:numPr>
        <w:ind w:right="302"/>
      </w:pPr>
      <w:r>
        <w:t xml:space="preserve">тестирования физической подготовленности по развитию физических качеств и овладению двигательными способностями в виде контрольных нормативов; </w:t>
      </w:r>
    </w:p>
    <w:p w:rsidR="002C0F56" w:rsidRDefault="00E67C6E">
      <w:pPr>
        <w:numPr>
          <w:ilvl w:val="0"/>
          <w:numId w:val="195"/>
        </w:numPr>
        <w:spacing w:after="12"/>
        <w:ind w:right="302"/>
      </w:pPr>
      <w:r>
        <w:t>учитываются помощь студентов в участии и организации соревновани</w:t>
      </w:r>
      <w:r>
        <w:t xml:space="preserve">й. </w:t>
      </w:r>
    </w:p>
    <w:p w:rsidR="002C0F56" w:rsidRDefault="00E67C6E">
      <w:pPr>
        <w:ind w:left="994" w:right="302"/>
      </w:pPr>
      <w:r>
        <w:t xml:space="preserve">Для студентов, освобожденных от любой физической нагрузки по медицинским показаниям дается на выбор тема реферат к рубежному контролю.  </w:t>
      </w:r>
    </w:p>
    <w:p w:rsidR="002C0F56" w:rsidRDefault="00E67C6E">
      <w:pPr>
        <w:spacing w:after="0"/>
        <w:ind w:left="994" w:right="302"/>
      </w:pPr>
      <w:r>
        <w:t>В целях быстрого восстановления работоспособности студента, имеющего нарушения в состоянии здоровья необходимо чере</w:t>
      </w:r>
      <w:r>
        <w:t xml:space="preserve">дование занятий физическими упражнениями с умственным трудом в связи с наличием у них повышенной утомляемости организма, ослабленного различными заболеваниями. </w:t>
      </w:r>
    </w:p>
    <w:p w:rsidR="002C0F56" w:rsidRDefault="00E67C6E">
      <w:pPr>
        <w:ind w:left="994" w:right="302"/>
      </w:pPr>
      <w:r>
        <w:t xml:space="preserve">5. На основании создания специальных медицинских групп можно сделать следующие выводы: </w:t>
      </w:r>
    </w:p>
    <w:p w:rsidR="002C0F56" w:rsidRDefault="00E67C6E">
      <w:pPr>
        <w:numPr>
          <w:ilvl w:val="0"/>
          <w:numId w:val="196"/>
        </w:numPr>
        <w:ind w:right="302"/>
      </w:pPr>
      <w:r>
        <w:t>Лечебна</w:t>
      </w:r>
      <w:r>
        <w:t>я физическая культура – эффективное средство лечения и профилактики различных заболеваний у студентов отнесенных к специальной медицинской группе Она ведет к улучшению  физического состояния повышает самооценку, дает уверенность в себе, что положительно ск</w:t>
      </w:r>
      <w:r>
        <w:t xml:space="preserve">азывается на эффективности обучения и последующей профессиональной деятельности. </w:t>
      </w:r>
    </w:p>
    <w:p w:rsidR="002C0F56" w:rsidRDefault="00E67C6E">
      <w:pPr>
        <w:numPr>
          <w:ilvl w:val="0"/>
          <w:numId w:val="196"/>
        </w:numPr>
        <w:ind w:right="302"/>
      </w:pPr>
      <w:r>
        <w:t>Лечебная физическая культура воспитывает сознательное отношение к использованию физических упражнений, прививает гигиенические навыки, приобщает к закаливанию организма естес</w:t>
      </w:r>
      <w:r>
        <w:t xml:space="preserve">твенными факторами природы. </w:t>
      </w:r>
    </w:p>
    <w:p w:rsidR="002C0F56" w:rsidRDefault="00E67C6E">
      <w:pPr>
        <w:numPr>
          <w:ilvl w:val="0"/>
          <w:numId w:val="196"/>
        </w:numPr>
        <w:ind w:right="302"/>
      </w:pPr>
      <w:r>
        <w:t xml:space="preserve">Для различных заболеваний используются различные методики занятий и контроля нагрузок. </w:t>
      </w:r>
    </w:p>
    <w:p w:rsidR="002C0F56" w:rsidRDefault="00E67C6E">
      <w:pPr>
        <w:numPr>
          <w:ilvl w:val="0"/>
          <w:numId w:val="196"/>
        </w:numPr>
        <w:ind w:right="302"/>
      </w:pPr>
      <w:r>
        <w:t>Создание специальных медицинских групп решит проблему занятости студентов во время учебного процесса, то есть студенты с ослабленным здоровьем тоже будут иметь возможность получать определенную физическую нагрузку, а не напрасно прогуливать время, ожидая с</w:t>
      </w:r>
      <w:r>
        <w:t xml:space="preserve">ледующее занятие. </w:t>
      </w:r>
    </w:p>
    <w:p w:rsidR="002C0F56" w:rsidRDefault="00E67C6E">
      <w:pPr>
        <w:numPr>
          <w:ilvl w:val="0"/>
          <w:numId w:val="196"/>
        </w:numPr>
        <w:spacing w:after="10"/>
        <w:ind w:right="302"/>
      </w:pPr>
      <w:r>
        <w:t xml:space="preserve">Студенты с ослабленным здоровьем будут иметь представление о физической культуре и о лечебной физической культуре, и применять физические упражнения исходя из своего заболевания в дальнейшем в жизни. </w:t>
      </w:r>
    </w:p>
    <w:p w:rsidR="002C0F56" w:rsidRDefault="00E67C6E">
      <w:pPr>
        <w:spacing w:after="0" w:line="259" w:lineRule="auto"/>
        <w:ind w:left="1558" w:firstLine="0"/>
        <w:jc w:val="left"/>
      </w:pPr>
      <w:r>
        <w:t xml:space="preserve"> </w:t>
      </w:r>
    </w:p>
    <w:p w:rsidR="002C0F56" w:rsidRDefault="00E67C6E">
      <w:pPr>
        <w:spacing w:after="30" w:line="259" w:lineRule="auto"/>
        <w:ind w:left="1558" w:firstLine="0"/>
        <w:jc w:val="left"/>
      </w:pPr>
      <w:r>
        <w:t xml:space="preserve"> </w:t>
      </w:r>
    </w:p>
    <w:p w:rsidR="002C0F56" w:rsidRDefault="00E67C6E">
      <w:pPr>
        <w:pStyle w:val="1"/>
        <w:spacing w:after="25" w:line="259" w:lineRule="auto"/>
        <w:ind w:right="308"/>
        <w:jc w:val="right"/>
      </w:pPr>
      <w:r>
        <w:t xml:space="preserve">Полешук Т.А. </w:t>
      </w:r>
      <w:r>
        <w:rPr>
          <w:b w:val="0"/>
        </w:rPr>
        <w:t>Научный руководител</w:t>
      </w:r>
      <w:r>
        <w:rPr>
          <w:b w:val="0"/>
        </w:rPr>
        <w:t xml:space="preserve">ь: Онищук А.В. </w:t>
      </w:r>
    </w:p>
    <w:p w:rsidR="002C0F56" w:rsidRDefault="00E67C6E">
      <w:pPr>
        <w:spacing w:after="0" w:line="267" w:lineRule="auto"/>
        <w:ind w:left="905" w:right="310" w:hanging="10"/>
        <w:jc w:val="right"/>
      </w:pPr>
      <w:r>
        <w:rPr>
          <w:i/>
        </w:rPr>
        <w:t xml:space="preserve">Полесский государственный университет </w:t>
      </w:r>
    </w:p>
    <w:p w:rsidR="002C0F56" w:rsidRDefault="00E67C6E">
      <w:pPr>
        <w:spacing w:after="29" w:line="259" w:lineRule="auto"/>
        <w:ind w:left="1558" w:firstLine="0"/>
        <w:jc w:val="left"/>
      </w:pPr>
      <w:r>
        <w:rPr>
          <w:i/>
        </w:rPr>
        <w:t xml:space="preserve"> </w:t>
      </w:r>
    </w:p>
    <w:p w:rsidR="002C0F56" w:rsidRDefault="00E67C6E">
      <w:pPr>
        <w:pStyle w:val="1"/>
        <w:ind w:left="700" w:right="5"/>
      </w:pPr>
      <w:r>
        <w:lastRenderedPageBreak/>
        <w:t xml:space="preserve">МЕТОДОЛОГИЯ ВНЕДРЕНИЯ РИСК-МЕНЕДЖМЕНТА НА ПРЕДПРИЯТИИ </w:t>
      </w:r>
    </w:p>
    <w:p w:rsidR="002C0F56" w:rsidRDefault="00E67C6E">
      <w:pPr>
        <w:spacing w:after="0" w:line="259" w:lineRule="auto"/>
        <w:ind w:left="1558" w:firstLine="0"/>
        <w:jc w:val="left"/>
      </w:pPr>
      <w:r>
        <w:rPr>
          <w:b/>
        </w:rPr>
        <w:t xml:space="preserve"> </w:t>
      </w:r>
    </w:p>
    <w:p w:rsidR="002C0F56" w:rsidRDefault="00E67C6E">
      <w:pPr>
        <w:spacing w:after="2"/>
        <w:ind w:left="994" w:right="302"/>
      </w:pPr>
      <w:r>
        <w:t xml:space="preserve">Необходимость внедрения в корпоративное управление интегрированных систем  управления  рисками  обусловлена,  в  первую  очередь,  следующими </w:t>
      </w:r>
      <w:r>
        <w:t>факторами: резкое разрастание спектра рисков;  изменение отношения  к  весомости  риска.  Компании  стали  уделять  больше  внимания управлению рисками.  Увеличение статуса риск-менеджмента на организационном уровне; необходимость полномасштабной стратегии</w:t>
      </w:r>
      <w:r>
        <w:t xml:space="preserve"> управления рисками в отношении технической, экономической, политической, правовой и экологической  составляющей  риска;  возможность  привлечения  западных  партнёров  в отечественный  инвестиционный  процесс  —  всё  это  вынуждает компании использовать </w:t>
      </w:r>
      <w:r>
        <w:t>для оценки инвестиционных  проектов весь спектр рисков,  методы  управления  которыми  приемлемы  в  международной  практике. Данный процесс требует перестройки всех уровней корпоративного управления с целью создания риск-ориентированной модели корпоративн</w:t>
      </w:r>
      <w:r>
        <w:t xml:space="preserve">ого управления. </w:t>
      </w:r>
    </w:p>
    <w:p w:rsidR="002C0F56" w:rsidRDefault="00E67C6E">
      <w:pPr>
        <w:spacing w:after="2"/>
        <w:ind w:left="994" w:right="302"/>
      </w:pPr>
      <w:r>
        <w:t xml:space="preserve">Современная концепция корпоративного управления в  компаниях реального  сектора  экономики объединяет усилия аудиторов и директоров и направлена не на снижение  уровня  риска,  а  на  формирование  потенциала  роста  стоимости  компании  с  учётом риска.  </w:t>
      </w:r>
      <w:r>
        <w:t xml:space="preserve"> </w:t>
      </w:r>
    </w:p>
    <w:p w:rsidR="002C0F56" w:rsidRDefault="00E67C6E">
      <w:pPr>
        <w:ind w:left="994" w:right="302"/>
      </w:pPr>
      <w:r>
        <w:t xml:space="preserve">Выделим  основные принципы организации эффективного корпоративного управления: </w:t>
      </w:r>
    </w:p>
    <w:p w:rsidR="002C0F56" w:rsidRDefault="00E67C6E">
      <w:pPr>
        <w:numPr>
          <w:ilvl w:val="0"/>
          <w:numId w:val="197"/>
        </w:numPr>
        <w:ind w:right="302"/>
      </w:pPr>
      <w:r>
        <w:t xml:space="preserve">Ключевые компетенции: компания должна иметь в штате сотрудников, которые  обладают  достаточными  знаниями,  компетенциями  и  опытом  для  решения возложенных на них задач. </w:t>
      </w:r>
    </w:p>
    <w:p w:rsidR="002C0F56" w:rsidRDefault="00E67C6E">
      <w:pPr>
        <w:numPr>
          <w:ilvl w:val="0"/>
          <w:numId w:val="197"/>
        </w:numPr>
        <w:ind w:right="302"/>
      </w:pPr>
      <w:r>
        <w:t xml:space="preserve">Ресурсы и процессы: компания должна обладать достаточным объёмом ресурсов или возможностью их мобилизации с целью реализации всех  текущих и  стратегических  задач. </w:t>
      </w:r>
    </w:p>
    <w:p w:rsidR="002C0F56" w:rsidRDefault="00E67C6E">
      <w:pPr>
        <w:numPr>
          <w:ilvl w:val="0"/>
          <w:numId w:val="197"/>
        </w:numPr>
        <w:spacing w:after="10"/>
        <w:ind w:right="302"/>
      </w:pPr>
      <w:r>
        <w:t>Непрерывность образования и развития:  наличие  возможности ключевых и рядовых сотруднико</w:t>
      </w:r>
      <w:r>
        <w:t xml:space="preserve">в осуществлять непрерывное повышение квалификации в соответствии с поставленными перед ними задачами. </w:t>
      </w:r>
    </w:p>
    <w:p w:rsidR="002C0F56" w:rsidRDefault="00E67C6E">
      <w:pPr>
        <w:numPr>
          <w:ilvl w:val="0"/>
          <w:numId w:val="197"/>
        </w:numPr>
        <w:ind w:right="302"/>
      </w:pPr>
      <w:r>
        <w:t xml:space="preserve">Компенсации и вознаграждения: оплата труда сотрудников происходит адекватно затраченным усилиям и получаемым банком доходам. </w:t>
      </w:r>
    </w:p>
    <w:p w:rsidR="002C0F56" w:rsidRDefault="00E67C6E">
      <w:pPr>
        <w:numPr>
          <w:ilvl w:val="0"/>
          <w:numId w:val="197"/>
        </w:numPr>
        <w:spacing w:after="9"/>
        <w:ind w:right="302"/>
      </w:pPr>
      <w:r>
        <w:t>Регулярное  проведение  вне</w:t>
      </w:r>
      <w:r>
        <w:t xml:space="preserve">шних  проверок  работы  инвестиционного банка  с  целью  определения  эффективных  и  целесообразных  направлений  деятельности. </w:t>
      </w:r>
    </w:p>
    <w:p w:rsidR="002C0F56" w:rsidRDefault="00E67C6E">
      <w:pPr>
        <w:numPr>
          <w:ilvl w:val="0"/>
          <w:numId w:val="197"/>
        </w:numPr>
        <w:ind w:right="302"/>
      </w:pPr>
      <w:r>
        <w:t>Чёткость  и  иерархия  ответственности:  обязанности  ключевых  и  рядовых сотрудников на всех уровнях должны быть чётко опред</w:t>
      </w:r>
      <w:r>
        <w:t xml:space="preserve">елены. </w:t>
      </w:r>
    </w:p>
    <w:p w:rsidR="002C0F56" w:rsidRDefault="00E67C6E">
      <w:pPr>
        <w:spacing w:after="11"/>
        <w:ind w:left="994" w:right="302"/>
      </w:pPr>
      <w:r>
        <w:t xml:space="preserve">Корпоративное  управление,  организованное  в  соответствии  с  данными принципами,  позволит  сформировать  конкурентоспособное  предприятие  с  репутацией надёжного партнёра.  </w:t>
      </w:r>
    </w:p>
    <w:p w:rsidR="002C0F56" w:rsidRDefault="00E67C6E">
      <w:pPr>
        <w:spacing w:after="7"/>
        <w:ind w:left="994" w:right="302"/>
      </w:pPr>
      <w:r>
        <w:lastRenderedPageBreak/>
        <w:t>Однако  существующие  стандарты  в  большинстве  своём  разработаны в</w:t>
      </w:r>
      <w:r>
        <w:t xml:space="preserve">нутренними аудиторами и в соответствии с требованиями ведущих фондовых бирж.  Для многих компаний методология риск-менеджмента будет направленна не столько на соответствие внешним регламентам, сколько на внедрение процессов  внутреннего  контроля, а также </w:t>
      </w:r>
      <w:r>
        <w:t xml:space="preserve">на  управление следующими показателями  с  учетом  риска:  NOPAT,  FCF,  company  Market  Value,  Book Valueor  Carrying  Value.  Предпочтения  менеджмента  при  выборе  показателей под риском продемонстрированы на рис. 1. </w:t>
      </w:r>
    </w:p>
    <w:p w:rsidR="002C0F56" w:rsidRDefault="00E67C6E">
      <w:pPr>
        <w:spacing w:after="0" w:line="259" w:lineRule="auto"/>
        <w:ind w:left="1558" w:firstLine="0"/>
        <w:jc w:val="left"/>
      </w:pPr>
      <w:r>
        <w:t xml:space="preserve"> </w:t>
      </w:r>
    </w:p>
    <w:p w:rsidR="002C0F56" w:rsidRDefault="00E67C6E">
      <w:pPr>
        <w:spacing w:after="0" w:line="259" w:lineRule="auto"/>
        <w:ind w:left="1541" w:firstLine="0"/>
        <w:jc w:val="left"/>
      </w:pPr>
      <w:r>
        <w:rPr>
          <w:noProof/>
        </w:rPr>
        <w:drawing>
          <wp:inline distT="0" distB="0" distL="0" distR="0">
            <wp:extent cx="5572125" cy="2368550"/>
            <wp:effectExtent l="0" t="0" r="0" b="0"/>
            <wp:docPr id="66769" name="Picture 66769"/>
            <wp:cNvGraphicFramePr/>
            <a:graphic xmlns:a="http://schemas.openxmlformats.org/drawingml/2006/main">
              <a:graphicData uri="http://schemas.openxmlformats.org/drawingml/2006/picture">
                <pic:pic xmlns:pic="http://schemas.openxmlformats.org/drawingml/2006/picture">
                  <pic:nvPicPr>
                    <pic:cNvPr id="66769" name="Picture 66769"/>
                    <pic:cNvPicPr/>
                  </pic:nvPicPr>
                  <pic:blipFill>
                    <a:blip r:embed="rId1217"/>
                    <a:stretch>
                      <a:fillRect/>
                    </a:stretch>
                  </pic:blipFill>
                  <pic:spPr>
                    <a:xfrm>
                      <a:off x="0" y="0"/>
                      <a:ext cx="5572125" cy="2368550"/>
                    </a:xfrm>
                    <a:prstGeom prst="rect">
                      <a:avLst/>
                    </a:prstGeom>
                  </pic:spPr>
                </pic:pic>
              </a:graphicData>
            </a:graphic>
          </wp:inline>
        </w:drawing>
      </w:r>
    </w:p>
    <w:p w:rsidR="002C0F56" w:rsidRDefault="00E67C6E">
      <w:pPr>
        <w:spacing w:after="0" w:line="259" w:lineRule="auto"/>
        <w:ind w:left="1558" w:firstLine="0"/>
        <w:jc w:val="left"/>
      </w:pPr>
      <w:r>
        <w:t xml:space="preserve"> </w:t>
      </w:r>
    </w:p>
    <w:p w:rsidR="002C0F56" w:rsidRDefault="00E67C6E">
      <w:pPr>
        <w:spacing w:after="5" w:line="271" w:lineRule="auto"/>
        <w:ind w:left="2074" w:right="396" w:hanging="10"/>
        <w:jc w:val="left"/>
      </w:pPr>
      <w:r>
        <w:rPr>
          <w:b/>
          <w:sz w:val="24"/>
        </w:rPr>
        <w:t>Рис.1. Предпочтения менедж</w:t>
      </w:r>
      <w:r>
        <w:rPr>
          <w:b/>
          <w:sz w:val="24"/>
        </w:rPr>
        <w:t xml:space="preserve">мента  при  выборе  показателей под риском </w:t>
      </w:r>
    </w:p>
    <w:p w:rsidR="002C0F56" w:rsidRDefault="00E67C6E">
      <w:pPr>
        <w:spacing w:after="0" w:line="259" w:lineRule="auto"/>
        <w:ind w:left="1558" w:firstLine="0"/>
        <w:jc w:val="left"/>
      </w:pPr>
      <w:r>
        <w:t xml:space="preserve"> </w:t>
      </w:r>
    </w:p>
    <w:p w:rsidR="002C0F56" w:rsidRDefault="00E67C6E">
      <w:pPr>
        <w:spacing w:after="3"/>
        <w:ind w:left="994" w:right="302"/>
      </w:pPr>
      <w:r>
        <w:t>Очевидно,  что  снизить  корпоративные  риски  до  нуля  невозможно,  и  зачастую это не является основной целью риск-менеджмента в компании. Помимо этого, приближение к нулевому значению требует высоких затрат</w:t>
      </w:r>
      <w:r>
        <w:t xml:space="preserve"> на мероприятия  по  элиминированию  рисков.  Следовательно,  необходимо  выбирать наиболее  оптимальный  вариант  соотношения  «риск-доходность», и выбор этот обусловлен конкретными стратегиями компании. </w:t>
      </w:r>
    </w:p>
    <w:p w:rsidR="002C0F56" w:rsidRDefault="00E67C6E">
      <w:pPr>
        <w:ind w:left="994" w:right="302"/>
      </w:pPr>
      <w:r>
        <w:t>Развитие  риск-</w:t>
      </w:r>
      <w:r>
        <w:t>менеджмента  условно  можно  поделить  на  три  этапа: риск-менеджмент  в  качестве  функции  отдела  стратегического  управления; применение подхода «снизу-вверх», при котором все виды рисков управлялись отдельно; комплексная система корпоративного управл</w:t>
      </w:r>
      <w:r>
        <w:t xml:space="preserve">ения рисками.  </w:t>
      </w:r>
    </w:p>
    <w:p w:rsidR="002C0F56" w:rsidRDefault="00E67C6E">
      <w:pPr>
        <w:ind w:left="994" w:right="302"/>
      </w:pPr>
      <w:r>
        <w:t xml:space="preserve">Менеджмент компаний зачастую не обладает развитым  инструментарием,  информационным  и  материальным  обеспечением для внедрения систем управления риском в работу в силу следующих причин:  </w:t>
      </w:r>
    </w:p>
    <w:p w:rsidR="002C0F56" w:rsidRDefault="00E67C6E">
      <w:pPr>
        <w:numPr>
          <w:ilvl w:val="0"/>
          <w:numId w:val="198"/>
        </w:numPr>
        <w:ind w:right="302"/>
      </w:pPr>
      <w:r>
        <w:t>Отсутствие  нормативного  и  методического  обеспе</w:t>
      </w:r>
      <w:r>
        <w:t xml:space="preserve">чения  рискменеджмента  внутри  компании,  которое  должно  стать  основой  долгосрочной политики управления рисками.  </w:t>
      </w:r>
    </w:p>
    <w:p w:rsidR="002C0F56" w:rsidRDefault="00E67C6E">
      <w:pPr>
        <w:numPr>
          <w:ilvl w:val="0"/>
          <w:numId w:val="198"/>
        </w:numPr>
        <w:ind w:right="302"/>
      </w:pPr>
      <w:r>
        <w:lastRenderedPageBreak/>
        <w:t xml:space="preserve">Нехватка квалифицированных риск-менеджеров и сотрудников, имеющих опыт и необходимое образование по управлению рисками . </w:t>
      </w:r>
    </w:p>
    <w:p w:rsidR="002C0F56" w:rsidRDefault="00E67C6E">
      <w:pPr>
        <w:numPr>
          <w:ilvl w:val="0"/>
          <w:numId w:val="198"/>
        </w:numPr>
        <w:ind w:right="302"/>
      </w:pPr>
      <w:r>
        <w:t>Высокие  затра</w:t>
      </w:r>
      <w:r>
        <w:t xml:space="preserve">ты  на  внедрение.  По  некоторым  оценкам,  затраты  на внедрение  риск-менеджмента  в  работу  крупной  компании  составляют  до  500 тыс. долларов США.  </w:t>
      </w:r>
    </w:p>
    <w:p w:rsidR="002C0F56" w:rsidRDefault="00E67C6E">
      <w:pPr>
        <w:spacing w:after="5"/>
        <w:ind w:left="994" w:right="302"/>
      </w:pPr>
      <w:r>
        <w:t>В настоящее время  в качестве  основы  для построения системы  управления корпоративными рисками, к</w:t>
      </w:r>
      <w:r>
        <w:t>ак правило, используется один из действующих стандартов  управления  рисками: Стандарт  управления  рисками  Австралии  и Новой  Зеландии  AS/NZS  4360:2004,  стандарт  управления  рисками  IRM,  AIRMICALARM,  управление  рисками  организации  —  интегриро</w:t>
      </w:r>
      <w:r>
        <w:t xml:space="preserve">ванная  схема ERM, Базель II,III, ISO/IEC 31010:2009.  </w:t>
      </w:r>
    </w:p>
    <w:p w:rsidR="002C0F56" w:rsidRDefault="00E67C6E">
      <w:pPr>
        <w:spacing w:after="10"/>
        <w:ind w:left="994" w:right="302"/>
      </w:pPr>
      <w:r>
        <w:t xml:space="preserve">В  практическом  использовании  эти  стандарты  дополняют  друг  друга  и представляют собой общее руководство, применимое к любой компании в любой сфере деятельности.  </w:t>
      </w:r>
    </w:p>
    <w:p w:rsidR="002C0F56" w:rsidRDefault="00E67C6E">
      <w:pPr>
        <w:spacing w:after="7"/>
        <w:ind w:left="994" w:right="302"/>
      </w:pPr>
      <w:r>
        <w:t>Помимо этого, все представленн</w:t>
      </w:r>
      <w:r>
        <w:t>ые стандарты разработаны зарубежными экспертами  для  работы  в  условиях  западного  рынка.  Однако применению  западных  стандартов  в белорусских  условиях препятствует низкая информационная насыщенность инфраструктуры бизнеса; отсутствие формализации б</w:t>
      </w:r>
      <w:r>
        <w:t xml:space="preserve">изнес-процессов и основных процедур текущей деятельности компаний; специфичность техник управления, принятых  в  компаниях;  недостаток  современных  техник  управления  и  кадровый дефицит в области риск-менеджмента.  </w:t>
      </w:r>
    </w:p>
    <w:p w:rsidR="002C0F56" w:rsidRDefault="00E67C6E">
      <w:pPr>
        <w:ind w:left="994" w:right="302"/>
      </w:pPr>
      <w:r>
        <w:t>Помимо этого, все представленные ста</w:t>
      </w:r>
      <w:r>
        <w:t>ндарты и рекомендуемые ими методики оценки и  выявления рисков основываются на применении совершенно разных количественных методов, которые зачастую невозможно индивидуализировать  под  конкретный  экономический  субъект.  В  связи  с  этим при  организаци</w:t>
      </w:r>
      <w:r>
        <w:t xml:space="preserve">и  и  постановке  риск-менеджмента  на  предприятии,  целесообразно применять качественные методы оценки с целью определения рисков  с  позиции  их  значимости  для  каждой  конкретной  компании. </w:t>
      </w:r>
    </w:p>
    <w:p w:rsidR="002C0F56" w:rsidRDefault="00E67C6E">
      <w:pPr>
        <w:ind w:left="994" w:right="302"/>
      </w:pPr>
      <w:r>
        <w:t>В целом, система риск-менеджмента, как и любая другая систе</w:t>
      </w:r>
      <w:r>
        <w:t>ма управления, основана на трех базисных компонентах  —  анализе, прогнозировании и контроле —  и включает в себя стратегию и тактику рискменеджмента. Стратегия управления  рисками определяет  основные направления риск-менеджмента  и базируется на соблюден</w:t>
      </w:r>
      <w:r>
        <w:t>ии принципа безубыточности деятельности и направлена  на  обеспечение  оптимального  соотношения  между  прибыльностью  и уровнем  принимаемых организацией  рисков.  Тактика  управления  заключается в конкретных приёмах и методах для достижения поставленно</w:t>
      </w:r>
      <w:r>
        <w:t xml:space="preserve">й цели в определённых  условиях.  Задача  тактики  заключается  в  выборе  из  всех  решений,  не противоречащих  стратегии,  </w:t>
      </w:r>
      <w:r>
        <w:lastRenderedPageBreak/>
        <w:t xml:space="preserve">наиболее  оптимального  решения  и  наиболее  приемлемых в данной ситуации методов и приёмов управления. </w:t>
      </w:r>
    </w:p>
    <w:p w:rsidR="002C0F56" w:rsidRDefault="00E67C6E">
      <w:pPr>
        <w:spacing w:after="1"/>
        <w:ind w:left="994" w:right="302"/>
      </w:pPr>
      <w:r>
        <w:t>Таким образом, эффективн</w:t>
      </w:r>
      <w:r>
        <w:t xml:space="preserve">ость управления риском во многом зависит от умения использовать в полной мере все методы и приемы разрешения и снижения  степени  риска,  то  есть  использовать  весь  существующий  арсенал  риск-менеджмента. </w:t>
      </w:r>
    </w:p>
    <w:p w:rsidR="002C0F56" w:rsidRDefault="00E67C6E">
      <w:pPr>
        <w:spacing w:after="10"/>
        <w:ind w:left="994" w:right="302"/>
      </w:pPr>
      <w:r>
        <w:t xml:space="preserve">С целью выявления рисков  можно использовать  </w:t>
      </w:r>
      <w:r>
        <w:t>классические методики, такие  как  анкетирование  и  опрос  ключевых  сотрудников  и  топ-менеджеров компании, бенчмаркинг по рискам. Основной целью любой  из методик по выявлению  рисков  является  идентификация  событий,  которые  могут  оказаться рисков</w:t>
      </w:r>
      <w:r>
        <w:t xml:space="preserve">анными для компании, катастрофическими или опасными.  </w:t>
      </w:r>
    </w:p>
    <w:p w:rsidR="002C0F56" w:rsidRDefault="00E67C6E">
      <w:pPr>
        <w:spacing w:after="0"/>
        <w:ind w:left="994" w:right="302"/>
      </w:pPr>
      <w:r>
        <w:t>Существует более 20 классификаций рисков корпоративного  уровня, используемых в том числе в представленных выше стандартах.  Наиболее распространённой  классификацией  рисков,  применяемой  отечественн</w:t>
      </w:r>
      <w:r>
        <w:t xml:space="preserve">ыми  компаниями реального сектора, является расширенная классификация  FERMA: стратегические риски, финансовые риски, операционные риски, риски опасностей и угроз, юридические риски, вновь появляющиеся риски. </w:t>
      </w:r>
    </w:p>
    <w:p w:rsidR="002C0F56" w:rsidRDefault="00E67C6E">
      <w:pPr>
        <w:ind w:left="994" w:right="302"/>
      </w:pPr>
      <w:r>
        <w:t>Классификация рисков должна быть сбалансирован</w:t>
      </w:r>
      <w:r>
        <w:t xml:space="preserve">а по следующим  направлениям:  источникам  угроз  и  драйверов  стоимости,  независимости по отношению к преобразованиям бизнес-процессов и гибкости, принципам управления. </w:t>
      </w:r>
    </w:p>
    <w:p w:rsidR="002C0F56" w:rsidRDefault="00E67C6E">
      <w:pPr>
        <w:ind w:left="994" w:right="302"/>
      </w:pPr>
      <w:r>
        <w:t>Таким  образом,  используя  методологию  создания  стоимости,  основные принципы уп</w:t>
      </w:r>
      <w:r>
        <w:t>равления рисками, методику создания стратегических карт управления,  можно  прийти  к  выводу,  что  наиболее  целесообразно  сбалансировать классификацию рисков, бизнес-процессы, области и сферы управления, а с учетом  специфики  деятельности  компании  р</w:t>
      </w:r>
      <w:r>
        <w:t xml:space="preserve">еального  сектора  основные  бизнес-процессы  можно  разделить  на  следующие  группы:  проектирование,  работа  с поставщиками и партнерами, осуществление текущей деятельности, поддержка рынка продукции, развитие дополнительных направлений.  </w:t>
      </w:r>
    </w:p>
    <w:p w:rsidR="002C0F56" w:rsidRDefault="00E67C6E">
      <w:pPr>
        <w:spacing w:after="2"/>
        <w:ind w:left="994" w:right="302"/>
      </w:pPr>
      <w:r>
        <w:t>Распределени</w:t>
      </w:r>
      <w:r>
        <w:t>е  деятельности  компании  по  бизнес-направлениям гораздо более целесообразно  в  целях  снижения  рисков,  нежели  использование  классических  приемов  снижения  риска  (страхование,  хеджирование,  отказ),  поскольку  снижение рисков —  достаточно слож</w:t>
      </w:r>
      <w:r>
        <w:t xml:space="preserve">ный процесс, требующий ресурсов и участия многих сотрудников,  а  также  жесткого  контроля  над  разными  сферами деятельности компании.  </w:t>
      </w:r>
    </w:p>
    <w:p w:rsidR="002C0F56" w:rsidRDefault="00E67C6E">
      <w:pPr>
        <w:ind w:left="994" w:right="302"/>
      </w:pPr>
      <w:r>
        <w:t>По результатам исследования структуры организации бизнес-процессов крупных компаний реального сектора можно выделить</w:t>
      </w:r>
      <w:r>
        <w:t xml:space="preserve"> следующие группы  рисков,  относящиеся  к  влиянию  области  управления  на  бизнес-процессы: </w:t>
      </w:r>
      <w:r>
        <w:lastRenderedPageBreak/>
        <w:t xml:space="preserve">маркетинговые, организационные,  IT, финансовые, инновационные, кадровые риски. </w:t>
      </w:r>
    </w:p>
    <w:p w:rsidR="002C0F56" w:rsidRDefault="00E67C6E">
      <w:pPr>
        <w:spacing w:after="2"/>
        <w:ind w:left="994" w:right="302"/>
      </w:pPr>
      <w:r>
        <w:t>Следующие группы рисков возникают под влиянием бизнес-процессов на сферы и облас</w:t>
      </w:r>
      <w:r>
        <w:t xml:space="preserve">ти управления: проектные риски, риски снабжения и производства,  риски  реализации  и  поддержки  рынка  продукции,  риски  вспомогательных бизнес-процессов.   </w:t>
      </w:r>
    </w:p>
    <w:p w:rsidR="002C0F56" w:rsidRDefault="00E67C6E">
      <w:pPr>
        <w:spacing w:after="10"/>
        <w:ind w:left="994" w:right="302"/>
      </w:pPr>
      <w:r>
        <w:t xml:space="preserve">Цель этого способа классификации состоит в получении информации о фактическом  положении  дел  </w:t>
      </w:r>
      <w:r>
        <w:t xml:space="preserve">не  только  основе  проверок,  ревизий,  анализа,  но  и  за счёт моделирования бизнес-процессов. Этот способ весьма эффективен, когда критические ситуации и наиболее весомые риски нужно выявить в сжатые сроки. </w:t>
      </w:r>
    </w:p>
    <w:p w:rsidR="002C0F56" w:rsidRDefault="00E67C6E">
      <w:pPr>
        <w:ind w:left="994" w:right="302"/>
      </w:pPr>
      <w:r>
        <w:t>Впоследствии  необходимо  осуществить  приоритизацию  рисков  по  отношению  к  конкретной  компании.  Приоритизация,  как  правило,  осуществляется методом экспертных оценок и позволяет получить оценки возможного ущерба от риска и вероятности его наступле</w:t>
      </w:r>
      <w:r>
        <w:t xml:space="preserve">ния.  </w:t>
      </w:r>
    </w:p>
    <w:p w:rsidR="002C0F56" w:rsidRDefault="00E67C6E">
      <w:pPr>
        <w:ind w:left="994" w:right="302"/>
      </w:pPr>
      <w:r>
        <w:t>Результатом  данного  этапа  риск-менеджмента  является  индивидуальный корпоративный реестр рисков, в  котором риски целесообразно  располагать по мере убывания или возрастания взвешенной оценки ущерба. Подобный реестр позволит  определить  очередн</w:t>
      </w:r>
      <w:r>
        <w:t xml:space="preserve">ость  действий  по  отношению  к  каждому  из  элементов полученного реестра рисков. </w:t>
      </w:r>
    </w:p>
    <w:p w:rsidR="002C0F56" w:rsidRDefault="00E67C6E">
      <w:pPr>
        <w:spacing w:after="0"/>
        <w:ind w:left="994" w:right="302"/>
      </w:pPr>
      <w:r>
        <w:t>Следующим  этапом  при  постановке  системы  риск-менеджмента  на  предприятии будет сравнение полученного реестра  рисков с  уровнем чувствительности  компании  к  риска</w:t>
      </w:r>
      <w:r>
        <w:t xml:space="preserve">м.  Этот  уровень  также  определяется  методом  экспертных оценок, исходя из возможного размера убытка: какой компания может выдержать, а какой будет для неё  критическим. Сравнение позволит выявить, какие риски на выбранном временном горизонте находятся </w:t>
      </w:r>
      <w:r>
        <w:t xml:space="preserve">до уровня толерантности к риску, какие  —  между  уровнем толерантности и  «болевым порогом», а какие могут привести к краху бизнеса в целом.  </w:t>
      </w:r>
    </w:p>
    <w:p w:rsidR="002C0F56" w:rsidRDefault="00E67C6E">
      <w:pPr>
        <w:spacing w:after="6"/>
        <w:ind w:left="994" w:right="302"/>
      </w:pPr>
      <w:r>
        <w:t>Первый  проведённый  цикл  управления  рисками,  безусловно,  не  выявит абсолютно  все  риски  и  угрозы,  сопр</w:t>
      </w:r>
      <w:r>
        <w:t>овождающие  деятельность  компании.  Но каждый следующий цикл будет давать  всё  более и более достоверную  информацию.  В  результате  сформируется  такая  система  риск-менеджмента  на  предприятии, которая позволит не только предотвращать потери в резул</w:t>
      </w:r>
      <w:r>
        <w:t xml:space="preserve">ьтате неопределённости, но и создавать стоимость компании с использованием различных уровней доходностей разных бизнес-процессов компании. </w:t>
      </w:r>
    </w:p>
    <w:p w:rsidR="002C0F56" w:rsidRDefault="00E67C6E">
      <w:pPr>
        <w:spacing w:after="0"/>
        <w:ind w:left="994" w:right="302"/>
      </w:pPr>
      <w:r>
        <w:t>Таким  образом,  мы  получаем  комплексную  и  системную  классификацию рисков компании, позволяющую выявлять, анали</w:t>
      </w:r>
      <w:r>
        <w:t xml:space="preserve">зировать внешние и внутренние риски, осуществлять настройку системы с учётом специфики исследуемой компании, а также  проводить факторный анализ риска с целью дальнейшего воздействия  на  отдельные  компоненты  интегрального  показателя  риска  </w:t>
      </w:r>
      <w:r>
        <w:lastRenderedPageBreak/>
        <w:t>корпорации.</w:t>
      </w:r>
      <w:r>
        <w:t xml:space="preserve"> Внедрение системы выявления рисков позволит улучшить финансовое состояние компании и повысить эффективность ее операционной деятельности, а также получить высокий инвестиционный рейтинг, более выгодно разместить капитал.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199"/>
        </w:numPr>
        <w:ind w:right="302"/>
      </w:pPr>
      <w:r>
        <w:t>Бадалова А.</w:t>
      </w:r>
      <w:r>
        <w:t xml:space="preserve">  Г. Управление рисками производственных систем: теория, методология, механизмы реализации: монография [Текст] / А. Г. Бадалова. М .:  </w:t>
      </w:r>
    </w:p>
    <w:p w:rsidR="002C0F56" w:rsidRDefault="00E67C6E">
      <w:pPr>
        <w:ind w:left="994" w:right="302" w:firstLine="0"/>
      </w:pPr>
      <w:r>
        <w:t xml:space="preserve">«Станкин», «ЯНУС-К», 2006. 328 с. </w:t>
      </w:r>
    </w:p>
    <w:p w:rsidR="002C0F56" w:rsidRDefault="00E67C6E">
      <w:pPr>
        <w:numPr>
          <w:ilvl w:val="0"/>
          <w:numId w:val="199"/>
        </w:numPr>
        <w:spacing w:after="10"/>
        <w:ind w:right="302"/>
      </w:pPr>
      <w:r>
        <w:t>Морозов А.С. Основные принципы построения системы управления финансовыми рисками пром</w:t>
      </w:r>
      <w:r>
        <w:t xml:space="preserve">ышленного предприятия / А.С. Морозов // Современные  научные  исследования  и  инновации [Электронный ресурс]. – Режим доступа: http://web.snauka.ru/issues/2013/09/26321. – Дата доступа: </w:t>
      </w:r>
    </w:p>
    <w:p w:rsidR="002C0F56" w:rsidRDefault="00E67C6E">
      <w:pPr>
        <w:spacing w:after="15"/>
        <w:ind w:left="994" w:right="302" w:firstLine="0"/>
      </w:pPr>
      <w:r>
        <w:t>01.04.2017. 3.</w:t>
      </w:r>
      <w:r>
        <w:rPr>
          <w:rFonts w:ascii="Arial" w:eastAsia="Arial" w:hAnsi="Arial" w:cs="Arial"/>
        </w:rPr>
        <w:t xml:space="preserve"> </w:t>
      </w:r>
      <w:r>
        <w:t>Шеметев А.  А. Комплексное управление рисками в системе рискменеджмента компании [Текст]  /  А.  А.  Шеметев  //  Современные  научные  исследования  и  инновации [Электронный ресурс]. –  Режим доступа: http://web.snauka.ru/issues/2011/10/3004. – Дата дост</w:t>
      </w:r>
      <w:r>
        <w:t xml:space="preserve">упа: 28.03.2017.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8"/>
        <w:jc w:val="right"/>
      </w:pPr>
      <w:r>
        <w:t xml:space="preserve">Попова К. Д. </w:t>
      </w:r>
      <w:r>
        <w:rPr>
          <w:b w:val="0"/>
        </w:rPr>
        <w:t xml:space="preserve">Научный руководитель: Карпова Е. Г.   </w:t>
      </w:r>
    </w:p>
    <w:p w:rsidR="002C0F56" w:rsidRDefault="00E67C6E">
      <w:pPr>
        <w:spacing w:after="0" w:line="267" w:lineRule="auto"/>
        <w:ind w:left="905" w:right="309" w:hanging="10"/>
        <w:jc w:val="right"/>
      </w:pPr>
      <w:r>
        <w:rPr>
          <w:i/>
        </w:rPr>
        <w:t xml:space="preserve">Филиал ФГБОУ ВО «НИУ «МЭИ» в г. Смоленске </w:t>
      </w:r>
    </w:p>
    <w:p w:rsidR="002C0F56" w:rsidRDefault="00E67C6E">
      <w:pPr>
        <w:spacing w:after="32" w:line="259" w:lineRule="auto"/>
        <w:ind w:left="1558" w:firstLine="0"/>
        <w:jc w:val="left"/>
      </w:pPr>
      <w:r>
        <w:t xml:space="preserve"> </w:t>
      </w:r>
    </w:p>
    <w:p w:rsidR="002C0F56" w:rsidRDefault="00E67C6E">
      <w:pPr>
        <w:pStyle w:val="1"/>
        <w:spacing w:after="15" w:line="271" w:lineRule="auto"/>
        <w:ind w:left="1457" w:right="127" w:hanging="389"/>
        <w:jc w:val="left"/>
      </w:pPr>
      <w:r>
        <w:t xml:space="preserve">ВЗАИМОСВЯЗЬ ПРОСТРАНСТВЕННО-ВРЕМЕННЫХ ПОКАЗАТЕЛЕЙ В НОВОЙ ТЕОРИИ ЭКОНОМИЧЕСКИХ СИСТЕМ Г. КЛЕЙНЕРА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 xml:space="preserve">Экономические системы и модели производства меняются если не молниеносно, то с высочайшей скоростью. Рассматривать предприятие неоклассическом методом, как совокупность капитала и труда уже нельзя. На полноценную и успешную работу компания или предприятия </w:t>
      </w:r>
      <w:r>
        <w:t>влияет множество экономических факторов, которые описываются в классических и современных трактовках. Принцип функционирования инновационной экономической модели описывается новой теорией экономических систем (НТЭС), изложенной Г. Клейнером. Его основная м</w:t>
      </w:r>
      <w:r>
        <w:t xml:space="preserve">одель сосредоточена на ограничении в пространстве и времени по базовым ресурсам в определенной экономической системе. </w:t>
      </w:r>
    </w:p>
    <w:p w:rsidR="002C0F56" w:rsidRDefault="00E67C6E">
      <w:pPr>
        <w:spacing w:after="0"/>
        <w:ind w:left="994" w:right="302"/>
      </w:pPr>
      <w:r>
        <w:t>Актуальность использования НТЭС Г.Клейнера связана с увеличением образования инновационных компаний, использующих различные подходы к реа</w:t>
      </w:r>
      <w:r>
        <w:t xml:space="preserve">лизации капитала, временных, пространственных, рабочих и других ресурсов. </w:t>
      </w:r>
    </w:p>
    <w:p w:rsidR="002C0F56" w:rsidRDefault="00E67C6E">
      <w:pPr>
        <w:spacing w:after="5"/>
        <w:ind w:left="994" w:right="302"/>
      </w:pPr>
      <w:r>
        <w:t xml:space="preserve">Одной из современных научных экономических моделей, использующих экономические системы 4 типов, – объект, проект, процесс, среда – является </w:t>
      </w:r>
      <w:r>
        <w:lastRenderedPageBreak/>
        <w:t>тетрада. Экономические системы, действующ</w:t>
      </w:r>
      <w:r>
        <w:t xml:space="preserve">ие в замкнутом цикле, тесно взаимосвязаны между собой. Такая модель осуществляет отслеживание процессов передачи пространственных и временных ресурсов и их способностей [1]. </w:t>
      </w:r>
    </w:p>
    <w:p w:rsidR="002C0F56" w:rsidRDefault="00E67C6E">
      <w:pPr>
        <w:ind w:left="994" w:right="302"/>
      </w:pPr>
      <w:r>
        <w:t>Авторы предлагают интерпретировать понятие неопределенного времени как финансовый</w:t>
      </w:r>
      <w:r>
        <w:t xml:space="preserve"> год (рисунок 1). </w:t>
      </w:r>
    </w:p>
    <w:p w:rsidR="002C0F56" w:rsidRDefault="00E67C6E">
      <w:pPr>
        <w:spacing w:after="47" w:line="259" w:lineRule="auto"/>
        <w:ind w:left="999" w:firstLine="0"/>
        <w:jc w:val="left"/>
      </w:pPr>
      <w:r>
        <w:rPr>
          <w:rFonts w:ascii="Calibri" w:eastAsia="Calibri" w:hAnsi="Calibri" w:cs="Calibri"/>
          <w:noProof/>
          <w:sz w:val="22"/>
        </w:rPr>
        <mc:AlternateContent>
          <mc:Choice Requires="wpg">
            <w:drawing>
              <wp:inline distT="0" distB="0" distL="0" distR="0">
                <wp:extent cx="5780507" cy="2248823"/>
                <wp:effectExtent l="0" t="0" r="0" b="0"/>
                <wp:docPr id="658114" name="Group 658114"/>
                <wp:cNvGraphicFramePr/>
                <a:graphic xmlns:a="http://schemas.openxmlformats.org/drawingml/2006/main">
                  <a:graphicData uri="http://schemas.microsoft.com/office/word/2010/wordprocessingGroup">
                    <wpg:wgp>
                      <wpg:cNvGrpSpPr/>
                      <wpg:grpSpPr>
                        <a:xfrm>
                          <a:off x="0" y="0"/>
                          <a:ext cx="5780507" cy="2248823"/>
                          <a:chOff x="0" y="0"/>
                          <a:chExt cx="5780507" cy="2248823"/>
                        </a:xfrm>
                      </wpg:grpSpPr>
                      <wps:wsp>
                        <wps:cNvPr id="67312" name="Rectangle 67312"/>
                        <wps:cNvSpPr/>
                        <wps:spPr>
                          <a:xfrm>
                            <a:off x="355244" y="7371"/>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3" name="Rectangle 67313"/>
                        <wps:cNvSpPr/>
                        <wps:spPr>
                          <a:xfrm>
                            <a:off x="355244" y="211586"/>
                            <a:ext cx="3248622"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4" name="Rectangle 67314"/>
                        <wps:cNvSpPr/>
                        <wps:spPr>
                          <a:xfrm>
                            <a:off x="2800071" y="211586"/>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5" name="Rectangle 67315"/>
                        <wps:cNvSpPr/>
                        <wps:spPr>
                          <a:xfrm>
                            <a:off x="355244" y="41618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6" name="Rectangle 67316"/>
                        <wps:cNvSpPr/>
                        <wps:spPr>
                          <a:xfrm>
                            <a:off x="355244" y="620399"/>
                            <a:ext cx="4314264"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7" name="Rectangle 67317"/>
                        <wps:cNvSpPr/>
                        <wps:spPr>
                          <a:xfrm>
                            <a:off x="3601949" y="620399"/>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8" name="Rectangle 67318"/>
                        <wps:cNvSpPr/>
                        <wps:spPr>
                          <a:xfrm>
                            <a:off x="355244" y="826140"/>
                            <a:ext cx="4490605"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19" name="Rectangle 67319"/>
                        <wps:cNvSpPr/>
                        <wps:spPr>
                          <a:xfrm>
                            <a:off x="3734537" y="826140"/>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0" name="Rectangle 67320"/>
                        <wps:cNvSpPr/>
                        <wps:spPr>
                          <a:xfrm>
                            <a:off x="355244" y="103035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1" name="Rectangle 67321"/>
                        <wps:cNvSpPr/>
                        <wps:spPr>
                          <a:xfrm>
                            <a:off x="355244" y="1234572"/>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2" name="Rectangle 67322"/>
                        <wps:cNvSpPr/>
                        <wps:spPr>
                          <a:xfrm>
                            <a:off x="355244" y="1438788"/>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3" name="Rectangle 67323"/>
                        <wps:cNvSpPr/>
                        <wps:spPr>
                          <a:xfrm>
                            <a:off x="355244" y="164300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4" name="Rectangle 67324"/>
                        <wps:cNvSpPr/>
                        <wps:spPr>
                          <a:xfrm>
                            <a:off x="355244" y="184722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5" name="Rectangle 67325"/>
                        <wps:cNvSpPr/>
                        <wps:spPr>
                          <a:xfrm>
                            <a:off x="355244" y="2051436"/>
                            <a:ext cx="188907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6" name="Rectangle 67326"/>
                        <wps:cNvSpPr/>
                        <wps:spPr>
                          <a:xfrm>
                            <a:off x="1777086" y="2051436"/>
                            <a:ext cx="5260216"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27" name="Rectangle 67327"/>
                        <wps:cNvSpPr/>
                        <wps:spPr>
                          <a:xfrm>
                            <a:off x="5735930" y="205143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73" name="Rectangle 67373"/>
                        <wps:cNvSpPr/>
                        <wps:spPr>
                          <a:xfrm rot="-5399999">
                            <a:off x="-537551" y="758737"/>
                            <a:ext cx="1319728" cy="184382"/>
                          </a:xfrm>
                          <a:prstGeom prst="rect">
                            <a:avLst/>
                          </a:prstGeom>
                          <a:ln>
                            <a:noFill/>
                          </a:ln>
                        </wps:spPr>
                        <wps:txbx>
                          <w:txbxContent>
                            <w:p w:rsidR="002C0F56" w:rsidRDefault="00E67C6E">
                              <w:pPr>
                                <w:spacing w:after="160" w:line="259" w:lineRule="auto"/>
                                <w:ind w:left="0" w:firstLine="0"/>
                                <w:jc w:val="left"/>
                              </w:pPr>
                              <w:r>
                                <w:rPr>
                                  <w:sz w:val="24"/>
                                </w:rPr>
                                <w:t>Пространство (</w:t>
                              </w:r>
                            </w:p>
                          </w:txbxContent>
                        </wps:txbx>
                        <wps:bodyPr horzOverflow="overflow" vert="horz" lIns="0" tIns="0" rIns="0" bIns="0" rtlCol="0">
                          <a:noAutofit/>
                        </wps:bodyPr>
                      </wps:wsp>
                      <wps:wsp>
                        <wps:cNvPr id="67374" name="Rectangle 67374"/>
                        <wps:cNvSpPr/>
                        <wps:spPr>
                          <a:xfrm rot="-5399999">
                            <a:off x="38816" y="332723"/>
                            <a:ext cx="146749" cy="224380"/>
                          </a:xfrm>
                          <a:prstGeom prst="rect">
                            <a:avLst/>
                          </a:prstGeom>
                          <a:ln>
                            <a:noFill/>
                          </a:ln>
                        </wps:spPr>
                        <wps:txbx>
                          <w:txbxContent>
                            <w:p w:rsidR="002C0F56" w:rsidRDefault="00E67C6E">
                              <w:pPr>
                                <w:spacing w:after="160" w:line="259" w:lineRule="auto"/>
                                <w:ind w:left="0" w:firstLine="0"/>
                                <w:jc w:val="left"/>
                              </w:pPr>
                              <w:r>
                                <w:rPr>
                                  <w:sz w:val="24"/>
                                </w:rPr>
                                <w:t>s)</w:t>
                              </w:r>
                            </w:p>
                          </w:txbxContent>
                        </wps:txbx>
                        <wps:bodyPr horzOverflow="overflow" vert="horz" lIns="0" tIns="0" rIns="0" bIns="0" rtlCol="0">
                          <a:noAutofit/>
                        </wps:bodyPr>
                      </wps:wsp>
                      <wps:wsp>
                        <wps:cNvPr id="67375" name="Rectangle 67375"/>
                        <wps:cNvSpPr/>
                        <wps:spPr>
                          <a:xfrm rot="-5399999">
                            <a:off x="86854" y="269508"/>
                            <a:ext cx="50673" cy="224380"/>
                          </a:xfrm>
                          <a:prstGeom prst="rect">
                            <a:avLst/>
                          </a:prstGeom>
                          <a:ln>
                            <a:noFill/>
                          </a:ln>
                        </wps:spPr>
                        <wps:txbx>
                          <w:txbxContent>
                            <w:p w:rsidR="002C0F56" w:rsidRDefault="00E67C6E">
                              <w:pPr>
                                <w:spacing w:after="160" w:line="259" w:lineRule="auto"/>
                                <w:ind w:left="0" w:firstLine="0"/>
                                <w:jc w:val="left"/>
                              </w:pPr>
                              <w:r>
                                <w:rPr>
                                  <w:sz w:val="24"/>
                                </w:rPr>
                                <w:t xml:space="preserve"> </w:t>
                              </w:r>
                            </w:p>
                          </w:txbxContent>
                        </wps:txbx>
                        <wps:bodyPr horzOverflow="overflow" vert="horz" lIns="0" tIns="0" rIns="0" bIns="0" rtlCol="0">
                          <a:noAutofit/>
                        </wps:bodyPr>
                      </wps:wsp>
                      <wps:wsp>
                        <wps:cNvPr id="67382" name="Shape 67382"/>
                        <wps:cNvSpPr/>
                        <wps:spPr>
                          <a:xfrm>
                            <a:off x="450952" y="297815"/>
                            <a:ext cx="1285875" cy="537845"/>
                          </a:xfrm>
                          <a:custGeom>
                            <a:avLst/>
                            <a:gdLst/>
                            <a:ahLst/>
                            <a:cxnLst/>
                            <a:rect l="0" t="0" r="0" b="0"/>
                            <a:pathLst>
                              <a:path w="1285875" h="537845">
                                <a:moveTo>
                                  <a:pt x="0" y="537845"/>
                                </a:moveTo>
                                <a:lnTo>
                                  <a:pt x="1285875" y="537845"/>
                                </a:lnTo>
                                <a:lnTo>
                                  <a:pt x="128587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383" name="Rectangle 67383"/>
                        <wps:cNvSpPr/>
                        <wps:spPr>
                          <a:xfrm>
                            <a:off x="816966" y="391608"/>
                            <a:ext cx="737535" cy="215727"/>
                          </a:xfrm>
                          <a:prstGeom prst="rect">
                            <a:avLst/>
                          </a:prstGeom>
                          <a:ln>
                            <a:noFill/>
                          </a:ln>
                        </wps:spPr>
                        <wps:txbx>
                          <w:txbxContent>
                            <w:p w:rsidR="002C0F56" w:rsidRDefault="00E67C6E">
                              <w:pPr>
                                <w:spacing w:after="160" w:line="259" w:lineRule="auto"/>
                                <w:ind w:left="0" w:firstLine="0"/>
                                <w:jc w:val="left"/>
                              </w:pPr>
                              <w:r>
                                <w:t>Объект</w:t>
                              </w:r>
                            </w:p>
                          </w:txbxContent>
                        </wps:txbx>
                        <wps:bodyPr horzOverflow="overflow" vert="horz" lIns="0" tIns="0" rIns="0" bIns="0" rtlCol="0">
                          <a:noAutofit/>
                        </wps:bodyPr>
                      </wps:wsp>
                      <wps:wsp>
                        <wps:cNvPr id="67384" name="Rectangle 67384"/>
                        <wps:cNvSpPr/>
                        <wps:spPr>
                          <a:xfrm>
                            <a:off x="1370178" y="356367"/>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86" name="Shape 67386"/>
                        <wps:cNvSpPr/>
                        <wps:spPr>
                          <a:xfrm>
                            <a:off x="3460852" y="297815"/>
                            <a:ext cx="1285875" cy="537845"/>
                          </a:xfrm>
                          <a:custGeom>
                            <a:avLst/>
                            <a:gdLst/>
                            <a:ahLst/>
                            <a:cxnLst/>
                            <a:rect l="0" t="0" r="0" b="0"/>
                            <a:pathLst>
                              <a:path w="1285875" h="537845">
                                <a:moveTo>
                                  <a:pt x="0" y="537845"/>
                                </a:moveTo>
                                <a:lnTo>
                                  <a:pt x="1285875" y="537845"/>
                                </a:lnTo>
                                <a:lnTo>
                                  <a:pt x="128587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387" name="Rectangle 67387"/>
                        <wps:cNvSpPr/>
                        <wps:spPr>
                          <a:xfrm>
                            <a:off x="3830549" y="391608"/>
                            <a:ext cx="731132" cy="215727"/>
                          </a:xfrm>
                          <a:prstGeom prst="rect">
                            <a:avLst/>
                          </a:prstGeom>
                          <a:ln>
                            <a:noFill/>
                          </a:ln>
                        </wps:spPr>
                        <wps:txbx>
                          <w:txbxContent>
                            <w:p w:rsidR="002C0F56" w:rsidRDefault="00E67C6E">
                              <w:pPr>
                                <w:spacing w:after="160" w:line="259" w:lineRule="auto"/>
                                <w:ind w:left="0" w:firstLine="0"/>
                                <w:jc w:val="left"/>
                              </w:pPr>
                              <w:r>
                                <w:t>Проект</w:t>
                              </w:r>
                            </w:p>
                          </w:txbxContent>
                        </wps:txbx>
                        <wps:bodyPr horzOverflow="overflow" vert="horz" lIns="0" tIns="0" rIns="0" bIns="0" rtlCol="0">
                          <a:noAutofit/>
                        </wps:bodyPr>
                      </wps:wsp>
                      <wps:wsp>
                        <wps:cNvPr id="67388" name="Rectangle 67388"/>
                        <wps:cNvSpPr/>
                        <wps:spPr>
                          <a:xfrm>
                            <a:off x="4379189" y="356367"/>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90" name="Shape 67390"/>
                        <wps:cNvSpPr/>
                        <wps:spPr>
                          <a:xfrm>
                            <a:off x="450952" y="1475740"/>
                            <a:ext cx="1285875" cy="541655"/>
                          </a:xfrm>
                          <a:custGeom>
                            <a:avLst/>
                            <a:gdLst/>
                            <a:ahLst/>
                            <a:cxnLst/>
                            <a:rect l="0" t="0" r="0" b="0"/>
                            <a:pathLst>
                              <a:path w="1285875" h="541655">
                                <a:moveTo>
                                  <a:pt x="0" y="541655"/>
                                </a:moveTo>
                                <a:lnTo>
                                  <a:pt x="1285875" y="541655"/>
                                </a:lnTo>
                                <a:lnTo>
                                  <a:pt x="128587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391" name="Rectangle 67391"/>
                        <wps:cNvSpPr/>
                        <wps:spPr>
                          <a:xfrm>
                            <a:off x="865734" y="1570041"/>
                            <a:ext cx="607578" cy="215728"/>
                          </a:xfrm>
                          <a:prstGeom prst="rect">
                            <a:avLst/>
                          </a:prstGeom>
                          <a:ln>
                            <a:noFill/>
                          </a:ln>
                        </wps:spPr>
                        <wps:txbx>
                          <w:txbxContent>
                            <w:p w:rsidR="002C0F56" w:rsidRDefault="00E67C6E">
                              <w:pPr>
                                <w:spacing w:after="160" w:line="259" w:lineRule="auto"/>
                                <w:ind w:left="0" w:firstLine="0"/>
                                <w:jc w:val="left"/>
                              </w:pPr>
                              <w:r>
                                <w:t>Среда</w:t>
                              </w:r>
                            </w:p>
                          </w:txbxContent>
                        </wps:txbx>
                        <wps:bodyPr horzOverflow="overflow" vert="horz" lIns="0" tIns="0" rIns="0" bIns="0" rtlCol="0">
                          <a:noAutofit/>
                        </wps:bodyPr>
                      </wps:wsp>
                      <wps:wsp>
                        <wps:cNvPr id="67392" name="Rectangle 67392"/>
                        <wps:cNvSpPr/>
                        <wps:spPr>
                          <a:xfrm>
                            <a:off x="1321410" y="153480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94" name="Shape 67394"/>
                        <wps:cNvSpPr/>
                        <wps:spPr>
                          <a:xfrm>
                            <a:off x="3460852" y="1479550"/>
                            <a:ext cx="1285875" cy="537845"/>
                          </a:xfrm>
                          <a:custGeom>
                            <a:avLst/>
                            <a:gdLst/>
                            <a:ahLst/>
                            <a:cxnLst/>
                            <a:rect l="0" t="0" r="0" b="0"/>
                            <a:pathLst>
                              <a:path w="1285875" h="537845">
                                <a:moveTo>
                                  <a:pt x="0" y="537845"/>
                                </a:moveTo>
                                <a:lnTo>
                                  <a:pt x="1285875" y="537845"/>
                                </a:lnTo>
                                <a:lnTo>
                                  <a:pt x="1285875"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395" name="Rectangle 67395"/>
                        <wps:cNvSpPr/>
                        <wps:spPr>
                          <a:xfrm>
                            <a:off x="3784829" y="1573089"/>
                            <a:ext cx="850419" cy="215728"/>
                          </a:xfrm>
                          <a:prstGeom prst="rect">
                            <a:avLst/>
                          </a:prstGeom>
                          <a:ln>
                            <a:noFill/>
                          </a:ln>
                        </wps:spPr>
                        <wps:txbx>
                          <w:txbxContent>
                            <w:p w:rsidR="002C0F56" w:rsidRDefault="00E67C6E">
                              <w:pPr>
                                <w:spacing w:after="160" w:line="259" w:lineRule="auto"/>
                                <w:ind w:left="0" w:firstLine="0"/>
                                <w:jc w:val="left"/>
                              </w:pPr>
                              <w:r>
                                <w:t>Процесс</w:t>
                              </w:r>
                            </w:p>
                          </w:txbxContent>
                        </wps:txbx>
                        <wps:bodyPr horzOverflow="overflow" vert="horz" lIns="0" tIns="0" rIns="0" bIns="0" rtlCol="0">
                          <a:noAutofit/>
                        </wps:bodyPr>
                      </wps:wsp>
                      <wps:wsp>
                        <wps:cNvPr id="67396" name="Rectangle 67396"/>
                        <wps:cNvSpPr/>
                        <wps:spPr>
                          <a:xfrm>
                            <a:off x="4423385" y="1537848"/>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397" name="Shape 67397"/>
                        <wps:cNvSpPr/>
                        <wps:spPr>
                          <a:xfrm>
                            <a:off x="1736827" y="273050"/>
                            <a:ext cx="1724025" cy="76200"/>
                          </a:xfrm>
                          <a:custGeom>
                            <a:avLst/>
                            <a:gdLst/>
                            <a:ahLst/>
                            <a:cxnLst/>
                            <a:rect l="0" t="0" r="0" b="0"/>
                            <a:pathLst>
                              <a:path w="1724025" h="76200">
                                <a:moveTo>
                                  <a:pt x="1647825" y="0"/>
                                </a:moveTo>
                                <a:lnTo>
                                  <a:pt x="1724025" y="38100"/>
                                </a:lnTo>
                                <a:lnTo>
                                  <a:pt x="1647825" y="76200"/>
                                </a:lnTo>
                                <a:lnTo>
                                  <a:pt x="1647825" y="44450"/>
                                </a:lnTo>
                                <a:lnTo>
                                  <a:pt x="0" y="44450"/>
                                </a:lnTo>
                                <a:lnTo>
                                  <a:pt x="0" y="31750"/>
                                </a:lnTo>
                                <a:lnTo>
                                  <a:pt x="1647825" y="31750"/>
                                </a:lnTo>
                                <a:lnTo>
                                  <a:pt x="164782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398" name="Shape 67398"/>
                        <wps:cNvSpPr/>
                        <wps:spPr>
                          <a:xfrm>
                            <a:off x="1736827" y="518160"/>
                            <a:ext cx="1724025" cy="76200"/>
                          </a:xfrm>
                          <a:custGeom>
                            <a:avLst/>
                            <a:gdLst/>
                            <a:ahLst/>
                            <a:cxnLst/>
                            <a:rect l="0" t="0" r="0" b="0"/>
                            <a:pathLst>
                              <a:path w="1724025" h="76200">
                                <a:moveTo>
                                  <a:pt x="76200" y="0"/>
                                </a:moveTo>
                                <a:lnTo>
                                  <a:pt x="76200" y="31750"/>
                                </a:lnTo>
                                <a:lnTo>
                                  <a:pt x="1724025" y="31750"/>
                                </a:lnTo>
                                <a:lnTo>
                                  <a:pt x="1724025" y="44450"/>
                                </a:lnTo>
                                <a:lnTo>
                                  <a:pt x="76200" y="44450"/>
                                </a:lnTo>
                                <a:lnTo>
                                  <a:pt x="76200" y="76200"/>
                                </a:lnTo>
                                <a:lnTo>
                                  <a:pt x="0" y="38100"/>
                                </a:lnTo>
                                <a:lnTo>
                                  <a:pt x="762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399" name="Shape 67399"/>
                        <wps:cNvSpPr/>
                        <wps:spPr>
                          <a:xfrm>
                            <a:off x="4251935" y="835660"/>
                            <a:ext cx="76200" cy="596900"/>
                          </a:xfrm>
                          <a:custGeom>
                            <a:avLst/>
                            <a:gdLst/>
                            <a:ahLst/>
                            <a:cxnLst/>
                            <a:rect l="0" t="0" r="0" b="0"/>
                            <a:pathLst>
                              <a:path w="76200" h="596900">
                                <a:moveTo>
                                  <a:pt x="31242" y="0"/>
                                </a:moveTo>
                                <a:lnTo>
                                  <a:pt x="43942" y="0"/>
                                </a:lnTo>
                                <a:lnTo>
                                  <a:pt x="44438" y="520700"/>
                                </a:lnTo>
                                <a:lnTo>
                                  <a:pt x="76200" y="520700"/>
                                </a:lnTo>
                                <a:lnTo>
                                  <a:pt x="38227" y="596900"/>
                                </a:lnTo>
                                <a:lnTo>
                                  <a:pt x="0" y="520700"/>
                                </a:lnTo>
                                <a:lnTo>
                                  <a:pt x="31738" y="520700"/>
                                </a:lnTo>
                                <a:lnTo>
                                  <a:pt x="3124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0" name="Shape 67400"/>
                        <wps:cNvSpPr/>
                        <wps:spPr>
                          <a:xfrm>
                            <a:off x="3795370" y="835660"/>
                            <a:ext cx="76200" cy="673735"/>
                          </a:xfrm>
                          <a:custGeom>
                            <a:avLst/>
                            <a:gdLst/>
                            <a:ahLst/>
                            <a:cxnLst/>
                            <a:rect l="0" t="0" r="0" b="0"/>
                            <a:pathLst>
                              <a:path w="76200" h="673735">
                                <a:moveTo>
                                  <a:pt x="38227" y="0"/>
                                </a:moveTo>
                                <a:lnTo>
                                  <a:pt x="76200" y="76200"/>
                                </a:lnTo>
                                <a:lnTo>
                                  <a:pt x="44564" y="76200"/>
                                </a:lnTo>
                                <a:lnTo>
                                  <a:pt x="43942" y="673735"/>
                                </a:lnTo>
                                <a:lnTo>
                                  <a:pt x="31242" y="673735"/>
                                </a:lnTo>
                                <a:lnTo>
                                  <a:pt x="31864" y="76200"/>
                                </a:lnTo>
                                <a:lnTo>
                                  <a:pt x="0" y="76200"/>
                                </a:lnTo>
                                <a:lnTo>
                                  <a:pt x="38227"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1" name="Shape 67401"/>
                        <wps:cNvSpPr/>
                        <wps:spPr>
                          <a:xfrm>
                            <a:off x="1736827" y="1471295"/>
                            <a:ext cx="1724025" cy="76200"/>
                          </a:xfrm>
                          <a:custGeom>
                            <a:avLst/>
                            <a:gdLst/>
                            <a:ahLst/>
                            <a:cxnLst/>
                            <a:rect l="0" t="0" r="0" b="0"/>
                            <a:pathLst>
                              <a:path w="1724025" h="76200">
                                <a:moveTo>
                                  <a:pt x="1647825" y="0"/>
                                </a:moveTo>
                                <a:lnTo>
                                  <a:pt x="1724025" y="38100"/>
                                </a:lnTo>
                                <a:lnTo>
                                  <a:pt x="1647825" y="76200"/>
                                </a:lnTo>
                                <a:lnTo>
                                  <a:pt x="1647825" y="44450"/>
                                </a:lnTo>
                                <a:lnTo>
                                  <a:pt x="0" y="44450"/>
                                </a:lnTo>
                                <a:lnTo>
                                  <a:pt x="0" y="31750"/>
                                </a:lnTo>
                                <a:lnTo>
                                  <a:pt x="1647825" y="31750"/>
                                </a:lnTo>
                                <a:lnTo>
                                  <a:pt x="164782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2" name="Shape 67402"/>
                        <wps:cNvSpPr/>
                        <wps:spPr>
                          <a:xfrm>
                            <a:off x="1736827" y="1690370"/>
                            <a:ext cx="1724025" cy="76200"/>
                          </a:xfrm>
                          <a:custGeom>
                            <a:avLst/>
                            <a:gdLst/>
                            <a:ahLst/>
                            <a:cxnLst/>
                            <a:rect l="0" t="0" r="0" b="0"/>
                            <a:pathLst>
                              <a:path w="1724025" h="76200">
                                <a:moveTo>
                                  <a:pt x="76200" y="0"/>
                                </a:moveTo>
                                <a:lnTo>
                                  <a:pt x="76200" y="31750"/>
                                </a:lnTo>
                                <a:lnTo>
                                  <a:pt x="1724025" y="31750"/>
                                </a:lnTo>
                                <a:lnTo>
                                  <a:pt x="1724025" y="44450"/>
                                </a:lnTo>
                                <a:lnTo>
                                  <a:pt x="76200" y="44450"/>
                                </a:lnTo>
                                <a:lnTo>
                                  <a:pt x="76200" y="76200"/>
                                </a:lnTo>
                                <a:lnTo>
                                  <a:pt x="0" y="38100"/>
                                </a:lnTo>
                                <a:lnTo>
                                  <a:pt x="762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3" name="Shape 67403"/>
                        <wps:cNvSpPr/>
                        <wps:spPr>
                          <a:xfrm>
                            <a:off x="774675" y="835660"/>
                            <a:ext cx="76200" cy="596900"/>
                          </a:xfrm>
                          <a:custGeom>
                            <a:avLst/>
                            <a:gdLst/>
                            <a:ahLst/>
                            <a:cxnLst/>
                            <a:rect l="0" t="0" r="0" b="0"/>
                            <a:pathLst>
                              <a:path w="76200" h="596900">
                                <a:moveTo>
                                  <a:pt x="38227" y="0"/>
                                </a:moveTo>
                                <a:lnTo>
                                  <a:pt x="76200" y="76200"/>
                                </a:lnTo>
                                <a:lnTo>
                                  <a:pt x="44438" y="76200"/>
                                </a:lnTo>
                                <a:lnTo>
                                  <a:pt x="43942" y="596900"/>
                                </a:lnTo>
                                <a:lnTo>
                                  <a:pt x="31242" y="596900"/>
                                </a:lnTo>
                                <a:lnTo>
                                  <a:pt x="31738" y="76200"/>
                                </a:lnTo>
                                <a:lnTo>
                                  <a:pt x="0" y="76200"/>
                                </a:lnTo>
                                <a:lnTo>
                                  <a:pt x="38227"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4" name="Shape 67404"/>
                        <wps:cNvSpPr/>
                        <wps:spPr>
                          <a:xfrm>
                            <a:off x="1451585" y="835660"/>
                            <a:ext cx="76200" cy="596900"/>
                          </a:xfrm>
                          <a:custGeom>
                            <a:avLst/>
                            <a:gdLst/>
                            <a:ahLst/>
                            <a:cxnLst/>
                            <a:rect l="0" t="0" r="0" b="0"/>
                            <a:pathLst>
                              <a:path w="76200" h="596900">
                                <a:moveTo>
                                  <a:pt x="31242" y="0"/>
                                </a:moveTo>
                                <a:lnTo>
                                  <a:pt x="43942" y="0"/>
                                </a:lnTo>
                                <a:lnTo>
                                  <a:pt x="44438" y="520700"/>
                                </a:lnTo>
                                <a:lnTo>
                                  <a:pt x="76200" y="520700"/>
                                </a:lnTo>
                                <a:lnTo>
                                  <a:pt x="38227" y="596900"/>
                                </a:lnTo>
                                <a:lnTo>
                                  <a:pt x="0" y="520700"/>
                                </a:lnTo>
                                <a:lnTo>
                                  <a:pt x="31738" y="520700"/>
                                </a:lnTo>
                                <a:lnTo>
                                  <a:pt x="3124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5" name="Shape 67405"/>
                        <wps:cNvSpPr/>
                        <wps:spPr>
                          <a:xfrm>
                            <a:off x="194386" y="0"/>
                            <a:ext cx="76200" cy="2134870"/>
                          </a:xfrm>
                          <a:custGeom>
                            <a:avLst/>
                            <a:gdLst/>
                            <a:ahLst/>
                            <a:cxnLst/>
                            <a:rect l="0" t="0" r="0" b="0"/>
                            <a:pathLst>
                              <a:path w="76200" h="2134870">
                                <a:moveTo>
                                  <a:pt x="38125" y="0"/>
                                </a:moveTo>
                                <a:lnTo>
                                  <a:pt x="76200" y="76200"/>
                                </a:lnTo>
                                <a:lnTo>
                                  <a:pt x="44459" y="76200"/>
                                </a:lnTo>
                                <a:lnTo>
                                  <a:pt x="43840" y="2134870"/>
                                </a:lnTo>
                                <a:lnTo>
                                  <a:pt x="31140" y="2134870"/>
                                </a:lnTo>
                                <a:lnTo>
                                  <a:pt x="31759" y="76200"/>
                                </a:lnTo>
                                <a:lnTo>
                                  <a:pt x="0" y="76200"/>
                                </a:lnTo>
                                <a:lnTo>
                                  <a:pt x="3812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406" name="Shape 67406"/>
                        <wps:cNvSpPr/>
                        <wps:spPr>
                          <a:xfrm>
                            <a:off x="231242" y="2097405"/>
                            <a:ext cx="4876800" cy="76200"/>
                          </a:xfrm>
                          <a:custGeom>
                            <a:avLst/>
                            <a:gdLst/>
                            <a:ahLst/>
                            <a:cxnLst/>
                            <a:rect l="0" t="0" r="0" b="0"/>
                            <a:pathLst>
                              <a:path w="4876800" h="76200">
                                <a:moveTo>
                                  <a:pt x="4800600" y="0"/>
                                </a:moveTo>
                                <a:lnTo>
                                  <a:pt x="4876800" y="38100"/>
                                </a:lnTo>
                                <a:lnTo>
                                  <a:pt x="4800600" y="76200"/>
                                </a:lnTo>
                                <a:lnTo>
                                  <a:pt x="4800600" y="44448"/>
                                </a:lnTo>
                                <a:lnTo>
                                  <a:pt x="0" y="43815"/>
                                </a:lnTo>
                                <a:lnTo>
                                  <a:pt x="0" y="31115"/>
                                </a:lnTo>
                                <a:lnTo>
                                  <a:pt x="4800600" y="31748"/>
                                </a:lnTo>
                                <a:lnTo>
                                  <a:pt x="48006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658114" style="width:455.158pt;height:177.073pt;mso-position-horizontal-relative:char;mso-position-vertical-relative:line" coordsize="57805,22488">
                <v:rect id="Rectangle 67312" style="position:absolute;width:592;height:2625;left:3552;top:73;" filled="f" stroked="f">
                  <v:textbox inset="0,0,0,0">
                    <w:txbxContent>
                      <w:p>
                        <w:pPr>
                          <w:spacing w:before="0" w:after="160" w:line="259" w:lineRule="auto"/>
                          <w:ind w:left="0" w:firstLine="0"/>
                          <w:jc w:val="left"/>
                        </w:pPr>
                        <w:r>
                          <w:rPr/>
                          <w:t xml:space="preserve"> </w:t>
                        </w:r>
                      </w:p>
                    </w:txbxContent>
                  </v:textbox>
                </v:rect>
                <v:rect id="Rectangle 67313" style="position:absolute;width:32486;height:2625;left:3552;top:2115;" filled="f" stroked="f">
                  <v:textbox inset="0,0,0,0">
                    <w:txbxContent>
                      <w:p>
                        <w:pPr>
                          <w:spacing w:before="0" w:after="160" w:line="259" w:lineRule="auto"/>
                          <w:ind w:left="0" w:firstLine="0"/>
                          <w:jc w:val="left"/>
                        </w:pPr>
                        <w:r>
                          <w:rPr/>
                          <w:t xml:space="preserve">                                                       </w:t>
                        </w:r>
                      </w:p>
                    </w:txbxContent>
                  </v:textbox>
                </v:rect>
                <v:rect id="Rectangle 67314" style="position:absolute;width:592;height:2625;left:28000;top:2115;" filled="f" stroked="f">
                  <v:textbox inset="0,0,0,0">
                    <w:txbxContent>
                      <w:p>
                        <w:pPr>
                          <w:spacing w:before="0" w:after="160" w:line="259" w:lineRule="auto"/>
                          <w:ind w:left="0" w:firstLine="0"/>
                          <w:jc w:val="left"/>
                        </w:pPr>
                        <w:r>
                          <w:rPr/>
                          <w:t xml:space="preserve"> </w:t>
                        </w:r>
                      </w:p>
                    </w:txbxContent>
                  </v:textbox>
                </v:rect>
                <v:rect id="Rectangle 67315" style="position:absolute;width:592;height:2625;left:3552;top:4161;" filled="f" stroked="f">
                  <v:textbox inset="0,0,0,0">
                    <w:txbxContent>
                      <w:p>
                        <w:pPr>
                          <w:spacing w:before="0" w:after="160" w:line="259" w:lineRule="auto"/>
                          <w:ind w:left="0" w:firstLine="0"/>
                          <w:jc w:val="left"/>
                        </w:pPr>
                        <w:r>
                          <w:rPr/>
                          <w:t xml:space="preserve"> </w:t>
                        </w:r>
                      </w:p>
                    </w:txbxContent>
                  </v:textbox>
                </v:rect>
                <v:rect id="Rectangle 67316" style="position:absolute;width:43142;height:2625;left:3552;top:6203;" filled="f" stroked="f">
                  <v:textbox inset="0,0,0,0">
                    <w:txbxContent>
                      <w:p>
                        <w:pPr>
                          <w:spacing w:before="0" w:after="160" w:line="259" w:lineRule="auto"/>
                          <w:ind w:left="0" w:firstLine="0"/>
                          <w:jc w:val="left"/>
                        </w:pPr>
                        <w:r>
                          <w:rPr/>
                          <w:t xml:space="preserve">                                                                         </w:t>
                        </w:r>
                      </w:p>
                    </w:txbxContent>
                  </v:textbox>
                </v:rect>
                <v:rect id="Rectangle 67317" style="position:absolute;width:592;height:2625;left:36019;top:6203;" filled="f" stroked="f">
                  <v:textbox inset="0,0,0,0">
                    <w:txbxContent>
                      <w:p>
                        <w:pPr>
                          <w:spacing w:before="0" w:after="160" w:line="259" w:lineRule="auto"/>
                          <w:ind w:left="0" w:firstLine="0"/>
                          <w:jc w:val="left"/>
                        </w:pPr>
                        <w:r>
                          <w:rPr/>
                          <w:t xml:space="preserve"> </w:t>
                        </w:r>
                      </w:p>
                    </w:txbxContent>
                  </v:textbox>
                </v:rect>
                <v:rect id="Rectangle 67318" style="position:absolute;width:44906;height:2625;left:3552;top:8261;" filled="f" stroked="f">
                  <v:textbox inset="0,0,0,0">
                    <w:txbxContent>
                      <w:p>
                        <w:pPr>
                          <w:spacing w:before="0" w:after="160" w:line="259" w:lineRule="auto"/>
                          <w:ind w:left="0" w:firstLine="0"/>
                          <w:jc w:val="left"/>
                        </w:pPr>
                        <w:r>
                          <w:rPr/>
                          <w:t xml:space="preserve">                                                                            </w:t>
                        </w:r>
                      </w:p>
                    </w:txbxContent>
                  </v:textbox>
                </v:rect>
                <v:rect id="Rectangle 67319" style="position:absolute;width:592;height:2625;left:37345;top:8261;" filled="f" stroked="f">
                  <v:textbox inset="0,0,0,0">
                    <w:txbxContent>
                      <w:p>
                        <w:pPr>
                          <w:spacing w:before="0" w:after="160" w:line="259" w:lineRule="auto"/>
                          <w:ind w:left="0" w:firstLine="0"/>
                          <w:jc w:val="left"/>
                        </w:pPr>
                        <w:r>
                          <w:rPr/>
                          <w:t xml:space="preserve"> </w:t>
                        </w:r>
                      </w:p>
                    </w:txbxContent>
                  </v:textbox>
                </v:rect>
                <v:rect id="Rectangle 67320" style="position:absolute;width:592;height:2625;left:3552;top:10303;" filled="f" stroked="f">
                  <v:textbox inset="0,0,0,0">
                    <w:txbxContent>
                      <w:p>
                        <w:pPr>
                          <w:spacing w:before="0" w:after="160" w:line="259" w:lineRule="auto"/>
                          <w:ind w:left="0" w:firstLine="0"/>
                          <w:jc w:val="left"/>
                        </w:pPr>
                        <w:r>
                          <w:rPr/>
                          <w:t xml:space="preserve"> </w:t>
                        </w:r>
                      </w:p>
                    </w:txbxContent>
                  </v:textbox>
                </v:rect>
                <v:rect id="Rectangle 67321" style="position:absolute;width:592;height:2625;left:3552;top:12345;" filled="f" stroked="f">
                  <v:textbox inset="0,0,0,0">
                    <w:txbxContent>
                      <w:p>
                        <w:pPr>
                          <w:spacing w:before="0" w:after="160" w:line="259" w:lineRule="auto"/>
                          <w:ind w:left="0" w:firstLine="0"/>
                          <w:jc w:val="left"/>
                        </w:pPr>
                        <w:r>
                          <w:rPr/>
                          <w:t xml:space="preserve"> </w:t>
                        </w:r>
                      </w:p>
                    </w:txbxContent>
                  </v:textbox>
                </v:rect>
                <v:rect id="Rectangle 67322" style="position:absolute;width:592;height:2625;left:3552;top:14387;" filled="f" stroked="f">
                  <v:textbox inset="0,0,0,0">
                    <w:txbxContent>
                      <w:p>
                        <w:pPr>
                          <w:spacing w:before="0" w:after="160" w:line="259" w:lineRule="auto"/>
                          <w:ind w:left="0" w:firstLine="0"/>
                          <w:jc w:val="left"/>
                        </w:pPr>
                        <w:r>
                          <w:rPr/>
                          <w:t xml:space="preserve"> </w:t>
                        </w:r>
                      </w:p>
                    </w:txbxContent>
                  </v:textbox>
                </v:rect>
                <v:rect id="Rectangle 67323" style="position:absolute;width:592;height:2625;left:3552;top:16430;" filled="f" stroked="f">
                  <v:textbox inset="0,0,0,0">
                    <w:txbxContent>
                      <w:p>
                        <w:pPr>
                          <w:spacing w:before="0" w:after="160" w:line="259" w:lineRule="auto"/>
                          <w:ind w:left="0" w:firstLine="0"/>
                          <w:jc w:val="left"/>
                        </w:pPr>
                        <w:r>
                          <w:rPr/>
                          <w:t xml:space="preserve"> </w:t>
                        </w:r>
                      </w:p>
                    </w:txbxContent>
                  </v:textbox>
                </v:rect>
                <v:rect id="Rectangle 67324" style="position:absolute;width:592;height:2625;left:3552;top:18472;" filled="f" stroked="f">
                  <v:textbox inset="0,0,0,0">
                    <w:txbxContent>
                      <w:p>
                        <w:pPr>
                          <w:spacing w:before="0" w:after="160" w:line="259" w:lineRule="auto"/>
                          <w:ind w:left="0" w:firstLine="0"/>
                          <w:jc w:val="left"/>
                        </w:pPr>
                        <w:r>
                          <w:rPr/>
                          <w:t xml:space="preserve"> </w:t>
                        </w:r>
                      </w:p>
                    </w:txbxContent>
                  </v:textbox>
                </v:rect>
                <v:rect id="Rectangle 67325" style="position:absolute;width:18890;height:2625;left:3552;top:20514;" filled="f" stroked="f">
                  <v:textbox inset="0,0,0,0">
                    <w:txbxContent>
                      <w:p>
                        <w:pPr>
                          <w:spacing w:before="0" w:after="160" w:line="259" w:lineRule="auto"/>
                          <w:ind w:left="0" w:firstLine="0"/>
                          <w:jc w:val="left"/>
                        </w:pPr>
                        <w:r>
                          <w:rPr/>
                          <w:t xml:space="preserve">                                </w:t>
                        </w:r>
                      </w:p>
                    </w:txbxContent>
                  </v:textbox>
                </v:rect>
                <v:rect id="Rectangle 67326" style="position:absolute;width:52602;height:2625;left:17770;top:20514;" filled="f" stroked="f">
                  <v:textbox inset="0,0,0,0">
                    <w:txbxContent>
                      <w:p>
                        <w:pPr>
                          <w:spacing w:before="0" w:after="160" w:line="259" w:lineRule="auto"/>
                          <w:ind w:left="0" w:firstLine="0"/>
                          <w:jc w:val="left"/>
                        </w:pPr>
                        <w:r>
                          <w:rPr/>
                          <w:t xml:space="preserve">                                                                                         </w:t>
                        </w:r>
                      </w:p>
                    </w:txbxContent>
                  </v:textbox>
                </v:rect>
                <v:rect id="Rectangle 67327" style="position:absolute;width:592;height:2625;left:57359;top:20514;" filled="f" stroked="f">
                  <v:textbox inset="0,0,0,0">
                    <w:txbxContent>
                      <w:p>
                        <w:pPr>
                          <w:spacing w:before="0" w:after="160" w:line="259" w:lineRule="auto"/>
                          <w:ind w:left="0" w:firstLine="0"/>
                          <w:jc w:val="left"/>
                        </w:pPr>
                        <w:r>
                          <w:rPr/>
                          <w:t xml:space="preserve"> </w:t>
                        </w:r>
                      </w:p>
                    </w:txbxContent>
                  </v:textbox>
                </v:rect>
                <v:rect id="Rectangle 67373" style="position:absolute;width:13197;height:1843;left:-5375;top:7587;rotation:270;" filled="f" stroked="f">
                  <v:textbox inset="0,0,0,0" style="layout-flow:vertical;mso-layout-flow-alt:bottom-to-top">
                    <w:txbxContent>
                      <w:p>
                        <w:pPr>
                          <w:spacing w:before="0" w:after="160" w:line="259" w:lineRule="auto"/>
                          <w:ind w:left="0" w:firstLine="0"/>
                          <w:jc w:val="left"/>
                        </w:pPr>
                        <w:r>
                          <w:rPr>
                            <w:sz w:val="24"/>
                          </w:rPr>
                          <w:t xml:space="preserve">Пространство (</w:t>
                        </w:r>
                      </w:p>
                    </w:txbxContent>
                  </v:textbox>
                </v:rect>
                <v:rect id="Rectangle 67374" style="position:absolute;width:1467;height:2243;left:388;top:3327;rotation:270;" filled="f" stroked="f">
                  <v:textbox inset="0,0,0,0" style="layout-flow:vertical;mso-layout-flow-alt:bottom-to-top">
                    <w:txbxContent>
                      <w:p>
                        <w:pPr>
                          <w:spacing w:before="0" w:after="160" w:line="259" w:lineRule="auto"/>
                          <w:ind w:left="0" w:firstLine="0"/>
                          <w:jc w:val="left"/>
                        </w:pPr>
                        <w:r>
                          <w:rPr>
                            <w:sz w:val="24"/>
                          </w:rPr>
                          <w:t xml:space="preserve">s)</w:t>
                        </w:r>
                      </w:p>
                    </w:txbxContent>
                  </v:textbox>
                </v:rect>
                <v:rect id="Rectangle 67375" style="position:absolute;width:506;height:2243;left:868;top:2695;rotation:270;" filled="f" stroked="f">
                  <v:textbox inset="0,0,0,0" style="layout-flow:vertical;mso-layout-flow-alt:bottom-to-top">
                    <w:txbxContent>
                      <w:p>
                        <w:pPr>
                          <w:spacing w:before="0" w:after="160" w:line="259" w:lineRule="auto"/>
                          <w:ind w:left="0" w:firstLine="0"/>
                          <w:jc w:val="left"/>
                        </w:pPr>
                        <w:r>
                          <w:rPr>
                            <w:sz w:val="24"/>
                          </w:rPr>
                          <w:t xml:space="preserve"> </w:t>
                        </w:r>
                      </w:p>
                    </w:txbxContent>
                  </v:textbox>
                </v:rect>
                <v:shape id="Shape 67382" style="position:absolute;width:12858;height:5378;left:4509;top:2978;" coordsize="1285875,537845" path="m0,537845l1285875,537845l1285875,0l0,0x">
                  <v:stroke weight="0.75pt" endcap="round" joinstyle="miter" miterlimit="10" on="true" color="#000000"/>
                  <v:fill on="false" color="#000000" opacity="0"/>
                </v:shape>
                <v:rect id="Rectangle 67383" style="position:absolute;width:7375;height:2157;left:8169;top:3916;" filled="f" stroked="f">
                  <v:textbox inset="0,0,0,0">
                    <w:txbxContent>
                      <w:p>
                        <w:pPr>
                          <w:spacing w:before="0" w:after="160" w:line="259" w:lineRule="auto"/>
                          <w:ind w:left="0" w:firstLine="0"/>
                          <w:jc w:val="left"/>
                        </w:pPr>
                        <w:r>
                          <w:rPr/>
                          <w:t xml:space="preserve">Объект</w:t>
                        </w:r>
                      </w:p>
                    </w:txbxContent>
                  </v:textbox>
                </v:rect>
                <v:rect id="Rectangle 67384" style="position:absolute;width:592;height:2625;left:13701;top:3563;" filled="f" stroked="f">
                  <v:textbox inset="0,0,0,0">
                    <w:txbxContent>
                      <w:p>
                        <w:pPr>
                          <w:spacing w:before="0" w:after="160" w:line="259" w:lineRule="auto"/>
                          <w:ind w:left="0" w:firstLine="0"/>
                          <w:jc w:val="left"/>
                        </w:pPr>
                        <w:r>
                          <w:rPr/>
                          <w:t xml:space="preserve"> </w:t>
                        </w:r>
                      </w:p>
                    </w:txbxContent>
                  </v:textbox>
                </v:rect>
                <v:shape id="Shape 67386" style="position:absolute;width:12858;height:5378;left:34608;top:2978;" coordsize="1285875,537845" path="m0,537845l1285875,537845l1285875,0l0,0x">
                  <v:stroke weight="0.75pt" endcap="round" joinstyle="miter" miterlimit="10" on="true" color="#000000"/>
                  <v:fill on="false" color="#000000" opacity="0"/>
                </v:shape>
                <v:rect id="Rectangle 67387" style="position:absolute;width:7311;height:2157;left:38305;top:3916;" filled="f" stroked="f">
                  <v:textbox inset="0,0,0,0">
                    <w:txbxContent>
                      <w:p>
                        <w:pPr>
                          <w:spacing w:before="0" w:after="160" w:line="259" w:lineRule="auto"/>
                          <w:ind w:left="0" w:firstLine="0"/>
                          <w:jc w:val="left"/>
                        </w:pPr>
                        <w:r>
                          <w:rPr/>
                          <w:t xml:space="preserve">Проект</w:t>
                        </w:r>
                      </w:p>
                    </w:txbxContent>
                  </v:textbox>
                </v:rect>
                <v:rect id="Rectangle 67388" style="position:absolute;width:592;height:2625;left:43791;top:3563;" filled="f" stroked="f">
                  <v:textbox inset="0,0,0,0">
                    <w:txbxContent>
                      <w:p>
                        <w:pPr>
                          <w:spacing w:before="0" w:after="160" w:line="259" w:lineRule="auto"/>
                          <w:ind w:left="0" w:firstLine="0"/>
                          <w:jc w:val="left"/>
                        </w:pPr>
                        <w:r>
                          <w:rPr/>
                          <w:t xml:space="preserve"> </w:t>
                        </w:r>
                      </w:p>
                    </w:txbxContent>
                  </v:textbox>
                </v:rect>
                <v:shape id="Shape 67390" style="position:absolute;width:12858;height:5416;left:4509;top:14757;" coordsize="1285875,541655" path="m0,541655l1285875,541655l1285875,0l0,0x">
                  <v:stroke weight="0.75pt" endcap="round" joinstyle="miter" miterlimit="10" on="true" color="#000000"/>
                  <v:fill on="false" color="#000000" opacity="0"/>
                </v:shape>
                <v:rect id="Rectangle 67391" style="position:absolute;width:6075;height:2157;left:8657;top:15700;" filled="f" stroked="f">
                  <v:textbox inset="0,0,0,0">
                    <w:txbxContent>
                      <w:p>
                        <w:pPr>
                          <w:spacing w:before="0" w:after="160" w:line="259" w:lineRule="auto"/>
                          <w:ind w:left="0" w:firstLine="0"/>
                          <w:jc w:val="left"/>
                        </w:pPr>
                        <w:r>
                          <w:rPr/>
                          <w:t xml:space="preserve">Среда</w:t>
                        </w:r>
                      </w:p>
                    </w:txbxContent>
                  </v:textbox>
                </v:rect>
                <v:rect id="Rectangle 67392" style="position:absolute;width:592;height:2625;left:13214;top:15348;" filled="f" stroked="f">
                  <v:textbox inset="0,0,0,0">
                    <w:txbxContent>
                      <w:p>
                        <w:pPr>
                          <w:spacing w:before="0" w:after="160" w:line="259" w:lineRule="auto"/>
                          <w:ind w:left="0" w:firstLine="0"/>
                          <w:jc w:val="left"/>
                        </w:pPr>
                        <w:r>
                          <w:rPr/>
                          <w:t xml:space="preserve"> </w:t>
                        </w:r>
                      </w:p>
                    </w:txbxContent>
                  </v:textbox>
                </v:rect>
                <v:shape id="Shape 67394" style="position:absolute;width:12858;height:5378;left:34608;top:14795;" coordsize="1285875,537845" path="m0,537845l1285875,537845l1285875,0l0,0x">
                  <v:stroke weight="0.75pt" endcap="round" joinstyle="miter" miterlimit="10" on="true" color="#000000"/>
                  <v:fill on="false" color="#000000" opacity="0"/>
                </v:shape>
                <v:rect id="Rectangle 67395" style="position:absolute;width:8504;height:2157;left:37848;top:15730;" filled="f" stroked="f">
                  <v:textbox inset="0,0,0,0">
                    <w:txbxContent>
                      <w:p>
                        <w:pPr>
                          <w:spacing w:before="0" w:after="160" w:line="259" w:lineRule="auto"/>
                          <w:ind w:left="0" w:firstLine="0"/>
                          <w:jc w:val="left"/>
                        </w:pPr>
                        <w:r>
                          <w:rPr/>
                          <w:t xml:space="preserve">Процесс</w:t>
                        </w:r>
                      </w:p>
                    </w:txbxContent>
                  </v:textbox>
                </v:rect>
                <v:rect id="Rectangle 67396" style="position:absolute;width:592;height:2625;left:44233;top:15378;" filled="f" stroked="f">
                  <v:textbox inset="0,0,0,0">
                    <w:txbxContent>
                      <w:p>
                        <w:pPr>
                          <w:spacing w:before="0" w:after="160" w:line="259" w:lineRule="auto"/>
                          <w:ind w:left="0" w:firstLine="0"/>
                          <w:jc w:val="left"/>
                        </w:pPr>
                        <w:r>
                          <w:rPr/>
                          <w:t xml:space="preserve"> </w:t>
                        </w:r>
                      </w:p>
                    </w:txbxContent>
                  </v:textbox>
                </v:rect>
                <v:shape id="Shape 67397" style="position:absolute;width:17240;height:762;left:17368;top:2730;" coordsize="1724025,76200" path="m1647825,0l1724025,38100l1647825,76200l1647825,44450l0,44450l0,31750l1647825,31750l1647825,0x">
                  <v:stroke weight="0pt" endcap="round" joinstyle="miter" miterlimit="10" on="false" color="#000000" opacity="0"/>
                  <v:fill on="true" color="#000000"/>
                </v:shape>
                <v:shape id="Shape 67398" style="position:absolute;width:17240;height:762;left:17368;top:5181;" coordsize="1724025,76200" path="m76200,0l76200,31750l1724025,31750l1724025,44450l76200,44450l76200,76200l0,38100l76200,0x">
                  <v:stroke weight="0pt" endcap="round" joinstyle="miter" miterlimit="10" on="false" color="#000000" opacity="0"/>
                  <v:fill on="true" color="#000000"/>
                </v:shape>
                <v:shape id="Shape 67399" style="position:absolute;width:762;height:5969;left:42519;top:8356;" coordsize="76200,596900" path="m31242,0l43942,0l44438,520700l76200,520700l38227,596900l0,520700l31738,520700l31242,0x">
                  <v:stroke weight="0pt" endcap="round" joinstyle="miter" miterlimit="10" on="false" color="#000000" opacity="0"/>
                  <v:fill on="true" color="#000000"/>
                </v:shape>
                <v:shape id="Shape 67400" style="position:absolute;width:762;height:6737;left:37953;top:8356;" coordsize="76200,673735" path="m38227,0l76200,76200l44564,76200l43942,673735l31242,673735l31864,76200l0,76200l38227,0x">
                  <v:stroke weight="0pt" endcap="round" joinstyle="miter" miterlimit="10" on="false" color="#000000" opacity="0"/>
                  <v:fill on="true" color="#000000"/>
                </v:shape>
                <v:shape id="Shape 67401" style="position:absolute;width:17240;height:762;left:17368;top:14712;" coordsize="1724025,76200" path="m1647825,0l1724025,38100l1647825,76200l1647825,44450l0,44450l0,31750l1647825,31750l1647825,0x">
                  <v:stroke weight="0pt" endcap="round" joinstyle="miter" miterlimit="10" on="false" color="#000000" opacity="0"/>
                  <v:fill on="true" color="#000000"/>
                </v:shape>
                <v:shape id="Shape 67402" style="position:absolute;width:17240;height:762;left:17368;top:16903;" coordsize="1724025,76200" path="m76200,0l76200,31750l1724025,31750l1724025,44450l76200,44450l76200,76200l0,38100l76200,0x">
                  <v:stroke weight="0pt" endcap="round" joinstyle="miter" miterlimit="10" on="false" color="#000000" opacity="0"/>
                  <v:fill on="true" color="#000000"/>
                </v:shape>
                <v:shape id="Shape 67403" style="position:absolute;width:762;height:5969;left:7746;top:8356;" coordsize="76200,596900" path="m38227,0l76200,76200l44438,76200l43942,596900l31242,596900l31738,76200l0,76200l38227,0x">
                  <v:stroke weight="0pt" endcap="round" joinstyle="miter" miterlimit="10" on="false" color="#000000" opacity="0"/>
                  <v:fill on="true" color="#000000"/>
                </v:shape>
                <v:shape id="Shape 67404" style="position:absolute;width:762;height:5969;left:14515;top:8356;" coordsize="76200,596900" path="m31242,0l43942,0l44438,520700l76200,520700l38227,596900l0,520700l31738,520700l31242,0x">
                  <v:stroke weight="0pt" endcap="round" joinstyle="miter" miterlimit="10" on="false" color="#000000" opacity="0"/>
                  <v:fill on="true" color="#000000"/>
                </v:shape>
                <v:shape id="Shape 67405" style="position:absolute;width:762;height:21348;left:1943;top:0;" coordsize="76200,2134870" path="m38125,0l76200,76200l44459,76200l43840,2134870l31140,2134870l31759,76200l0,76200l38125,0x">
                  <v:stroke weight="0pt" endcap="round" joinstyle="miter" miterlimit="10" on="false" color="#000000" opacity="0"/>
                  <v:fill on="true" color="#000000"/>
                </v:shape>
                <v:shape id="Shape 67406" style="position:absolute;width:48768;height:762;left:2312;top:20974;" coordsize="4876800,76200" path="m4800600,0l4876800,38100l4800600,76200l4800600,44448l0,43815l0,31115l4800600,31748l4800600,0x">
                  <v:stroke weight="0pt" endcap="round" joinstyle="miter" miterlimit="10" on="false" color="#000000" opacity="0"/>
                  <v:fill on="true" color="#000000"/>
                </v:shape>
              </v:group>
            </w:pict>
          </mc:Fallback>
        </mc:AlternateContent>
      </w:r>
    </w:p>
    <w:p w:rsidR="002C0F56" w:rsidRDefault="00E67C6E">
      <w:pPr>
        <w:tabs>
          <w:tab w:val="center" w:pos="6056"/>
          <w:tab w:val="center" w:pos="8374"/>
        </w:tabs>
        <w:spacing w:after="5" w:line="271" w:lineRule="auto"/>
        <w:ind w:left="0" w:firstLine="0"/>
        <w:jc w:val="left"/>
      </w:pPr>
      <w:r>
        <w:rPr>
          <w:rFonts w:ascii="Calibri" w:eastAsia="Calibri" w:hAnsi="Calibri" w:cs="Calibri"/>
          <w:sz w:val="22"/>
        </w:rPr>
        <w:tab/>
      </w:r>
      <w:r>
        <w:rPr>
          <w:b/>
          <w:sz w:val="24"/>
        </w:rPr>
        <w:t xml:space="preserve"> </w:t>
      </w:r>
      <w:r>
        <w:rPr>
          <w:b/>
          <w:sz w:val="24"/>
        </w:rPr>
        <w:tab/>
      </w:r>
      <w:r>
        <w:rPr>
          <w:sz w:val="24"/>
        </w:rPr>
        <w:t xml:space="preserve">Время (t) </w:t>
      </w:r>
    </w:p>
    <w:p w:rsidR="002C0F56" w:rsidRDefault="00E67C6E">
      <w:pPr>
        <w:spacing w:after="23" w:line="259" w:lineRule="auto"/>
        <w:ind w:left="1231" w:firstLine="0"/>
        <w:jc w:val="center"/>
      </w:pPr>
      <w:r>
        <w:rPr>
          <w:b/>
          <w:sz w:val="24"/>
        </w:rPr>
        <w:t xml:space="preserve"> </w:t>
      </w:r>
    </w:p>
    <w:p w:rsidR="002C0F56" w:rsidRDefault="00E67C6E">
      <w:pPr>
        <w:pStyle w:val="4"/>
        <w:ind w:left="1181" w:right="2"/>
      </w:pPr>
      <w:r>
        <w:t xml:space="preserve">Рис. 1. </w:t>
      </w:r>
      <w:r>
        <w:t xml:space="preserve">Экономическая тетрада Г. Клейнера </w:t>
      </w:r>
    </w:p>
    <w:p w:rsidR="002C0F56" w:rsidRDefault="00E67C6E">
      <w:pPr>
        <w:spacing w:after="0" w:line="259" w:lineRule="auto"/>
        <w:ind w:left="1558" w:firstLine="0"/>
        <w:jc w:val="left"/>
      </w:pPr>
      <w:r>
        <w:t xml:space="preserve"> </w:t>
      </w:r>
    </w:p>
    <w:p w:rsidR="002C0F56" w:rsidRDefault="00E67C6E">
      <w:pPr>
        <w:spacing w:after="9"/>
        <w:ind w:left="994" w:right="302"/>
      </w:pPr>
      <w:r>
        <w:t xml:space="preserve">Ни одна научная теория или модель не может обойтись без специальной терминологии, которая и позволяет наиболее широко и понятно описать исследуемый процесс.  </w:t>
      </w:r>
    </w:p>
    <w:p w:rsidR="002C0F56" w:rsidRDefault="00E67C6E">
      <w:pPr>
        <w:spacing w:after="0"/>
        <w:ind w:left="994" w:right="302"/>
      </w:pPr>
      <w:r>
        <w:t>В данной статье предлагается ограничить ресурс времени опред</w:t>
      </w:r>
      <w:r>
        <w:t>еленными рамками. В НТЭС Г.Клейнер считал, что деятельность объекта не имеет определенного ограничения во времени. Следовательно временный ресурс в данной теории не ограничен. Однако для того, чтобы характеризовать деятельность организации, необходимо опир</w:t>
      </w:r>
      <w:r>
        <w:t xml:space="preserve">аться на определенный промежуток времени. </w:t>
      </w:r>
    </w:p>
    <w:p w:rsidR="002C0F56" w:rsidRDefault="00E67C6E">
      <w:pPr>
        <w:ind w:left="994" w:right="302"/>
      </w:pPr>
      <w:r>
        <w:t>Функционирование предприятия или компании не имеет ограничений в хронологическом понимании времени. Их деятельность непосредственно сопрягается со временем экономическим - качественными действиями, направленными н</w:t>
      </w:r>
      <w:r>
        <w:t>а получение финансового результата, по средству влияния на сферу хозяйственных отношений. Для определения эффективности деятельности организации необходимо учитывать определенный промежуток времени, который является составной частью неограниченного времени</w:t>
      </w:r>
      <w:r>
        <w:t xml:space="preserve">. Это выявляет обязательность использования пространственно-временных критериев в экономической сфере, что, в свою очередь, обязывает использовать понятие финансовый год.  </w:t>
      </w:r>
    </w:p>
    <w:p w:rsidR="002C0F56" w:rsidRDefault="00E67C6E">
      <w:pPr>
        <w:spacing w:after="0"/>
        <w:ind w:left="994" w:right="302"/>
      </w:pPr>
      <w:r>
        <w:lastRenderedPageBreak/>
        <w:t>Финансовый год – это показатель, который позволяет проанализировать деятельность ор</w:t>
      </w:r>
      <w:r>
        <w:t>ганизации, страны, оценить ее эффективность или убыточность за определенный отрезок времени. Фактор бесконечного времени не позволяет рационально отследить и просчитать деятельность организации. Для оценки деятельности предприятия существует огромное колич</w:t>
      </w:r>
      <w:r>
        <w:t xml:space="preserve">ество различных экономических и финансовых показателей, однако для более детального анализа используется ограничение во временных рамках. Данный процесс представляет собой выделение временного отрезка из неограниченного времени. Это и есть финансовый год. </w:t>
      </w:r>
      <w:r>
        <w:t xml:space="preserve"> </w:t>
      </w:r>
    </w:p>
    <w:p w:rsidR="002C0F56" w:rsidRDefault="00E67C6E">
      <w:pPr>
        <w:spacing w:after="59"/>
        <w:ind w:left="994" w:right="302"/>
      </w:pPr>
      <w:r>
        <w:t xml:space="preserve">Необходимость ввода понятия финансовый год обусловлена следующими факторами: </w:t>
      </w:r>
    </w:p>
    <w:p w:rsidR="002C0F56" w:rsidRDefault="00E67C6E">
      <w:pPr>
        <w:numPr>
          <w:ilvl w:val="0"/>
          <w:numId w:val="200"/>
        </w:numPr>
        <w:spacing w:after="57"/>
        <w:ind w:right="302"/>
      </w:pPr>
      <w:r>
        <w:t xml:space="preserve">оценка успешности деятельности организации за определенный промежуток времени; </w:t>
      </w:r>
    </w:p>
    <w:p w:rsidR="002C0F56" w:rsidRDefault="00E67C6E">
      <w:pPr>
        <w:numPr>
          <w:ilvl w:val="0"/>
          <w:numId w:val="200"/>
        </w:numPr>
        <w:spacing w:after="59"/>
        <w:ind w:right="302"/>
      </w:pPr>
      <w:r>
        <w:t xml:space="preserve">оценка финансового состояния организации по заданному временному критерию; </w:t>
      </w:r>
    </w:p>
    <w:p w:rsidR="002C0F56" w:rsidRDefault="00E67C6E">
      <w:pPr>
        <w:numPr>
          <w:ilvl w:val="0"/>
          <w:numId w:val="200"/>
        </w:numPr>
        <w:ind w:right="302"/>
      </w:pPr>
      <w:r>
        <w:t xml:space="preserve">рациональное использование полученной информации в целях улучшения деятельности организации в будущем. </w:t>
      </w:r>
    </w:p>
    <w:p w:rsidR="002C0F56" w:rsidRDefault="00E67C6E">
      <w:pPr>
        <w:ind w:left="994" w:right="302"/>
      </w:pPr>
      <w:r>
        <w:t>Кроме того, важным компонентом тетрады Г.Клейнера является Среда. Однако данная система является слишком обширным понятием, и для ее конкретизации испол</w:t>
      </w:r>
      <w:r>
        <w:t>ьзуется деление на микро- и макросреду. Компонентами микросреды являются: люди, группы, организации, непосредственно оказывающие влияние на организацию производства и сбыта продукции. К ней относятся: клиентура, поставщики, конкуренты, контактные аудитории</w:t>
      </w:r>
      <w:r>
        <w:t>, посредники и т. д. Микросреда легко поддается воздействию со стороны маркетинга. Однако макросреда подобным воздействиям не подвержена. Изменения в макросреде могут иметь как положительную, так и отрицательную динамику. Организация не может проконтролиро</w:t>
      </w:r>
      <w:r>
        <w:t>вать данные изменения во внешней среде, однако может изменить маркетинговую политику. Этим и обуславливается необходимость слежения за тенденциями развивающимися в макросреде. СМИ являются одним из ключевых источников для получения данной информации. Также</w:t>
      </w:r>
      <w:r>
        <w:t xml:space="preserve"> для получения необходимых данных используются специализированные статистические и аналитические материалы. К элементам макросреды относятся так называемые STEP-факторы: демографические, культурные, научно-технические, природные, экономические, политикопра</w:t>
      </w:r>
      <w:r>
        <w:t xml:space="preserve">вовые факторы. </w:t>
      </w:r>
    </w:p>
    <w:p w:rsidR="002C0F56" w:rsidRDefault="00E67C6E">
      <w:pPr>
        <w:spacing w:after="6"/>
        <w:ind w:left="994" w:right="302"/>
      </w:pPr>
      <w:r>
        <w:t>Разделение на микро- и макросреду необходимо для четкого понимания компонентов данной экономической системы, таких как поставщики, поставляющие сырье и материалы; дилеры, реализующие продукцию организации; покупатели, приобретающие ее; инве</w:t>
      </w:r>
      <w:r>
        <w:t xml:space="preserve">сторы, использующие свои </w:t>
      </w:r>
      <w:r>
        <w:lastRenderedPageBreak/>
        <w:t xml:space="preserve">денежные вложения для финансирования деятельности организации; государство, предоставляющее субсидии и др. </w:t>
      </w:r>
    </w:p>
    <w:p w:rsidR="002C0F56" w:rsidRDefault="00E67C6E">
      <w:pPr>
        <w:ind w:left="994" w:right="302"/>
      </w:pPr>
      <w:r>
        <w:t>Опираясь на схему Г.Клейнера, в которой реализовано взаимодействие экономических систем, можно сделать вывод, что это взаим</w:t>
      </w:r>
      <w:r>
        <w:t>одействие происходит путем передачи друг другу ресурсов пространства или времени. Так как системы тесно взаимосвязаны между собой, то результат деятельности каждой из систем зависит от количества и качества передаваемых ресурсов. Данная передача характериз</w:t>
      </w:r>
      <w:r>
        <w:t xml:space="preserve">уется различными показателями, которые можно классифицировать на 3 группы (таблица 1): </w:t>
      </w:r>
    </w:p>
    <w:p w:rsidR="002C0F56" w:rsidRDefault="00E67C6E">
      <w:pPr>
        <w:numPr>
          <w:ilvl w:val="0"/>
          <w:numId w:val="201"/>
        </w:numPr>
        <w:ind w:right="2129" w:firstLine="0"/>
      </w:pPr>
      <w:r>
        <w:t xml:space="preserve">показатели, проходящие 1 цикл; </w:t>
      </w:r>
    </w:p>
    <w:p w:rsidR="002C0F56" w:rsidRDefault="00E67C6E">
      <w:pPr>
        <w:numPr>
          <w:ilvl w:val="0"/>
          <w:numId w:val="201"/>
        </w:numPr>
        <w:ind w:right="2129" w:firstLine="0"/>
      </w:pPr>
      <w:r>
        <w:t>показатели, состоящие из 2 циклов; 3)</w:t>
      </w:r>
      <w:r>
        <w:rPr>
          <w:rFonts w:ascii="Arial" w:eastAsia="Arial" w:hAnsi="Arial" w:cs="Arial"/>
        </w:rPr>
        <w:t xml:space="preserve"> </w:t>
      </w:r>
      <w:r>
        <w:rPr>
          <w:rFonts w:ascii="Arial" w:eastAsia="Arial" w:hAnsi="Arial" w:cs="Arial"/>
        </w:rPr>
        <w:tab/>
      </w:r>
      <w:r>
        <w:t xml:space="preserve">показатели, присущие системе. </w:t>
      </w:r>
    </w:p>
    <w:p w:rsidR="002C0F56" w:rsidRDefault="00E67C6E">
      <w:pPr>
        <w:spacing w:after="0"/>
        <w:ind w:left="994" w:right="302"/>
      </w:pPr>
      <w:r>
        <w:t>Рассмотрим каждую из групп показателей рисунка 3 отдельно. При пла</w:t>
      </w:r>
      <w:r>
        <w:t xml:space="preserve">нировании своего Проекта, предприятие надеется получить определенную сумму прибыли. Следовательно Объект передает Проекту плановую экономическую эффективность. Отношение результатов хозяйственной деятельности к издержкам продукции называется экономической </w:t>
      </w:r>
      <w:r>
        <w:t xml:space="preserve">эффективностью. Данная величина относительна, так как получается в результате сопоставления достижения проекта с затратами. </w:t>
      </w:r>
    </w:p>
    <w:p w:rsidR="002C0F56" w:rsidRDefault="00E67C6E">
      <w:pPr>
        <w:spacing w:after="0" w:line="259" w:lineRule="auto"/>
        <w:ind w:left="994" w:right="1148" w:firstLine="0"/>
        <w:jc w:val="left"/>
      </w:pPr>
      <w:r>
        <w:t xml:space="preserve"> </w:t>
      </w:r>
    </w:p>
    <w:p w:rsidR="002C0F56" w:rsidRDefault="00E67C6E">
      <w:pPr>
        <w:spacing w:after="58" w:line="259" w:lineRule="auto"/>
        <w:ind w:left="1558" w:firstLine="0"/>
        <w:jc w:val="left"/>
      </w:pPr>
      <w:r>
        <w:rPr>
          <w:rFonts w:ascii="Calibri" w:eastAsia="Calibri" w:hAnsi="Calibri" w:cs="Calibri"/>
          <w:noProof/>
          <w:sz w:val="22"/>
        </w:rPr>
        <mc:AlternateContent>
          <mc:Choice Requires="wpg">
            <w:drawing>
              <wp:inline distT="0" distB="0" distL="0" distR="0">
                <wp:extent cx="5229683" cy="3049045"/>
                <wp:effectExtent l="0" t="0" r="0" b="0"/>
                <wp:docPr id="657157" name="Group 657157"/>
                <wp:cNvGraphicFramePr/>
                <a:graphic xmlns:a="http://schemas.openxmlformats.org/drawingml/2006/main">
                  <a:graphicData uri="http://schemas.microsoft.com/office/word/2010/wordprocessingGroup">
                    <wpg:wgp>
                      <wpg:cNvGrpSpPr/>
                      <wpg:grpSpPr>
                        <a:xfrm>
                          <a:off x="0" y="0"/>
                          <a:ext cx="5229683" cy="3049045"/>
                          <a:chOff x="0" y="0"/>
                          <a:chExt cx="5229683" cy="3049045"/>
                        </a:xfrm>
                      </wpg:grpSpPr>
                      <wps:wsp>
                        <wps:cNvPr id="67543" name="Rectangle 67543"/>
                        <wps:cNvSpPr/>
                        <wps:spPr>
                          <a:xfrm>
                            <a:off x="0" y="0"/>
                            <a:ext cx="1358154"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44" name="Rectangle 67544"/>
                        <wps:cNvSpPr/>
                        <wps:spPr>
                          <a:xfrm>
                            <a:off x="1021029" y="0"/>
                            <a:ext cx="709552"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45" name="Rectangle 67545"/>
                        <wps:cNvSpPr/>
                        <wps:spPr>
                          <a:xfrm>
                            <a:off x="1556334" y="0"/>
                            <a:ext cx="176849"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46" name="Rectangle 67546"/>
                        <wps:cNvSpPr/>
                        <wps:spPr>
                          <a:xfrm>
                            <a:off x="1688922" y="71168"/>
                            <a:ext cx="2283950" cy="153037"/>
                          </a:xfrm>
                          <a:prstGeom prst="rect">
                            <a:avLst/>
                          </a:prstGeom>
                          <a:ln>
                            <a:noFill/>
                          </a:ln>
                        </wps:spPr>
                        <wps:txbx>
                          <w:txbxContent>
                            <w:p w:rsidR="002C0F56" w:rsidRDefault="00E67C6E">
                              <w:pPr>
                                <w:spacing w:after="160" w:line="259" w:lineRule="auto"/>
                                <w:ind w:left="0" w:firstLine="0"/>
                                <w:jc w:val="left"/>
                              </w:pPr>
                              <w:r>
                                <w:rPr>
                                  <w:sz w:val="20"/>
                                </w:rPr>
                                <w:t>План. экономич.эффективность</w:t>
                              </w:r>
                            </w:p>
                          </w:txbxContent>
                        </wps:txbx>
                        <wps:bodyPr horzOverflow="overflow" vert="horz" lIns="0" tIns="0" rIns="0" bIns="0" rtlCol="0">
                          <a:noAutofit/>
                        </wps:bodyPr>
                      </wps:wsp>
                      <wps:wsp>
                        <wps:cNvPr id="67547" name="Rectangle 67547"/>
                        <wps:cNvSpPr/>
                        <wps:spPr>
                          <a:xfrm>
                            <a:off x="3409773" y="46168"/>
                            <a:ext cx="42058" cy="186236"/>
                          </a:xfrm>
                          <a:prstGeom prst="rect">
                            <a:avLst/>
                          </a:prstGeom>
                          <a:ln>
                            <a:noFill/>
                          </a:ln>
                        </wps:spPr>
                        <wps:txbx>
                          <w:txbxContent>
                            <w:p w:rsidR="002C0F56" w:rsidRDefault="00E67C6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67548" name="Rectangle 67548"/>
                        <wps:cNvSpPr/>
                        <wps:spPr>
                          <a:xfrm>
                            <a:off x="0" y="193548"/>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49" name="Rectangle 67549"/>
                        <wps:cNvSpPr/>
                        <wps:spPr>
                          <a:xfrm>
                            <a:off x="0" y="397764"/>
                            <a:ext cx="4314264"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0" name="Rectangle 67550"/>
                        <wps:cNvSpPr/>
                        <wps:spPr>
                          <a:xfrm>
                            <a:off x="3246704" y="397764"/>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1" name="Rectangle 67551"/>
                        <wps:cNvSpPr/>
                        <wps:spPr>
                          <a:xfrm>
                            <a:off x="0" y="601980"/>
                            <a:ext cx="4668844"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2" name="Rectangle 67552"/>
                        <wps:cNvSpPr/>
                        <wps:spPr>
                          <a:xfrm>
                            <a:off x="3511880" y="637221"/>
                            <a:ext cx="1584634" cy="215728"/>
                          </a:xfrm>
                          <a:prstGeom prst="rect">
                            <a:avLst/>
                          </a:prstGeom>
                          <a:ln>
                            <a:noFill/>
                          </a:ln>
                        </wps:spPr>
                        <wps:txbx>
                          <w:txbxContent>
                            <w:p w:rsidR="002C0F56" w:rsidRDefault="00E67C6E">
                              <w:pPr>
                                <w:spacing w:after="160" w:line="259" w:lineRule="auto"/>
                                <w:ind w:left="0" w:firstLine="0"/>
                                <w:jc w:val="left"/>
                              </w:pPr>
                              <w:r>
                                <w:t>Рентабельность</w:t>
                              </w:r>
                            </w:p>
                          </w:txbxContent>
                        </wps:txbx>
                        <wps:bodyPr horzOverflow="overflow" vert="horz" lIns="0" tIns="0" rIns="0" bIns="0" rtlCol="0">
                          <a:noAutofit/>
                        </wps:bodyPr>
                      </wps:wsp>
                      <wps:wsp>
                        <wps:cNvPr id="67553" name="Rectangle 67553"/>
                        <wps:cNvSpPr/>
                        <wps:spPr>
                          <a:xfrm>
                            <a:off x="4703649" y="601980"/>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4" name="Rectangle 67554"/>
                        <wps:cNvSpPr/>
                        <wps:spPr>
                          <a:xfrm>
                            <a:off x="0" y="80619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5" name="Rectangle 67555"/>
                        <wps:cNvSpPr/>
                        <wps:spPr>
                          <a:xfrm>
                            <a:off x="0" y="1010412"/>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6" name="Rectangle 67556"/>
                        <wps:cNvSpPr/>
                        <wps:spPr>
                          <a:xfrm>
                            <a:off x="0" y="1214628"/>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7" name="Rectangle 67557"/>
                        <wps:cNvSpPr/>
                        <wps:spPr>
                          <a:xfrm>
                            <a:off x="0" y="1420368"/>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8" name="Rectangle 67558"/>
                        <wps:cNvSpPr/>
                        <wps:spPr>
                          <a:xfrm>
                            <a:off x="0" y="1624838"/>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59" name="Rectangle 67559"/>
                        <wps:cNvSpPr/>
                        <wps:spPr>
                          <a:xfrm>
                            <a:off x="0" y="182905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60" name="Rectangle 67560"/>
                        <wps:cNvSpPr/>
                        <wps:spPr>
                          <a:xfrm>
                            <a:off x="0" y="203327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61" name="Rectangle 67561"/>
                        <wps:cNvSpPr/>
                        <wps:spPr>
                          <a:xfrm>
                            <a:off x="0" y="2237486"/>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62" name="Rectangle 67562"/>
                        <wps:cNvSpPr/>
                        <wps:spPr>
                          <a:xfrm>
                            <a:off x="0" y="2441702"/>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63" name="Rectangle 67563"/>
                        <wps:cNvSpPr/>
                        <wps:spPr>
                          <a:xfrm>
                            <a:off x="0" y="2647442"/>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564" name="Rectangle 67564"/>
                        <wps:cNvSpPr/>
                        <wps:spPr>
                          <a:xfrm>
                            <a:off x="0" y="2851659"/>
                            <a:ext cx="59287" cy="262524"/>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35" name="Rectangle 67635"/>
                        <wps:cNvSpPr/>
                        <wps:spPr>
                          <a:xfrm rot="-5399999">
                            <a:off x="4633712" y="1427027"/>
                            <a:ext cx="355116" cy="138287"/>
                          </a:xfrm>
                          <a:prstGeom prst="rect">
                            <a:avLst/>
                          </a:prstGeom>
                          <a:ln>
                            <a:noFill/>
                          </a:ln>
                        </wps:spPr>
                        <wps:txbx>
                          <w:txbxContent>
                            <w:p w:rsidR="002C0F56" w:rsidRDefault="00E67C6E">
                              <w:pPr>
                                <w:spacing w:after="160" w:line="259" w:lineRule="auto"/>
                                <w:ind w:left="0" w:firstLine="0"/>
                                <w:jc w:val="left"/>
                              </w:pPr>
                              <w:r>
                                <w:rPr>
                                  <w:sz w:val="18"/>
                                </w:rPr>
                                <w:t>Затра</w:t>
                              </w:r>
                            </w:p>
                          </w:txbxContent>
                        </wps:txbx>
                        <wps:bodyPr horzOverflow="overflow" vert="horz" lIns="0" tIns="0" rIns="0" bIns="0" rtlCol="0">
                          <a:noAutofit/>
                        </wps:bodyPr>
                      </wps:wsp>
                      <wps:wsp>
                        <wps:cNvPr id="67636" name="Rectangle 67636"/>
                        <wps:cNvSpPr/>
                        <wps:spPr>
                          <a:xfrm rot="-5399999">
                            <a:off x="4614937" y="1141552"/>
                            <a:ext cx="392665" cy="138287"/>
                          </a:xfrm>
                          <a:prstGeom prst="rect">
                            <a:avLst/>
                          </a:prstGeom>
                          <a:ln>
                            <a:noFill/>
                          </a:ln>
                        </wps:spPr>
                        <wps:txbx>
                          <w:txbxContent>
                            <w:p w:rsidR="002C0F56" w:rsidRDefault="00E67C6E">
                              <w:pPr>
                                <w:spacing w:after="160" w:line="259" w:lineRule="auto"/>
                                <w:ind w:left="0" w:firstLine="0"/>
                                <w:jc w:val="left"/>
                              </w:pPr>
                              <w:r>
                                <w:rPr>
                                  <w:sz w:val="18"/>
                                </w:rPr>
                                <w:t xml:space="preserve">ты на </w:t>
                              </w:r>
                            </w:p>
                          </w:txbxContent>
                        </wps:txbx>
                        <wps:bodyPr horzOverflow="overflow" vert="horz" lIns="0" tIns="0" rIns="0" bIns="0" rtlCol="0">
                          <a:noAutofit/>
                        </wps:bodyPr>
                      </wps:wsp>
                      <wps:wsp>
                        <wps:cNvPr id="67637" name="Rectangle 67637"/>
                        <wps:cNvSpPr/>
                        <wps:spPr>
                          <a:xfrm rot="-5399999">
                            <a:off x="4755894" y="1290129"/>
                            <a:ext cx="382024" cy="138287"/>
                          </a:xfrm>
                          <a:prstGeom prst="rect">
                            <a:avLst/>
                          </a:prstGeom>
                          <a:ln>
                            <a:noFill/>
                          </a:ln>
                        </wps:spPr>
                        <wps:txbx>
                          <w:txbxContent>
                            <w:p w:rsidR="002C0F56" w:rsidRDefault="00E67C6E">
                              <w:pPr>
                                <w:spacing w:after="160" w:line="259" w:lineRule="auto"/>
                                <w:ind w:left="0" w:firstLine="0"/>
                                <w:jc w:val="left"/>
                              </w:pPr>
                              <w:r>
                                <w:rPr>
                                  <w:sz w:val="18"/>
                                </w:rPr>
                                <w:t>сырье</w:t>
                              </w:r>
                            </w:p>
                          </w:txbxContent>
                        </wps:txbx>
                        <wps:bodyPr horzOverflow="overflow" vert="horz" lIns="0" tIns="0" rIns="0" bIns="0" rtlCol="0">
                          <a:noAutofit/>
                        </wps:bodyPr>
                      </wps:wsp>
                      <wps:wsp>
                        <wps:cNvPr id="67638" name="Rectangle 67638"/>
                        <wps:cNvSpPr/>
                        <wps:spPr>
                          <a:xfrm rot="-5399999">
                            <a:off x="4920312" y="1159104"/>
                            <a:ext cx="38005" cy="168285"/>
                          </a:xfrm>
                          <a:prstGeom prst="rect">
                            <a:avLst/>
                          </a:prstGeom>
                          <a:ln>
                            <a:noFill/>
                          </a:ln>
                        </wps:spPr>
                        <wps:txbx>
                          <w:txbxContent>
                            <w:p w:rsidR="002C0F56" w:rsidRDefault="00E67C6E">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7640" name="Rectangle 67640"/>
                        <wps:cNvSpPr/>
                        <wps:spPr>
                          <a:xfrm rot="-5399999">
                            <a:off x="3735429" y="1294173"/>
                            <a:ext cx="325169" cy="138287"/>
                          </a:xfrm>
                          <a:prstGeom prst="rect">
                            <a:avLst/>
                          </a:prstGeom>
                          <a:ln>
                            <a:noFill/>
                          </a:ln>
                        </wps:spPr>
                        <wps:txbx>
                          <w:txbxContent>
                            <w:p w:rsidR="002C0F56" w:rsidRDefault="00E67C6E">
                              <w:pPr>
                                <w:spacing w:after="160" w:line="259" w:lineRule="auto"/>
                                <w:ind w:left="0" w:firstLine="0"/>
                                <w:jc w:val="left"/>
                              </w:pPr>
                              <w:r>
                                <w:rPr>
                                  <w:sz w:val="18"/>
                                </w:rPr>
                                <w:t>Цена</w:t>
                              </w:r>
                            </w:p>
                          </w:txbxContent>
                        </wps:txbx>
                        <wps:bodyPr horzOverflow="overflow" vert="horz" lIns="0" tIns="0" rIns="0" bIns="0" rtlCol="0">
                          <a:noAutofit/>
                        </wps:bodyPr>
                      </wps:wsp>
                      <wps:wsp>
                        <wps:cNvPr id="67641" name="Rectangle 67641"/>
                        <wps:cNvSpPr/>
                        <wps:spPr>
                          <a:xfrm rot="-5399999">
                            <a:off x="3871420" y="1177392"/>
                            <a:ext cx="38005" cy="168285"/>
                          </a:xfrm>
                          <a:prstGeom prst="rect">
                            <a:avLst/>
                          </a:prstGeom>
                          <a:ln>
                            <a:noFill/>
                          </a:ln>
                        </wps:spPr>
                        <wps:txbx>
                          <w:txbxContent>
                            <w:p w:rsidR="002C0F56" w:rsidRDefault="00E67C6E">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7643" name="Rectangle 67643"/>
                        <wps:cNvSpPr/>
                        <wps:spPr>
                          <a:xfrm>
                            <a:off x="2056206" y="2157088"/>
                            <a:ext cx="1338983" cy="138287"/>
                          </a:xfrm>
                          <a:prstGeom prst="rect">
                            <a:avLst/>
                          </a:prstGeom>
                          <a:ln>
                            <a:noFill/>
                          </a:ln>
                        </wps:spPr>
                        <wps:txbx>
                          <w:txbxContent>
                            <w:p w:rsidR="002C0F56" w:rsidRDefault="00E67C6E">
                              <w:pPr>
                                <w:spacing w:after="160" w:line="259" w:lineRule="auto"/>
                                <w:ind w:left="0" w:firstLine="0"/>
                                <w:jc w:val="left"/>
                              </w:pPr>
                              <w:r>
                                <w:rPr>
                                  <w:sz w:val="18"/>
                                </w:rPr>
                                <w:t xml:space="preserve">Объем выпущенной </w:t>
                              </w:r>
                            </w:p>
                          </w:txbxContent>
                        </wps:txbx>
                        <wps:bodyPr horzOverflow="overflow" vert="horz" lIns="0" tIns="0" rIns="0" bIns="0" rtlCol="0">
                          <a:noAutofit/>
                        </wps:bodyPr>
                      </wps:wsp>
                      <wps:wsp>
                        <wps:cNvPr id="67644" name="Rectangle 67644"/>
                        <wps:cNvSpPr/>
                        <wps:spPr>
                          <a:xfrm>
                            <a:off x="2280234" y="2288152"/>
                            <a:ext cx="703544" cy="138287"/>
                          </a:xfrm>
                          <a:prstGeom prst="rect">
                            <a:avLst/>
                          </a:prstGeom>
                          <a:ln>
                            <a:noFill/>
                          </a:ln>
                        </wps:spPr>
                        <wps:txbx>
                          <w:txbxContent>
                            <w:p w:rsidR="002C0F56" w:rsidRDefault="00E67C6E">
                              <w:pPr>
                                <w:spacing w:after="160" w:line="259" w:lineRule="auto"/>
                                <w:ind w:left="0" w:firstLine="0"/>
                                <w:jc w:val="left"/>
                              </w:pPr>
                              <w:r>
                                <w:rPr>
                                  <w:sz w:val="18"/>
                                </w:rPr>
                                <w:t>продукции</w:t>
                              </w:r>
                            </w:p>
                          </w:txbxContent>
                        </wps:txbx>
                        <wps:bodyPr horzOverflow="overflow" vert="horz" lIns="0" tIns="0" rIns="0" bIns="0" rtlCol="0">
                          <a:noAutofit/>
                        </wps:bodyPr>
                      </wps:wsp>
                      <wps:wsp>
                        <wps:cNvPr id="67645" name="Rectangle 67645"/>
                        <wps:cNvSpPr/>
                        <wps:spPr>
                          <a:xfrm>
                            <a:off x="2810587" y="2265561"/>
                            <a:ext cx="38005" cy="168285"/>
                          </a:xfrm>
                          <a:prstGeom prst="rect">
                            <a:avLst/>
                          </a:prstGeom>
                          <a:ln>
                            <a:noFill/>
                          </a:ln>
                        </wps:spPr>
                        <wps:txbx>
                          <w:txbxContent>
                            <w:p w:rsidR="002C0F56" w:rsidRDefault="00E67C6E">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7647" name="Rectangle 67647"/>
                        <wps:cNvSpPr/>
                        <wps:spPr>
                          <a:xfrm rot="-5399999">
                            <a:off x="-212376" y="1251491"/>
                            <a:ext cx="864684" cy="138287"/>
                          </a:xfrm>
                          <a:prstGeom prst="rect">
                            <a:avLst/>
                          </a:prstGeom>
                          <a:ln>
                            <a:noFill/>
                          </a:ln>
                        </wps:spPr>
                        <wps:txbx>
                          <w:txbxContent>
                            <w:p w:rsidR="002C0F56" w:rsidRDefault="00E67C6E">
                              <w:pPr>
                                <w:spacing w:after="160" w:line="259" w:lineRule="auto"/>
                                <w:ind w:left="0" w:firstLine="0"/>
                                <w:jc w:val="left"/>
                              </w:pPr>
                              <w:r>
                                <w:rPr>
                                  <w:sz w:val="18"/>
                                </w:rPr>
                                <w:t xml:space="preserve">Дебиторская </w:t>
                              </w:r>
                            </w:p>
                          </w:txbxContent>
                        </wps:txbx>
                        <wps:bodyPr horzOverflow="overflow" vert="horz" lIns="0" tIns="0" rIns="0" bIns="0" rtlCol="0">
                          <a:noAutofit/>
                        </wps:bodyPr>
                      </wps:wsp>
                      <wps:wsp>
                        <wps:cNvPr id="67648" name="Rectangle 67648"/>
                        <wps:cNvSpPr/>
                        <wps:spPr>
                          <a:xfrm rot="-5399999">
                            <a:off x="-129566" y="1198664"/>
                            <a:ext cx="970337" cy="138287"/>
                          </a:xfrm>
                          <a:prstGeom prst="rect">
                            <a:avLst/>
                          </a:prstGeom>
                          <a:ln>
                            <a:noFill/>
                          </a:ln>
                        </wps:spPr>
                        <wps:txbx>
                          <w:txbxContent>
                            <w:p w:rsidR="002C0F56" w:rsidRDefault="00E67C6E">
                              <w:pPr>
                                <w:spacing w:after="160" w:line="259" w:lineRule="auto"/>
                                <w:ind w:left="0" w:firstLine="0"/>
                                <w:jc w:val="left"/>
                              </w:pPr>
                              <w:r>
                                <w:rPr>
                                  <w:sz w:val="18"/>
                                </w:rPr>
                                <w:t>задолженность</w:t>
                              </w:r>
                            </w:p>
                          </w:txbxContent>
                        </wps:txbx>
                        <wps:bodyPr horzOverflow="overflow" vert="horz" lIns="0" tIns="0" rIns="0" bIns="0" rtlCol="0">
                          <a:noAutofit/>
                        </wps:bodyPr>
                      </wps:wsp>
                      <wps:wsp>
                        <wps:cNvPr id="67649" name="Rectangle 67649"/>
                        <wps:cNvSpPr/>
                        <wps:spPr>
                          <a:xfrm rot="-5399999">
                            <a:off x="329008" y="919836"/>
                            <a:ext cx="38005" cy="168285"/>
                          </a:xfrm>
                          <a:prstGeom prst="rect">
                            <a:avLst/>
                          </a:prstGeom>
                          <a:ln>
                            <a:noFill/>
                          </a:ln>
                        </wps:spPr>
                        <wps:txbx>
                          <w:txbxContent>
                            <w:p w:rsidR="002C0F56" w:rsidRDefault="00E67C6E">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7651" name="Rectangle 67651"/>
                        <wps:cNvSpPr/>
                        <wps:spPr>
                          <a:xfrm rot="-5399999">
                            <a:off x="922183" y="1214095"/>
                            <a:ext cx="939477" cy="138287"/>
                          </a:xfrm>
                          <a:prstGeom prst="rect">
                            <a:avLst/>
                          </a:prstGeom>
                          <a:ln>
                            <a:noFill/>
                          </a:ln>
                        </wps:spPr>
                        <wps:txbx>
                          <w:txbxContent>
                            <w:p w:rsidR="002C0F56" w:rsidRDefault="00E67C6E">
                              <w:pPr>
                                <w:spacing w:after="160" w:line="259" w:lineRule="auto"/>
                                <w:ind w:left="0" w:firstLine="0"/>
                                <w:jc w:val="left"/>
                              </w:pPr>
                              <w:r>
                                <w:rPr>
                                  <w:sz w:val="18"/>
                                </w:rPr>
                                <w:t xml:space="preserve">Кредиторская </w:t>
                              </w:r>
                            </w:p>
                          </w:txbxContent>
                        </wps:txbx>
                        <wps:bodyPr horzOverflow="overflow" vert="horz" lIns="0" tIns="0" rIns="0" bIns="0" rtlCol="0">
                          <a:noAutofit/>
                        </wps:bodyPr>
                      </wps:wsp>
                      <wps:wsp>
                        <wps:cNvPr id="67652" name="Rectangle 67652"/>
                        <wps:cNvSpPr/>
                        <wps:spPr>
                          <a:xfrm rot="-5399999">
                            <a:off x="1042770" y="1198664"/>
                            <a:ext cx="970337" cy="138287"/>
                          </a:xfrm>
                          <a:prstGeom prst="rect">
                            <a:avLst/>
                          </a:prstGeom>
                          <a:ln>
                            <a:noFill/>
                          </a:ln>
                        </wps:spPr>
                        <wps:txbx>
                          <w:txbxContent>
                            <w:p w:rsidR="002C0F56" w:rsidRDefault="00E67C6E">
                              <w:pPr>
                                <w:spacing w:after="160" w:line="259" w:lineRule="auto"/>
                                <w:ind w:left="0" w:firstLine="0"/>
                                <w:jc w:val="left"/>
                              </w:pPr>
                              <w:r>
                                <w:rPr>
                                  <w:sz w:val="18"/>
                                </w:rPr>
                                <w:t>задолженность</w:t>
                              </w:r>
                            </w:p>
                          </w:txbxContent>
                        </wps:txbx>
                        <wps:bodyPr horzOverflow="overflow" vert="horz" lIns="0" tIns="0" rIns="0" bIns="0" rtlCol="0">
                          <a:noAutofit/>
                        </wps:bodyPr>
                      </wps:wsp>
                      <wps:wsp>
                        <wps:cNvPr id="67653" name="Rectangle 67653"/>
                        <wps:cNvSpPr/>
                        <wps:spPr>
                          <a:xfrm rot="-5399999">
                            <a:off x="1501345" y="919836"/>
                            <a:ext cx="38005" cy="168285"/>
                          </a:xfrm>
                          <a:prstGeom prst="rect">
                            <a:avLst/>
                          </a:prstGeom>
                          <a:ln>
                            <a:noFill/>
                          </a:ln>
                        </wps:spPr>
                        <wps:txbx>
                          <w:txbxContent>
                            <w:p w:rsidR="002C0F56" w:rsidRDefault="00E67C6E">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7655" name="Shape 67655"/>
                        <wps:cNvSpPr/>
                        <wps:spPr>
                          <a:xfrm>
                            <a:off x="95707" y="80768"/>
                            <a:ext cx="1657350" cy="981075"/>
                          </a:xfrm>
                          <a:custGeom>
                            <a:avLst/>
                            <a:gdLst/>
                            <a:ahLst/>
                            <a:cxnLst/>
                            <a:rect l="0" t="0" r="0" b="0"/>
                            <a:pathLst>
                              <a:path w="1657350" h="981075">
                                <a:moveTo>
                                  <a:pt x="0" y="981075"/>
                                </a:moveTo>
                                <a:lnTo>
                                  <a:pt x="1657350" y="981075"/>
                                </a:lnTo>
                                <a:lnTo>
                                  <a:pt x="165735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656" name="Rectangle 67656"/>
                        <wps:cNvSpPr/>
                        <wps:spPr>
                          <a:xfrm>
                            <a:off x="923493" y="13868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57" name="Rectangle 67657"/>
                        <wps:cNvSpPr/>
                        <wps:spPr>
                          <a:xfrm>
                            <a:off x="647649" y="379665"/>
                            <a:ext cx="737535" cy="215728"/>
                          </a:xfrm>
                          <a:prstGeom prst="rect">
                            <a:avLst/>
                          </a:prstGeom>
                          <a:ln>
                            <a:noFill/>
                          </a:ln>
                        </wps:spPr>
                        <wps:txbx>
                          <w:txbxContent>
                            <w:p w:rsidR="002C0F56" w:rsidRDefault="00E67C6E">
                              <w:pPr>
                                <w:spacing w:after="160" w:line="259" w:lineRule="auto"/>
                                <w:ind w:left="0" w:firstLine="0"/>
                                <w:jc w:val="left"/>
                              </w:pPr>
                              <w:r>
                                <w:t>Объект</w:t>
                              </w:r>
                            </w:p>
                          </w:txbxContent>
                        </wps:txbx>
                        <wps:bodyPr horzOverflow="overflow" vert="horz" lIns="0" tIns="0" rIns="0" bIns="0" rtlCol="0">
                          <a:noAutofit/>
                        </wps:bodyPr>
                      </wps:wsp>
                      <wps:wsp>
                        <wps:cNvPr id="67658" name="Rectangle 67658"/>
                        <wps:cNvSpPr/>
                        <wps:spPr>
                          <a:xfrm>
                            <a:off x="1200861" y="34442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56593" name="Rectangle 656593"/>
                        <wps:cNvSpPr/>
                        <wps:spPr>
                          <a:xfrm>
                            <a:off x="248361" y="583881"/>
                            <a:ext cx="78971" cy="215728"/>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56595" name="Rectangle 656595"/>
                        <wps:cNvSpPr/>
                        <wps:spPr>
                          <a:xfrm>
                            <a:off x="307738" y="583881"/>
                            <a:ext cx="1637518" cy="215728"/>
                          </a:xfrm>
                          <a:prstGeom prst="rect">
                            <a:avLst/>
                          </a:prstGeom>
                          <a:ln>
                            <a:noFill/>
                          </a:ln>
                        </wps:spPr>
                        <wps:txbx>
                          <w:txbxContent>
                            <w:p w:rsidR="002C0F56" w:rsidRDefault="00E67C6E">
                              <w:pPr>
                                <w:spacing w:after="160" w:line="259" w:lineRule="auto"/>
                                <w:ind w:left="0" w:firstLine="0"/>
                                <w:jc w:val="left"/>
                              </w:pPr>
                              <w:r>
                                <w:t>Чистая прибыль</w:t>
                              </w:r>
                            </w:p>
                          </w:txbxContent>
                        </wps:txbx>
                        <wps:bodyPr horzOverflow="overflow" vert="horz" lIns="0" tIns="0" rIns="0" bIns="0" rtlCol="0">
                          <a:noAutofit/>
                        </wps:bodyPr>
                      </wps:wsp>
                      <wps:wsp>
                        <wps:cNvPr id="656594" name="Rectangle 656594"/>
                        <wps:cNvSpPr/>
                        <wps:spPr>
                          <a:xfrm>
                            <a:off x="1538420" y="583881"/>
                            <a:ext cx="78971" cy="215728"/>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7660" name="Rectangle 67660"/>
                        <wps:cNvSpPr/>
                        <wps:spPr>
                          <a:xfrm>
                            <a:off x="1599006" y="548640"/>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62" name="Shape 67662"/>
                        <wps:cNvSpPr/>
                        <wps:spPr>
                          <a:xfrm>
                            <a:off x="3591382" y="80768"/>
                            <a:ext cx="1638300" cy="981075"/>
                          </a:xfrm>
                          <a:custGeom>
                            <a:avLst/>
                            <a:gdLst/>
                            <a:ahLst/>
                            <a:cxnLst/>
                            <a:rect l="0" t="0" r="0" b="0"/>
                            <a:pathLst>
                              <a:path w="1638300" h="981075">
                                <a:moveTo>
                                  <a:pt x="0" y="981075"/>
                                </a:moveTo>
                                <a:lnTo>
                                  <a:pt x="1638300" y="981075"/>
                                </a:lnTo>
                                <a:lnTo>
                                  <a:pt x="16383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663" name="Rectangle 67663"/>
                        <wps:cNvSpPr/>
                        <wps:spPr>
                          <a:xfrm>
                            <a:off x="4411040" y="138684"/>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64" name="Rectangle 67664"/>
                        <wps:cNvSpPr/>
                        <wps:spPr>
                          <a:xfrm>
                            <a:off x="4136720" y="379665"/>
                            <a:ext cx="731132" cy="215728"/>
                          </a:xfrm>
                          <a:prstGeom prst="rect">
                            <a:avLst/>
                          </a:prstGeom>
                          <a:ln>
                            <a:noFill/>
                          </a:ln>
                        </wps:spPr>
                        <wps:txbx>
                          <w:txbxContent>
                            <w:p w:rsidR="002C0F56" w:rsidRDefault="00E67C6E">
                              <w:pPr>
                                <w:spacing w:after="160" w:line="259" w:lineRule="auto"/>
                                <w:ind w:left="0" w:firstLine="0"/>
                                <w:jc w:val="left"/>
                              </w:pPr>
                              <w:r>
                                <w:t>Проект</w:t>
                              </w:r>
                            </w:p>
                          </w:txbxContent>
                        </wps:txbx>
                        <wps:bodyPr horzOverflow="overflow" vert="horz" lIns="0" tIns="0" rIns="0" bIns="0" rtlCol="0">
                          <a:noAutofit/>
                        </wps:bodyPr>
                      </wps:wsp>
                      <wps:wsp>
                        <wps:cNvPr id="67665" name="Rectangle 67665"/>
                        <wps:cNvSpPr/>
                        <wps:spPr>
                          <a:xfrm>
                            <a:off x="4685361" y="344424"/>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56591" name="Rectangle 656591"/>
                        <wps:cNvSpPr/>
                        <wps:spPr>
                          <a:xfrm>
                            <a:off x="4984834" y="583881"/>
                            <a:ext cx="78971" cy="215728"/>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56590" name="Rectangle 656590"/>
                        <wps:cNvSpPr/>
                        <wps:spPr>
                          <a:xfrm>
                            <a:off x="3778580" y="583881"/>
                            <a:ext cx="78971" cy="215728"/>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56592" name="Rectangle 656592"/>
                        <wps:cNvSpPr/>
                        <wps:spPr>
                          <a:xfrm>
                            <a:off x="3837957" y="583881"/>
                            <a:ext cx="1526295" cy="215728"/>
                          </a:xfrm>
                          <a:prstGeom prst="rect">
                            <a:avLst/>
                          </a:prstGeom>
                          <a:ln>
                            <a:noFill/>
                          </a:ln>
                        </wps:spPr>
                        <wps:txbx>
                          <w:txbxContent>
                            <w:p w:rsidR="002C0F56" w:rsidRDefault="00E67C6E">
                              <w:pPr>
                                <w:spacing w:after="160" w:line="259" w:lineRule="auto"/>
                                <w:ind w:left="0" w:firstLine="0"/>
                                <w:jc w:val="left"/>
                              </w:pPr>
                              <w:r>
                                <w:t>Себестоимость</w:t>
                              </w:r>
                            </w:p>
                          </w:txbxContent>
                        </wps:txbx>
                        <wps:bodyPr horzOverflow="overflow" vert="horz" lIns="0" tIns="0" rIns="0" bIns="0" rtlCol="0">
                          <a:noAutofit/>
                        </wps:bodyPr>
                      </wps:wsp>
                      <wps:wsp>
                        <wps:cNvPr id="67667" name="Rectangle 67667"/>
                        <wps:cNvSpPr/>
                        <wps:spPr>
                          <a:xfrm>
                            <a:off x="5043882" y="548640"/>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69" name="Shape 67669"/>
                        <wps:cNvSpPr/>
                        <wps:spPr>
                          <a:xfrm>
                            <a:off x="95707" y="1983227"/>
                            <a:ext cx="1657350" cy="990600"/>
                          </a:xfrm>
                          <a:custGeom>
                            <a:avLst/>
                            <a:gdLst/>
                            <a:ahLst/>
                            <a:cxnLst/>
                            <a:rect l="0" t="0" r="0" b="0"/>
                            <a:pathLst>
                              <a:path w="1657350" h="990600">
                                <a:moveTo>
                                  <a:pt x="0" y="990600"/>
                                </a:moveTo>
                                <a:lnTo>
                                  <a:pt x="1657350" y="990600"/>
                                </a:lnTo>
                                <a:lnTo>
                                  <a:pt x="165735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670" name="Rectangle 67670"/>
                        <wps:cNvSpPr/>
                        <wps:spPr>
                          <a:xfrm>
                            <a:off x="923493" y="2042414"/>
                            <a:ext cx="59287"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71" name="Rectangle 67671"/>
                        <wps:cNvSpPr/>
                        <wps:spPr>
                          <a:xfrm>
                            <a:off x="696417" y="2281871"/>
                            <a:ext cx="607577" cy="215728"/>
                          </a:xfrm>
                          <a:prstGeom prst="rect">
                            <a:avLst/>
                          </a:prstGeom>
                          <a:ln>
                            <a:noFill/>
                          </a:ln>
                        </wps:spPr>
                        <wps:txbx>
                          <w:txbxContent>
                            <w:p w:rsidR="002C0F56" w:rsidRDefault="00E67C6E">
                              <w:pPr>
                                <w:spacing w:after="160" w:line="259" w:lineRule="auto"/>
                                <w:ind w:left="0" w:firstLine="0"/>
                                <w:jc w:val="left"/>
                              </w:pPr>
                              <w:r>
                                <w:t>Среда</w:t>
                              </w:r>
                            </w:p>
                          </w:txbxContent>
                        </wps:txbx>
                        <wps:bodyPr horzOverflow="overflow" vert="horz" lIns="0" tIns="0" rIns="0" bIns="0" rtlCol="0">
                          <a:noAutofit/>
                        </wps:bodyPr>
                      </wps:wsp>
                      <wps:wsp>
                        <wps:cNvPr id="67672" name="Rectangle 67672"/>
                        <wps:cNvSpPr/>
                        <wps:spPr>
                          <a:xfrm>
                            <a:off x="1152093" y="2246630"/>
                            <a:ext cx="59287" cy="262524"/>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56599" name="Rectangle 656599"/>
                        <wps:cNvSpPr/>
                        <wps:spPr>
                          <a:xfrm>
                            <a:off x="1258057" y="2486087"/>
                            <a:ext cx="78971" cy="215727"/>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56600" name="Rectangle 656600"/>
                        <wps:cNvSpPr/>
                        <wps:spPr>
                          <a:xfrm>
                            <a:off x="588154" y="2486087"/>
                            <a:ext cx="890971" cy="215727"/>
                          </a:xfrm>
                          <a:prstGeom prst="rect">
                            <a:avLst/>
                          </a:prstGeom>
                          <a:ln>
                            <a:noFill/>
                          </a:ln>
                        </wps:spPr>
                        <wps:txbx>
                          <w:txbxContent>
                            <w:p w:rsidR="002C0F56" w:rsidRDefault="00E67C6E">
                              <w:pPr>
                                <w:spacing w:after="160" w:line="259" w:lineRule="auto"/>
                                <w:ind w:left="0" w:firstLine="0"/>
                                <w:jc w:val="left"/>
                              </w:pPr>
                              <w:r>
                                <w:t>Выручка</w:t>
                              </w:r>
                            </w:p>
                          </w:txbxContent>
                        </wps:txbx>
                        <wps:bodyPr horzOverflow="overflow" vert="horz" lIns="0" tIns="0" rIns="0" bIns="0" rtlCol="0">
                          <a:noAutofit/>
                        </wps:bodyPr>
                      </wps:wsp>
                      <wps:wsp>
                        <wps:cNvPr id="656598" name="Rectangle 656598"/>
                        <wps:cNvSpPr/>
                        <wps:spPr>
                          <a:xfrm>
                            <a:off x="528777" y="2486087"/>
                            <a:ext cx="78971" cy="215727"/>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7674" name="Rectangle 67674"/>
                        <wps:cNvSpPr/>
                        <wps:spPr>
                          <a:xfrm>
                            <a:off x="1318209" y="2450846"/>
                            <a:ext cx="59287" cy="262526"/>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76" name="Shape 67676"/>
                        <wps:cNvSpPr/>
                        <wps:spPr>
                          <a:xfrm>
                            <a:off x="3477082" y="1983227"/>
                            <a:ext cx="1638300" cy="990600"/>
                          </a:xfrm>
                          <a:custGeom>
                            <a:avLst/>
                            <a:gdLst/>
                            <a:ahLst/>
                            <a:cxnLst/>
                            <a:rect l="0" t="0" r="0" b="0"/>
                            <a:pathLst>
                              <a:path w="1638300" h="990600">
                                <a:moveTo>
                                  <a:pt x="0" y="990600"/>
                                </a:moveTo>
                                <a:lnTo>
                                  <a:pt x="1638300" y="990600"/>
                                </a:lnTo>
                                <a:lnTo>
                                  <a:pt x="16383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67677" name="Rectangle 67677"/>
                        <wps:cNvSpPr/>
                        <wps:spPr>
                          <a:xfrm>
                            <a:off x="3978224" y="2077655"/>
                            <a:ext cx="408135" cy="215728"/>
                          </a:xfrm>
                          <a:prstGeom prst="rect">
                            <a:avLst/>
                          </a:prstGeom>
                          <a:ln>
                            <a:noFill/>
                          </a:ln>
                        </wps:spPr>
                        <wps:txbx>
                          <w:txbxContent>
                            <w:p w:rsidR="002C0F56" w:rsidRDefault="00E67C6E">
                              <w:pPr>
                                <w:spacing w:after="160" w:line="259" w:lineRule="auto"/>
                                <w:ind w:left="0" w:firstLine="0"/>
                                <w:jc w:val="left"/>
                              </w:pPr>
                              <w:r>
                                <w:t>Про</w:t>
                              </w:r>
                            </w:p>
                          </w:txbxContent>
                        </wps:txbx>
                        <wps:bodyPr horzOverflow="overflow" vert="horz" lIns="0" tIns="0" rIns="0" bIns="0" rtlCol="0">
                          <a:noAutofit/>
                        </wps:bodyPr>
                      </wps:wsp>
                      <wps:wsp>
                        <wps:cNvPr id="67678" name="Rectangle 67678"/>
                        <wps:cNvSpPr/>
                        <wps:spPr>
                          <a:xfrm>
                            <a:off x="4284549" y="2077655"/>
                            <a:ext cx="443233" cy="215728"/>
                          </a:xfrm>
                          <a:prstGeom prst="rect">
                            <a:avLst/>
                          </a:prstGeom>
                          <a:ln>
                            <a:noFill/>
                          </a:ln>
                        </wps:spPr>
                        <wps:txbx>
                          <w:txbxContent>
                            <w:p w:rsidR="002C0F56" w:rsidRDefault="00E67C6E">
                              <w:pPr>
                                <w:spacing w:after="160" w:line="259" w:lineRule="auto"/>
                                <w:ind w:left="0" w:firstLine="0"/>
                                <w:jc w:val="left"/>
                              </w:pPr>
                              <w:r>
                                <w:t>цесс</w:t>
                              </w:r>
                            </w:p>
                          </w:txbxContent>
                        </wps:txbx>
                        <wps:bodyPr horzOverflow="overflow" vert="horz" lIns="0" tIns="0" rIns="0" bIns="0" rtlCol="0">
                          <a:noAutofit/>
                        </wps:bodyPr>
                      </wps:wsp>
                      <wps:wsp>
                        <wps:cNvPr id="67679" name="Rectangle 67679"/>
                        <wps:cNvSpPr/>
                        <wps:spPr>
                          <a:xfrm>
                            <a:off x="4616780" y="2042414"/>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56597" name="Rectangle 656597"/>
                        <wps:cNvSpPr/>
                        <wps:spPr>
                          <a:xfrm>
                            <a:off x="3758709" y="2281871"/>
                            <a:ext cx="1570168" cy="215728"/>
                          </a:xfrm>
                          <a:prstGeom prst="rect">
                            <a:avLst/>
                          </a:prstGeom>
                          <a:ln>
                            <a:noFill/>
                          </a:ln>
                        </wps:spPr>
                        <wps:txbx>
                          <w:txbxContent>
                            <w:p w:rsidR="002C0F56" w:rsidRDefault="00E67C6E">
                              <w:pPr>
                                <w:spacing w:after="160" w:line="259" w:lineRule="auto"/>
                                <w:ind w:left="0" w:firstLine="0"/>
                                <w:jc w:val="left"/>
                              </w:pPr>
                              <w:r>
                                <w:t xml:space="preserve">Норма расхода </w:t>
                              </w:r>
                            </w:p>
                          </w:txbxContent>
                        </wps:txbx>
                        <wps:bodyPr horzOverflow="overflow" vert="horz" lIns="0" tIns="0" rIns="0" bIns="0" rtlCol="0">
                          <a:noAutofit/>
                        </wps:bodyPr>
                      </wps:wsp>
                      <wps:wsp>
                        <wps:cNvPr id="656596" name="Rectangle 656596"/>
                        <wps:cNvSpPr/>
                        <wps:spPr>
                          <a:xfrm>
                            <a:off x="3699332" y="2281871"/>
                            <a:ext cx="78971" cy="215728"/>
                          </a:xfrm>
                          <a:prstGeom prst="rect">
                            <a:avLst/>
                          </a:prstGeom>
                          <a:ln>
                            <a:noFill/>
                          </a:ln>
                        </wps:spPr>
                        <wps:txbx>
                          <w:txbxContent>
                            <w:p w:rsidR="002C0F56" w:rsidRDefault="00E67C6E">
                              <w:pPr>
                                <w:spacing w:after="160" w:line="259" w:lineRule="auto"/>
                                <w:ind w:left="0" w:firstLine="0"/>
                                <w:jc w:val="left"/>
                              </w:pPr>
                              <w:r>
                                <w:t>(</w:t>
                              </w:r>
                            </w:p>
                          </w:txbxContent>
                        </wps:txbx>
                        <wps:bodyPr horzOverflow="overflow" vert="horz" lIns="0" tIns="0" rIns="0" bIns="0" rtlCol="0">
                          <a:noAutofit/>
                        </wps:bodyPr>
                      </wps:wsp>
                      <wps:wsp>
                        <wps:cNvPr id="67681" name="Rectangle 67681"/>
                        <wps:cNvSpPr/>
                        <wps:spPr>
                          <a:xfrm>
                            <a:off x="4042232" y="2486087"/>
                            <a:ext cx="678011" cy="215727"/>
                          </a:xfrm>
                          <a:prstGeom prst="rect">
                            <a:avLst/>
                          </a:prstGeom>
                          <a:ln>
                            <a:noFill/>
                          </a:ln>
                        </wps:spPr>
                        <wps:txbx>
                          <w:txbxContent>
                            <w:p w:rsidR="002C0F56" w:rsidRDefault="00E67C6E">
                              <w:pPr>
                                <w:spacing w:after="160" w:line="259" w:lineRule="auto"/>
                                <w:ind w:left="0" w:firstLine="0"/>
                                <w:jc w:val="left"/>
                              </w:pPr>
                              <w:r>
                                <w:t>сырья)</w:t>
                              </w:r>
                            </w:p>
                          </w:txbxContent>
                        </wps:txbx>
                        <wps:bodyPr horzOverflow="overflow" vert="horz" lIns="0" tIns="0" rIns="0" bIns="0" rtlCol="0">
                          <a:noAutofit/>
                        </wps:bodyPr>
                      </wps:wsp>
                      <wps:wsp>
                        <wps:cNvPr id="67682" name="Rectangle 67682"/>
                        <wps:cNvSpPr/>
                        <wps:spPr>
                          <a:xfrm>
                            <a:off x="4551249" y="2450846"/>
                            <a:ext cx="59288" cy="262526"/>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s:wsp>
                        <wps:cNvPr id="67683" name="Shape 67683"/>
                        <wps:cNvSpPr/>
                        <wps:spPr>
                          <a:xfrm>
                            <a:off x="1753057" y="144902"/>
                            <a:ext cx="1724025" cy="76200"/>
                          </a:xfrm>
                          <a:custGeom>
                            <a:avLst/>
                            <a:gdLst/>
                            <a:ahLst/>
                            <a:cxnLst/>
                            <a:rect l="0" t="0" r="0" b="0"/>
                            <a:pathLst>
                              <a:path w="1724025" h="76200">
                                <a:moveTo>
                                  <a:pt x="1647825" y="0"/>
                                </a:moveTo>
                                <a:lnTo>
                                  <a:pt x="1724025" y="38100"/>
                                </a:lnTo>
                                <a:lnTo>
                                  <a:pt x="1647825" y="76200"/>
                                </a:lnTo>
                                <a:lnTo>
                                  <a:pt x="1647825" y="44450"/>
                                </a:lnTo>
                                <a:lnTo>
                                  <a:pt x="0" y="44450"/>
                                </a:lnTo>
                                <a:lnTo>
                                  <a:pt x="0" y="31750"/>
                                </a:lnTo>
                                <a:lnTo>
                                  <a:pt x="1647825" y="31750"/>
                                </a:lnTo>
                                <a:lnTo>
                                  <a:pt x="164782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84" name="Shape 67684"/>
                        <wps:cNvSpPr/>
                        <wps:spPr>
                          <a:xfrm>
                            <a:off x="1753057" y="376043"/>
                            <a:ext cx="1724025" cy="76200"/>
                          </a:xfrm>
                          <a:custGeom>
                            <a:avLst/>
                            <a:gdLst/>
                            <a:ahLst/>
                            <a:cxnLst/>
                            <a:rect l="0" t="0" r="0" b="0"/>
                            <a:pathLst>
                              <a:path w="1724025" h="76200">
                                <a:moveTo>
                                  <a:pt x="76200" y="0"/>
                                </a:moveTo>
                                <a:lnTo>
                                  <a:pt x="76200" y="31750"/>
                                </a:lnTo>
                                <a:lnTo>
                                  <a:pt x="1724025" y="31750"/>
                                </a:lnTo>
                                <a:lnTo>
                                  <a:pt x="1724025" y="44450"/>
                                </a:lnTo>
                                <a:lnTo>
                                  <a:pt x="76200" y="44450"/>
                                </a:lnTo>
                                <a:lnTo>
                                  <a:pt x="76200" y="76200"/>
                                </a:lnTo>
                                <a:lnTo>
                                  <a:pt x="0" y="38100"/>
                                </a:lnTo>
                                <a:lnTo>
                                  <a:pt x="762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85" name="Shape 67685"/>
                        <wps:cNvSpPr/>
                        <wps:spPr>
                          <a:xfrm>
                            <a:off x="4583252" y="1062477"/>
                            <a:ext cx="76200" cy="794385"/>
                          </a:xfrm>
                          <a:custGeom>
                            <a:avLst/>
                            <a:gdLst/>
                            <a:ahLst/>
                            <a:cxnLst/>
                            <a:rect l="0" t="0" r="0" b="0"/>
                            <a:pathLst>
                              <a:path w="76200" h="794385">
                                <a:moveTo>
                                  <a:pt x="31115" y="0"/>
                                </a:moveTo>
                                <a:lnTo>
                                  <a:pt x="43815" y="0"/>
                                </a:lnTo>
                                <a:lnTo>
                                  <a:pt x="44439" y="718185"/>
                                </a:lnTo>
                                <a:lnTo>
                                  <a:pt x="76200" y="718185"/>
                                </a:lnTo>
                                <a:lnTo>
                                  <a:pt x="38100" y="794385"/>
                                </a:lnTo>
                                <a:lnTo>
                                  <a:pt x="0" y="718185"/>
                                </a:lnTo>
                                <a:lnTo>
                                  <a:pt x="31739" y="718185"/>
                                </a:lnTo>
                                <a:lnTo>
                                  <a:pt x="3111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86" name="Shape 67686"/>
                        <wps:cNvSpPr/>
                        <wps:spPr>
                          <a:xfrm>
                            <a:off x="3964127" y="1188843"/>
                            <a:ext cx="76200" cy="794385"/>
                          </a:xfrm>
                          <a:custGeom>
                            <a:avLst/>
                            <a:gdLst/>
                            <a:ahLst/>
                            <a:cxnLst/>
                            <a:rect l="0" t="0" r="0" b="0"/>
                            <a:pathLst>
                              <a:path w="76200" h="794385">
                                <a:moveTo>
                                  <a:pt x="38100" y="0"/>
                                </a:moveTo>
                                <a:lnTo>
                                  <a:pt x="76200" y="76200"/>
                                </a:lnTo>
                                <a:lnTo>
                                  <a:pt x="44439" y="76200"/>
                                </a:lnTo>
                                <a:lnTo>
                                  <a:pt x="43815" y="794385"/>
                                </a:lnTo>
                                <a:lnTo>
                                  <a:pt x="31115" y="794385"/>
                                </a:lnTo>
                                <a:lnTo>
                                  <a:pt x="31739" y="76200"/>
                                </a:lnTo>
                                <a:lnTo>
                                  <a:pt x="0" y="76200"/>
                                </a:lnTo>
                                <a:lnTo>
                                  <a:pt x="381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87" name="Shape 67687"/>
                        <wps:cNvSpPr/>
                        <wps:spPr>
                          <a:xfrm>
                            <a:off x="1753057" y="2225163"/>
                            <a:ext cx="1724025" cy="76200"/>
                          </a:xfrm>
                          <a:custGeom>
                            <a:avLst/>
                            <a:gdLst/>
                            <a:ahLst/>
                            <a:cxnLst/>
                            <a:rect l="0" t="0" r="0" b="0"/>
                            <a:pathLst>
                              <a:path w="1724025" h="76200">
                                <a:moveTo>
                                  <a:pt x="1647825" y="0"/>
                                </a:moveTo>
                                <a:lnTo>
                                  <a:pt x="1724025" y="38100"/>
                                </a:lnTo>
                                <a:lnTo>
                                  <a:pt x="1647825" y="76200"/>
                                </a:lnTo>
                                <a:lnTo>
                                  <a:pt x="1647825" y="44450"/>
                                </a:lnTo>
                                <a:lnTo>
                                  <a:pt x="0" y="44450"/>
                                </a:lnTo>
                                <a:lnTo>
                                  <a:pt x="0" y="31750"/>
                                </a:lnTo>
                                <a:lnTo>
                                  <a:pt x="1647825" y="31750"/>
                                </a:lnTo>
                                <a:lnTo>
                                  <a:pt x="164782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88" name="Shape 67688"/>
                        <wps:cNvSpPr/>
                        <wps:spPr>
                          <a:xfrm>
                            <a:off x="1753057" y="2435348"/>
                            <a:ext cx="1724025" cy="76200"/>
                          </a:xfrm>
                          <a:custGeom>
                            <a:avLst/>
                            <a:gdLst/>
                            <a:ahLst/>
                            <a:cxnLst/>
                            <a:rect l="0" t="0" r="0" b="0"/>
                            <a:pathLst>
                              <a:path w="1724025" h="76200">
                                <a:moveTo>
                                  <a:pt x="76200" y="0"/>
                                </a:moveTo>
                                <a:lnTo>
                                  <a:pt x="76200" y="31750"/>
                                </a:lnTo>
                                <a:lnTo>
                                  <a:pt x="1724025" y="31750"/>
                                </a:lnTo>
                                <a:lnTo>
                                  <a:pt x="1724025" y="44450"/>
                                </a:lnTo>
                                <a:lnTo>
                                  <a:pt x="76200" y="44450"/>
                                </a:lnTo>
                                <a:lnTo>
                                  <a:pt x="76200" y="76200"/>
                                </a:lnTo>
                                <a:lnTo>
                                  <a:pt x="0" y="38100"/>
                                </a:lnTo>
                                <a:lnTo>
                                  <a:pt x="762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89" name="Shape 67689"/>
                        <wps:cNvSpPr/>
                        <wps:spPr>
                          <a:xfrm>
                            <a:off x="420827" y="1188843"/>
                            <a:ext cx="76200" cy="794385"/>
                          </a:xfrm>
                          <a:custGeom>
                            <a:avLst/>
                            <a:gdLst/>
                            <a:ahLst/>
                            <a:cxnLst/>
                            <a:rect l="0" t="0" r="0" b="0"/>
                            <a:pathLst>
                              <a:path w="76200" h="794385">
                                <a:moveTo>
                                  <a:pt x="38100" y="0"/>
                                </a:moveTo>
                                <a:lnTo>
                                  <a:pt x="76200" y="76200"/>
                                </a:lnTo>
                                <a:lnTo>
                                  <a:pt x="44439" y="76200"/>
                                </a:lnTo>
                                <a:lnTo>
                                  <a:pt x="43815" y="794385"/>
                                </a:lnTo>
                                <a:lnTo>
                                  <a:pt x="31115" y="794385"/>
                                </a:lnTo>
                                <a:lnTo>
                                  <a:pt x="31739" y="76200"/>
                                </a:lnTo>
                                <a:lnTo>
                                  <a:pt x="0" y="76200"/>
                                </a:lnTo>
                                <a:lnTo>
                                  <a:pt x="381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90" name="Shape 67690"/>
                        <wps:cNvSpPr/>
                        <wps:spPr>
                          <a:xfrm>
                            <a:off x="1162507" y="1092958"/>
                            <a:ext cx="76200" cy="794385"/>
                          </a:xfrm>
                          <a:custGeom>
                            <a:avLst/>
                            <a:gdLst/>
                            <a:ahLst/>
                            <a:cxnLst/>
                            <a:rect l="0" t="0" r="0" b="0"/>
                            <a:pathLst>
                              <a:path w="76200" h="794385">
                                <a:moveTo>
                                  <a:pt x="31115" y="0"/>
                                </a:moveTo>
                                <a:lnTo>
                                  <a:pt x="43815" y="0"/>
                                </a:lnTo>
                                <a:lnTo>
                                  <a:pt x="44439" y="718185"/>
                                </a:lnTo>
                                <a:lnTo>
                                  <a:pt x="76200" y="718185"/>
                                </a:lnTo>
                                <a:lnTo>
                                  <a:pt x="38100" y="794385"/>
                                </a:lnTo>
                                <a:lnTo>
                                  <a:pt x="0" y="718185"/>
                                </a:lnTo>
                                <a:lnTo>
                                  <a:pt x="31739" y="718185"/>
                                </a:lnTo>
                                <a:lnTo>
                                  <a:pt x="3111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7692" name="Rectangle 67692"/>
                        <wps:cNvSpPr/>
                        <wps:spPr>
                          <a:xfrm>
                            <a:off x="2226894" y="2634100"/>
                            <a:ext cx="416380" cy="138287"/>
                          </a:xfrm>
                          <a:prstGeom prst="rect">
                            <a:avLst/>
                          </a:prstGeom>
                          <a:ln>
                            <a:noFill/>
                          </a:ln>
                        </wps:spPr>
                        <wps:txbx>
                          <w:txbxContent>
                            <w:p w:rsidR="002C0F56" w:rsidRDefault="00E67C6E">
                              <w:pPr>
                                <w:spacing w:after="160" w:line="259" w:lineRule="auto"/>
                                <w:ind w:left="0" w:firstLine="0"/>
                                <w:jc w:val="left"/>
                              </w:pPr>
                              <w:r>
                                <w:rPr>
                                  <w:sz w:val="18"/>
                                </w:rPr>
                                <w:t>Сырье</w:t>
                              </w:r>
                            </w:p>
                          </w:txbxContent>
                        </wps:txbx>
                        <wps:bodyPr horzOverflow="overflow" vert="horz" lIns="0" tIns="0" rIns="0" bIns="0" rtlCol="0">
                          <a:noAutofit/>
                        </wps:bodyPr>
                      </wps:wsp>
                      <wps:wsp>
                        <wps:cNvPr id="67693" name="Rectangle 67693"/>
                        <wps:cNvSpPr/>
                        <wps:spPr>
                          <a:xfrm>
                            <a:off x="2539314" y="2611509"/>
                            <a:ext cx="38005" cy="168285"/>
                          </a:xfrm>
                          <a:prstGeom prst="rect">
                            <a:avLst/>
                          </a:prstGeom>
                          <a:ln>
                            <a:noFill/>
                          </a:ln>
                        </wps:spPr>
                        <wps:txbx>
                          <w:txbxContent>
                            <w:p w:rsidR="002C0F56" w:rsidRDefault="00E67C6E">
                              <w:pPr>
                                <w:spacing w:after="160" w:line="259" w:lineRule="auto"/>
                                <w:ind w:left="0" w:firstLine="0"/>
                                <w:jc w:val="left"/>
                              </w:pPr>
                              <w:r>
                                <w:rPr>
                                  <w:sz w:val="1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57157" style="width:411.786pt;height:240.082pt;mso-position-horizontal-relative:char;mso-position-vertical-relative:line" coordsize="52296,30490">
                <v:rect id="Rectangle 67543" style="position:absolute;width:13581;height:2625;left:0;top:0;" filled="f" stroked="f">
                  <v:textbox inset="0,0,0,0">
                    <w:txbxContent>
                      <w:p>
                        <w:pPr>
                          <w:spacing w:before="0" w:after="160" w:line="259" w:lineRule="auto"/>
                          <w:ind w:left="0" w:firstLine="0"/>
                          <w:jc w:val="left"/>
                        </w:pPr>
                        <w:r>
                          <w:rPr/>
                          <w:t xml:space="preserve">                       </w:t>
                        </w:r>
                      </w:p>
                    </w:txbxContent>
                  </v:textbox>
                </v:rect>
                <v:rect id="Rectangle 67544" style="position:absolute;width:7095;height:2625;left:10210;top:0;" filled="f" stroked="f">
                  <v:textbox inset="0,0,0,0">
                    <w:txbxContent>
                      <w:p>
                        <w:pPr>
                          <w:spacing w:before="0" w:after="160" w:line="259" w:lineRule="auto"/>
                          <w:ind w:left="0" w:firstLine="0"/>
                          <w:jc w:val="left"/>
                        </w:pPr>
                        <w:r>
                          <w:rPr/>
                          <w:t xml:space="preserve">            </w:t>
                        </w:r>
                      </w:p>
                    </w:txbxContent>
                  </v:textbox>
                </v:rect>
                <v:rect id="Rectangle 67545" style="position:absolute;width:1768;height:2625;left:15563;top:0;" filled="f" stroked="f">
                  <v:textbox inset="0,0,0,0">
                    <w:txbxContent>
                      <w:p>
                        <w:pPr>
                          <w:spacing w:before="0" w:after="160" w:line="259" w:lineRule="auto"/>
                          <w:ind w:left="0" w:firstLine="0"/>
                          <w:jc w:val="left"/>
                        </w:pPr>
                        <w:r>
                          <w:rPr/>
                          <w:t xml:space="preserve">   </w:t>
                        </w:r>
                      </w:p>
                    </w:txbxContent>
                  </v:textbox>
                </v:rect>
                <v:rect id="Rectangle 67546" style="position:absolute;width:22839;height:1530;left:16889;top:711;" filled="f" stroked="f">
                  <v:textbox inset="0,0,0,0">
                    <w:txbxContent>
                      <w:p>
                        <w:pPr>
                          <w:spacing w:before="0" w:after="160" w:line="259" w:lineRule="auto"/>
                          <w:ind w:left="0" w:firstLine="0"/>
                          <w:jc w:val="left"/>
                        </w:pPr>
                        <w:r>
                          <w:rPr>
                            <w:sz w:val="20"/>
                          </w:rPr>
                          <w:t xml:space="preserve">План. экономич.эффективность</w:t>
                        </w:r>
                      </w:p>
                    </w:txbxContent>
                  </v:textbox>
                </v:rect>
                <v:rect id="Rectangle 67547" style="position:absolute;width:420;height:1862;left:34097;top:461;" filled="f" stroked="f">
                  <v:textbox inset="0,0,0,0">
                    <w:txbxContent>
                      <w:p>
                        <w:pPr>
                          <w:spacing w:before="0" w:after="160" w:line="259" w:lineRule="auto"/>
                          <w:ind w:left="0" w:firstLine="0"/>
                          <w:jc w:val="left"/>
                        </w:pPr>
                        <w:r>
                          <w:rPr>
                            <w:sz w:val="20"/>
                          </w:rPr>
                          <w:t xml:space="preserve"> </w:t>
                        </w:r>
                      </w:p>
                    </w:txbxContent>
                  </v:textbox>
                </v:rect>
                <v:rect id="Rectangle 67548" style="position:absolute;width:592;height:2625;left:0;top:1935;" filled="f" stroked="f">
                  <v:textbox inset="0,0,0,0">
                    <w:txbxContent>
                      <w:p>
                        <w:pPr>
                          <w:spacing w:before="0" w:after="160" w:line="259" w:lineRule="auto"/>
                          <w:ind w:left="0" w:firstLine="0"/>
                          <w:jc w:val="left"/>
                        </w:pPr>
                        <w:r>
                          <w:rPr/>
                          <w:t xml:space="preserve"> </w:t>
                        </w:r>
                      </w:p>
                    </w:txbxContent>
                  </v:textbox>
                </v:rect>
                <v:rect id="Rectangle 67549" style="position:absolute;width:43142;height:2625;left:0;top:3977;" filled="f" stroked="f">
                  <v:textbox inset="0,0,0,0">
                    <w:txbxContent>
                      <w:p>
                        <w:pPr>
                          <w:spacing w:before="0" w:after="160" w:line="259" w:lineRule="auto"/>
                          <w:ind w:left="0" w:firstLine="0"/>
                          <w:jc w:val="left"/>
                        </w:pPr>
                        <w:r>
                          <w:rPr/>
                          <w:t xml:space="preserve">                                                                         </w:t>
                        </w:r>
                      </w:p>
                    </w:txbxContent>
                  </v:textbox>
                </v:rect>
                <v:rect id="Rectangle 67550" style="position:absolute;width:592;height:2625;left:32467;top:3977;" filled="f" stroked="f">
                  <v:textbox inset="0,0,0,0">
                    <w:txbxContent>
                      <w:p>
                        <w:pPr>
                          <w:spacing w:before="0" w:after="160" w:line="259" w:lineRule="auto"/>
                          <w:ind w:left="0" w:firstLine="0"/>
                          <w:jc w:val="left"/>
                        </w:pPr>
                        <w:r>
                          <w:rPr/>
                          <w:t xml:space="preserve"> </w:t>
                        </w:r>
                      </w:p>
                    </w:txbxContent>
                  </v:textbox>
                </v:rect>
                <v:rect id="Rectangle 67551" style="position:absolute;width:46688;height:2625;left:0;top:6019;" filled="f" stroked="f">
                  <v:textbox inset="0,0,0,0">
                    <w:txbxContent>
                      <w:p>
                        <w:pPr>
                          <w:spacing w:before="0" w:after="160" w:line="259" w:lineRule="auto"/>
                          <w:ind w:left="0" w:firstLine="0"/>
                          <w:jc w:val="left"/>
                        </w:pPr>
                        <w:r>
                          <w:rPr/>
                          <w:t xml:space="preserve">                                                                               </w:t>
                        </w:r>
                      </w:p>
                    </w:txbxContent>
                  </v:textbox>
                </v:rect>
                <v:rect id="Rectangle 67552" style="position:absolute;width:15846;height:2157;left:35118;top:6372;" filled="f" stroked="f">
                  <v:textbox inset="0,0,0,0">
                    <w:txbxContent>
                      <w:p>
                        <w:pPr>
                          <w:spacing w:before="0" w:after="160" w:line="259" w:lineRule="auto"/>
                          <w:ind w:left="0" w:firstLine="0"/>
                          <w:jc w:val="left"/>
                        </w:pPr>
                        <w:r>
                          <w:rPr/>
                          <w:t xml:space="preserve">Рентабельность</w:t>
                        </w:r>
                      </w:p>
                    </w:txbxContent>
                  </v:textbox>
                </v:rect>
                <v:rect id="Rectangle 67553" style="position:absolute;width:592;height:2625;left:47036;top:6019;" filled="f" stroked="f">
                  <v:textbox inset="0,0,0,0">
                    <w:txbxContent>
                      <w:p>
                        <w:pPr>
                          <w:spacing w:before="0" w:after="160" w:line="259" w:lineRule="auto"/>
                          <w:ind w:left="0" w:firstLine="0"/>
                          <w:jc w:val="left"/>
                        </w:pPr>
                        <w:r>
                          <w:rPr/>
                          <w:t xml:space="preserve"> </w:t>
                        </w:r>
                      </w:p>
                    </w:txbxContent>
                  </v:textbox>
                </v:rect>
                <v:rect id="Rectangle 67554" style="position:absolute;width:592;height:2625;left:0;top:8061;" filled="f" stroked="f">
                  <v:textbox inset="0,0,0,0">
                    <w:txbxContent>
                      <w:p>
                        <w:pPr>
                          <w:spacing w:before="0" w:after="160" w:line="259" w:lineRule="auto"/>
                          <w:ind w:left="0" w:firstLine="0"/>
                          <w:jc w:val="left"/>
                        </w:pPr>
                        <w:r>
                          <w:rPr/>
                          <w:t xml:space="preserve"> </w:t>
                        </w:r>
                      </w:p>
                    </w:txbxContent>
                  </v:textbox>
                </v:rect>
                <v:rect id="Rectangle 67555" style="position:absolute;width:592;height:2625;left:0;top:10104;" filled="f" stroked="f">
                  <v:textbox inset="0,0,0,0">
                    <w:txbxContent>
                      <w:p>
                        <w:pPr>
                          <w:spacing w:before="0" w:after="160" w:line="259" w:lineRule="auto"/>
                          <w:ind w:left="0" w:firstLine="0"/>
                          <w:jc w:val="left"/>
                        </w:pPr>
                        <w:r>
                          <w:rPr/>
                          <w:t xml:space="preserve"> </w:t>
                        </w:r>
                      </w:p>
                    </w:txbxContent>
                  </v:textbox>
                </v:rect>
                <v:rect id="Rectangle 67556" style="position:absolute;width:592;height:2625;left:0;top:12146;" filled="f" stroked="f">
                  <v:textbox inset="0,0,0,0">
                    <w:txbxContent>
                      <w:p>
                        <w:pPr>
                          <w:spacing w:before="0" w:after="160" w:line="259" w:lineRule="auto"/>
                          <w:ind w:left="0" w:firstLine="0"/>
                          <w:jc w:val="left"/>
                        </w:pPr>
                        <w:r>
                          <w:rPr/>
                          <w:t xml:space="preserve"> </w:t>
                        </w:r>
                      </w:p>
                    </w:txbxContent>
                  </v:textbox>
                </v:rect>
                <v:rect id="Rectangle 67557" style="position:absolute;width:592;height:2625;left:0;top:14203;" filled="f" stroked="f">
                  <v:textbox inset="0,0,0,0">
                    <w:txbxContent>
                      <w:p>
                        <w:pPr>
                          <w:spacing w:before="0" w:after="160" w:line="259" w:lineRule="auto"/>
                          <w:ind w:left="0" w:firstLine="0"/>
                          <w:jc w:val="left"/>
                        </w:pPr>
                        <w:r>
                          <w:rPr/>
                          <w:t xml:space="preserve"> </w:t>
                        </w:r>
                      </w:p>
                    </w:txbxContent>
                  </v:textbox>
                </v:rect>
                <v:rect id="Rectangle 67558" style="position:absolute;width:592;height:2625;left:0;top:16248;" filled="f" stroked="f">
                  <v:textbox inset="0,0,0,0">
                    <w:txbxContent>
                      <w:p>
                        <w:pPr>
                          <w:spacing w:before="0" w:after="160" w:line="259" w:lineRule="auto"/>
                          <w:ind w:left="0" w:firstLine="0"/>
                          <w:jc w:val="left"/>
                        </w:pPr>
                        <w:r>
                          <w:rPr/>
                          <w:t xml:space="preserve"> </w:t>
                        </w:r>
                      </w:p>
                    </w:txbxContent>
                  </v:textbox>
                </v:rect>
                <v:rect id="Rectangle 67559" style="position:absolute;width:592;height:2625;left:0;top:18290;" filled="f" stroked="f">
                  <v:textbox inset="0,0,0,0">
                    <w:txbxContent>
                      <w:p>
                        <w:pPr>
                          <w:spacing w:before="0" w:after="160" w:line="259" w:lineRule="auto"/>
                          <w:ind w:left="0" w:firstLine="0"/>
                          <w:jc w:val="left"/>
                        </w:pPr>
                        <w:r>
                          <w:rPr/>
                          <w:t xml:space="preserve"> </w:t>
                        </w:r>
                      </w:p>
                    </w:txbxContent>
                  </v:textbox>
                </v:rect>
                <v:rect id="Rectangle 67560" style="position:absolute;width:592;height:2625;left:0;top:20332;" filled="f" stroked="f">
                  <v:textbox inset="0,0,0,0">
                    <w:txbxContent>
                      <w:p>
                        <w:pPr>
                          <w:spacing w:before="0" w:after="160" w:line="259" w:lineRule="auto"/>
                          <w:ind w:left="0" w:firstLine="0"/>
                          <w:jc w:val="left"/>
                        </w:pPr>
                        <w:r>
                          <w:rPr/>
                          <w:t xml:space="preserve"> </w:t>
                        </w:r>
                      </w:p>
                    </w:txbxContent>
                  </v:textbox>
                </v:rect>
                <v:rect id="Rectangle 67561" style="position:absolute;width:592;height:2625;left:0;top:22374;" filled="f" stroked="f">
                  <v:textbox inset="0,0,0,0">
                    <w:txbxContent>
                      <w:p>
                        <w:pPr>
                          <w:spacing w:before="0" w:after="160" w:line="259" w:lineRule="auto"/>
                          <w:ind w:left="0" w:firstLine="0"/>
                          <w:jc w:val="left"/>
                        </w:pPr>
                        <w:r>
                          <w:rPr/>
                          <w:t xml:space="preserve"> </w:t>
                        </w:r>
                      </w:p>
                    </w:txbxContent>
                  </v:textbox>
                </v:rect>
                <v:rect id="Rectangle 67562" style="position:absolute;width:592;height:2625;left:0;top:24417;" filled="f" stroked="f">
                  <v:textbox inset="0,0,0,0">
                    <w:txbxContent>
                      <w:p>
                        <w:pPr>
                          <w:spacing w:before="0" w:after="160" w:line="259" w:lineRule="auto"/>
                          <w:ind w:left="0" w:firstLine="0"/>
                          <w:jc w:val="left"/>
                        </w:pPr>
                        <w:r>
                          <w:rPr/>
                          <w:t xml:space="preserve"> </w:t>
                        </w:r>
                      </w:p>
                    </w:txbxContent>
                  </v:textbox>
                </v:rect>
                <v:rect id="Rectangle 67563" style="position:absolute;width:592;height:2625;left:0;top:26474;" filled="f" stroked="f">
                  <v:textbox inset="0,0,0,0">
                    <w:txbxContent>
                      <w:p>
                        <w:pPr>
                          <w:spacing w:before="0" w:after="160" w:line="259" w:lineRule="auto"/>
                          <w:ind w:left="0" w:firstLine="0"/>
                          <w:jc w:val="left"/>
                        </w:pPr>
                        <w:r>
                          <w:rPr/>
                          <w:t xml:space="preserve"> </w:t>
                        </w:r>
                      </w:p>
                    </w:txbxContent>
                  </v:textbox>
                </v:rect>
                <v:rect id="Rectangle 67564" style="position:absolute;width:592;height:2625;left:0;top:28516;" filled="f" stroked="f">
                  <v:textbox inset="0,0,0,0">
                    <w:txbxContent>
                      <w:p>
                        <w:pPr>
                          <w:spacing w:before="0" w:after="160" w:line="259" w:lineRule="auto"/>
                          <w:ind w:left="0" w:firstLine="0"/>
                          <w:jc w:val="left"/>
                        </w:pPr>
                        <w:r>
                          <w:rPr/>
                          <w:t xml:space="preserve"> </w:t>
                        </w:r>
                      </w:p>
                    </w:txbxContent>
                  </v:textbox>
                </v:rect>
                <v:rect id="Rectangle 67635" style="position:absolute;width:3551;height:1382;left:46337;top:14270;rotation:270;" filled="f" stroked="f">
                  <v:textbox inset="0,0,0,0" style="layout-flow:vertical;mso-layout-flow-alt:bottom-to-top">
                    <w:txbxContent>
                      <w:p>
                        <w:pPr>
                          <w:spacing w:before="0" w:after="160" w:line="259" w:lineRule="auto"/>
                          <w:ind w:left="0" w:firstLine="0"/>
                          <w:jc w:val="left"/>
                        </w:pPr>
                        <w:r>
                          <w:rPr>
                            <w:sz w:val="18"/>
                          </w:rPr>
                          <w:t xml:space="preserve">Затра</w:t>
                        </w:r>
                      </w:p>
                    </w:txbxContent>
                  </v:textbox>
                </v:rect>
                <v:rect id="Rectangle 67636" style="position:absolute;width:3926;height:1382;left:46149;top:11415;rotation:270;" filled="f" stroked="f">
                  <v:textbox inset="0,0,0,0" style="layout-flow:vertical;mso-layout-flow-alt:bottom-to-top">
                    <w:txbxContent>
                      <w:p>
                        <w:pPr>
                          <w:spacing w:before="0" w:after="160" w:line="259" w:lineRule="auto"/>
                          <w:ind w:left="0" w:firstLine="0"/>
                          <w:jc w:val="left"/>
                        </w:pPr>
                        <w:r>
                          <w:rPr>
                            <w:sz w:val="18"/>
                          </w:rPr>
                          <w:t xml:space="preserve">ты на </w:t>
                        </w:r>
                      </w:p>
                    </w:txbxContent>
                  </v:textbox>
                </v:rect>
                <v:rect id="Rectangle 67637" style="position:absolute;width:3820;height:1382;left:47558;top:12901;rotation:270;" filled="f" stroked="f">
                  <v:textbox inset="0,0,0,0" style="layout-flow:vertical;mso-layout-flow-alt:bottom-to-top">
                    <w:txbxContent>
                      <w:p>
                        <w:pPr>
                          <w:spacing w:before="0" w:after="160" w:line="259" w:lineRule="auto"/>
                          <w:ind w:left="0" w:firstLine="0"/>
                          <w:jc w:val="left"/>
                        </w:pPr>
                        <w:r>
                          <w:rPr>
                            <w:sz w:val="18"/>
                          </w:rPr>
                          <w:t xml:space="preserve">сырье</w:t>
                        </w:r>
                      </w:p>
                    </w:txbxContent>
                  </v:textbox>
                </v:rect>
                <v:rect id="Rectangle 67638" style="position:absolute;width:380;height:1682;left:49203;top:11591;rotation:270;" filled="f" stroked="f">
                  <v:textbox inset="0,0,0,0" style="layout-flow:vertical;mso-layout-flow-alt:bottom-to-top">
                    <w:txbxContent>
                      <w:p>
                        <w:pPr>
                          <w:spacing w:before="0" w:after="160" w:line="259" w:lineRule="auto"/>
                          <w:ind w:left="0" w:firstLine="0"/>
                          <w:jc w:val="left"/>
                        </w:pPr>
                        <w:r>
                          <w:rPr>
                            <w:sz w:val="18"/>
                          </w:rPr>
                          <w:t xml:space="preserve"> </w:t>
                        </w:r>
                      </w:p>
                    </w:txbxContent>
                  </v:textbox>
                </v:rect>
                <v:rect id="Rectangle 67640" style="position:absolute;width:3251;height:1382;left:37354;top:12941;rotation:270;" filled="f" stroked="f">
                  <v:textbox inset="0,0,0,0" style="layout-flow:vertical;mso-layout-flow-alt:bottom-to-top">
                    <w:txbxContent>
                      <w:p>
                        <w:pPr>
                          <w:spacing w:before="0" w:after="160" w:line="259" w:lineRule="auto"/>
                          <w:ind w:left="0" w:firstLine="0"/>
                          <w:jc w:val="left"/>
                        </w:pPr>
                        <w:r>
                          <w:rPr>
                            <w:sz w:val="18"/>
                          </w:rPr>
                          <w:t xml:space="preserve">Цена</w:t>
                        </w:r>
                      </w:p>
                    </w:txbxContent>
                  </v:textbox>
                </v:rect>
                <v:rect id="Rectangle 67641" style="position:absolute;width:380;height:1682;left:38714;top:11773;rotation:270;" filled="f" stroked="f">
                  <v:textbox inset="0,0,0,0" style="layout-flow:vertical;mso-layout-flow-alt:bottom-to-top">
                    <w:txbxContent>
                      <w:p>
                        <w:pPr>
                          <w:spacing w:before="0" w:after="160" w:line="259" w:lineRule="auto"/>
                          <w:ind w:left="0" w:firstLine="0"/>
                          <w:jc w:val="left"/>
                        </w:pPr>
                        <w:r>
                          <w:rPr>
                            <w:sz w:val="18"/>
                          </w:rPr>
                          <w:t xml:space="preserve"> </w:t>
                        </w:r>
                      </w:p>
                    </w:txbxContent>
                  </v:textbox>
                </v:rect>
                <v:rect id="Rectangle 67643" style="position:absolute;width:13389;height:1382;left:20562;top:21570;" filled="f" stroked="f">
                  <v:textbox inset="0,0,0,0">
                    <w:txbxContent>
                      <w:p>
                        <w:pPr>
                          <w:spacing w:before="0" w:after="160" w:line="259" w:lineRule="auto"/>
                          <w:ind w:left="0" w:firstLine="0"/>
                          <w:jc w:val="left"/>
                        </w:pPr>
                        <w:r>
                          <w:rPr>
                            <w:sz w:val="18"/>
                          </w:rPr>
                          <w:t xml:space="preserve">Объем выпущенной </w:t>
                        </w:r>
                      </w:p>
                    </w:txbxContent>
                  </v:textbox>
                </v:rect>
                <v:rect id="Rectangle 67644" style="position:absolute;width:7035;height:1382;left:22802;top:22881;" filled="f" stroked="f">
                  <v:textbox inset="0,0,0,0">
                    <w:txbxContent>
                      <w:p>
                        <w:pPr>
                          <w:spacing w:before="0" w:after="160" w:line="259" w:lineRule="auto"/>
                          <w:ind w:left="0" w:firstLine="0"/>
                          <w:jc w:val="left"/>
                        </w:pPr>
                        <w:r>
                          <w:rPr>
                            <w:sz w:val="18"/>
                          </w:rPr>
                          <w:t xml:space="preserve">продукции</w:t>
                        </w:r>
                      </w:p>
                    </w:txbxContent>
                  </v:textbox>
                </v:rect>
                <v:rect id="Rectangle 67645" style="position:absolute;width:380;height:1682;left:28105;top:22655;" filled="f" stroked="f">
                  <v:textbox inset="0,0,0,0">
                    <w:txbxContent>
                      <w:p>
                        <w:pPr>
                          <w:spacing w:before="0" w:after="160" w:line="259" w:lineRule="auto"/>
                          <w:ind w:left="0" w:firstLine="0"/>
                          <w:jc w:val="left"/>
                        </w:pPr>
                        <w:r>
                          <w:rPr>
                            <w:sz w:val="18"/>
                          </w:rPr>
                          <w:t xml:space="preserve"> </w:t>
                        </w:r>
                      </w:p>
                    </w:txbxContent>
                  </v:textbox>
                </v:rect>
                <v:rect id="Rectangle 67647" style="position:absolute;width:8646;height:1382;left:-2123;top:12514;rotation:270;" filled="f" stroked="f">
                  <v:textbox inset="0,0,0,0" style="layout-flow:vertical;mso-layout-flow-alt:bottom-to-top">
                    <w:txbxContent>
                      <w:p>
                        <w:pPr>
                          <w:spacing w:before="0" w:after="160" w:line="259" w:lineRule="auto"/>
                          <w:ind w:left="0" w:firstLine="0"/>
                          <w:jc w:val="left"/>
                        </w:pPr>
                        <w:r>
                          <w:rPr>
                            <w:sz w:val="18"/>
                          </w:rPr>
                          <w:t xml:space="preserve">Дебиторская </w:t>
                        </w:r>
                      </w:p>
                    </w:txbxContent>
                  </v:textbox>
                </v:rect>
                <v:rect id="Rectangle 67648" style="position:absolute;width:9703;height:1382;left:-1295;top:11986;rotation:270;" filled="f" stroked="f">
                  <v:textbox inset="0,0,0,0" style="layout-flow:vertical;mso-layout-flow-alt:bottom-to-top">
                    <w:txbxContent>
                      <w:p>
                        <w:pPr>
                          <w:spacing w:before="0" w:after="160" w:line="259" w:lineRule="auto"/>
                          <w:ind w:left="0" w:firstLine="0"/>
                          <w:jc w:val="left"/>
                        </w:pPr>
                        <w:r>
                          <w:rPr>
                            <w:sz w:val="18"/>
                          </w:rPr>
                          <w:t xml:space="preserve">задолженность</w:t>
                        </w:r>
                      </w:p>
                    </w:txbxContent>
                  </v:textbox>
                </v:rect>
                <v:rect id="Rectangle 67649" style="position:absolute;width:380;height:1682;left:3290;top:9198;rotation:270;" filled="f" stroked="f">
                  <v:textbox inset="0,0,0,0" style="layout-flow:vertical;mso-layout-flow-alt:bottom-to-top">
                    <w:txbxContent>
                      <w:p>
                        <w:pPr>
                          <w:spacing w:before="0" w:after="160" w:line="259" w:lineRule="auto"/>
                          <w:ind w:left="0" w:firstLine="0"/>
                          <w:jc w:val="left"/>
                        </w:pPr>
                        <w:r>
                          <w:rPr>
                            <w:sz w:val="18"/>
                          </w:rPr>
                          <w:t xml:space="preserve"> </w:t>
                        </w:r>
                      </w:p>
                    </w:txbxContent>
                  </v:textbox>
                </v:rect>
                <v:rect id="Rectangle 67651" style="position:absolute;width:9394;height:1382;left:9221;top:12140;rotation:270;" filled="f" stroked="f">
                  <v:textbox inset="0,0,0,0" style="layout-flow:vertical;mso-layout-flow-alt:bottom-to-top">
                    <w:txbxContent>
                      <w:p>
                        <w:pPr>
                          <w:spacing w:before="0" w:after="160" w:line="259" w:lineRule="auto"/>
                          <w:ind w:left="0" w:firstLine="0"/>
                          <w:jc w:val="left"/>
                        </w:pPr>
                        <w:r>
                          <w:rPr>
                            <w:sz w:val="18"/>
                          </w:rPr>
                          <w:t xml:space="preserve">Кредиторская </w:t>
                        </w:r>
                      </w:p>
                    </w:txbxContent>
                  </v:textbox>
                </v:rect>
                <v:rect id="Rectangle 67652" style="position:absolute;width:9703;height:1382;left:10427;top:11986;rotation:270;" filled="f" stroked="f">
                  <v:textbox inset="0,0,0,0" style="layout-flow:vertical;mso-layout-flow-alt:bottom-to-top">
                    <w:txbxContent>
                      <w:p>
                        <w:pPr>
                          <w:spacing w:before="0" w:after="160" w:line="259" w:lineRule="auto"/>
                          <w:ind w:left="0" w:firstLine="0"/>
                          <w:jc w:val="left"/>
                        </w:pPr>
                        <w:r>
                          <w:rPr>
                            <w:sz w:val="18"/>
                          </w:rPr>
                          <w:t xml:space="preserve">задолженность</w:t>
                        </w:r>
                      </w:p>
                    </w:txbxContent>
                  </v:textbox>
                </v:rect>
                <v:rect id="Rectangle 67653" style="position:absolute;width:380;height:1682;left:15013;top:9198;rotation:270;" filled="f" stroked="f">
                  <v:textbox inset="0,0,0,0" style="layout-flow:vertical;mso-layout-flow-alt:bottom-to-top">
                    <w:txbxContent>
                      <w:p>
                        <w:pPr>
                          <w:spacing w:before="0" w:after="160" w:line="259" w:lineRule="auto"/>
                          <w:ind w:left="0" w:firstLine="0"/>
                          <w:jc w:val="left"/>
                        </w:pPr>
                        <w:r>
                          <w:rPr>
                            <w:sz w:val="18"/>
                          </w:rPr>
                          <w:t xml:space="preserve"> </w:t>
                        </w:r>
                      </w:p>
                    </w:txbxContent>
                  </v:textbox>
                </v:rect>
                <v:shape id="Shape 67655" style="position:absolute;width:16573;height:9810;left:957;top:807;" coordsize="1657350,981075" path="m0,981075l1657350,981075l1657350,0l0,0x">
                  <v:stroke weight="0.75pt" endcap="round" joinstyle="miter" miterlimit="10" on="true" color="#000000"/>
                  <v:fill on="false" color="#000000" opacity="0"/>
                </v:shape>
                <v:rect id="Rectangle 67656" style="position:absolute;width:592;height:2625;left:9234;top:1386;" filled="f" stroked="f">
                  <v:textbox inset="0,0,0,0">
                    <w:txbxContent>
                      <w:p>
                        <w:pPr>
                          <w:spacing w:before="0" w:after="160" w:line="259" w:lineRule="auto"/>
                          <w:ind w:left="0" w:firstLine="0"/>
                          <w:jc w:val="left"/>
                        </w:pPr>
                        <w:r>
                          <w:rPr/>
                          <w:t xml:space="preserve"> </w:t>
                        </w:r>
                      </w:p>
                    </w:txbxContent>
                  </v:textbox>
                </v:rect>
                <v:rect id="Rectangle 67657" style="position:absolute;width:7375;height:2157;left:6476;top:3796;" filled="f" stroked="f">
                  <v:textbox inset="0,0,0,0">
                    <w:txbxContent>
                      <w:p>
                        <w:pPr>
                          <w:spacing w:before="0" w:after="160" w:line="259" w:lineRule="auto"/>
                          <w:ind w:left="0" w:firstLine="0"/>
                          <w:jc w:val="left"/>
                        </w:pPr>
                        <w:r>
                          <w:rPr/>
                          <w:t xml:space="preserve">Объект</w:t>
                        </w:r>
                      </w:p>
                    </w:txbxContent>
                  </v:textbox>
                </v:rect>
                <v:rect id="Rectangle 67658" style="position:absolute;width:592;height:2625;left:12008;top:3444;" filled="f" stroked="f">
                  <v:textbox inset="0,0,0,0">
                    <w:txbxContent>
                      <w:p>
                        <w:pPr>
                          <w:spacing w:before="0" w:after="160" w:line="259" w:lineRule="auto"/>
                          <w:ind w:left="0" w:firstLine="0"/>
                          <w:jc w:val="left"/>
                        </w:pPr>
                        <w:r>
                          <w:rPr/>
                          <w:t xml:space="preserve"> </w:t>
                        </w:r>
                      </w:p>
                    </w:txbxContent>
                  </v:textbox>
                </v:rect>
                <v:rect id="Rectangle 656593" style="position:absolute;width:789;height:2157;left:2483;top:5838;" filled="f" stroked="f">
                  <v:textbox inset="0,0,0,0">
                    <w:txbxContent>
                      <w:p>
                        <w:pPr>
                          <w:spacing w:before="0" w:after="160" w:line="259" w:lineRule="auto"/>
                          <w:ind w:left="0" w:firstLine="0"/>
                          <w:jc w:val="left"/>
                        </w:pPr>
                        <w:r>
                          <w:rPr/>
                          <w:t xml:space="preserve">(</w:t>
                        </w:r>
                      </w:p>
                    </w:txbxContent>
                  </v:textbox>
                </v:rect>
                <v:rect id="Rectangle 656595" style="position:absolute;width:16375;height:2157;left:3077;top:5838;" filled="f" stroked="f">
                  <v:textbox inset="0,0,0,0">
                    <w:txbxContent>
                      <w:p>
                        <w:pPr>
                          <w:spacing w:before="0" w:after="160" w:line="259" w:lineRule="auto"/>
                          <w:ind w:left="0" w:firstLine="0"/>
                          <w:jc w:val="left"/>
                        </w:pPr>
                        <w:r>
                          <w:rPr/>
                          <w:t xml:space="preserve">Чистая прибыль</w:t>
                        </w:r>
                      </w:p>
                    </w:txbxContent>
                  </v:textbox>
                </v:rect>
                <v:rect id="Rectangle 656594" style="position:absolute;width:789;height:2157;left:15384;top:5838;" filled="f" stroked="f">
                  <v:textbox inset="0,0,0,0">
                    <w:txbxContent>
                      <w:p>
                        <w:pPr>
                          <w:spacing w:before="0" w:after="160" w:line="259" w:lineRule="auto"/>
                          <w:ind w:left="0" w:firstLine="0"/>
                          <w:jc w:val="left"/>
                        </w:pPr>
                        <w:r>
                          <w:rPr/>
                          <w:t xml:space="preserve">)</w:t>
                        </w:r>
                      </w:p>
                    </w:txbxContent>
                  </v:textbox>
                </v:rect>
                <v:rect id="Rectangle 67660" style="position:absolute;width:592;height:2625;left:15990;top:5486;" filled="f" stroked="f">
                  <v:textbox inset="0,0,0,0">
                    <w:txbxContent>
                      <w:p>
                        <w:pPr>
                          <w:spacing w:before="0" w:after="160" w:line="259" w:lineRule="auto"/>
                          <w:ind w:left="0" w:firstLine="0"/>
                          <w:jc w:val="left"/>
                        </w:pPr>
                        <w:r>
                          <w:rPr/>
                          <w:t xml:space="preserve"> </w:t>
                        </w:r>
                      </w:p>
                    </w:txbxContent>
                  </v:textbox>
                </v:rect>
                <v:shape id="Shape 67662" style="position:absolute;width:16383;height:9810;left:35913;top:807;" coordsize="1638300,981075" path="m0,981075l1638300,981075l1638300,0l0,0x">
                  <v:stroke weight="0.75pt" endcap="round" joinstyle="miter" miterlimit="10" on="true" color="#000000"/>
                  <v:fill on="false" color="#000000" opacity="0"/>
                </v:shape>
                <v:rect id="Rectangle 67663" style="position:absolute;width:592;height:2625;left:44110;top:1386;" filled="f" stroked="f">
                  <v:textbox inset="0,0,0,0">
                    <w:txbxContent>
                      <w:p>
                        <w:pPr>
                          <w:spacing w:before="0" w:after="160" w:line="259" w:lineRule="auto"/>
                          <w:ind w:left="0" w:firstLine="0"/>
                          <w:jc w:val="left"/>
                        </w:pPr>
                        <w:r>
                          <w:rPr/>
                          <w:t xml:space="preserve"> </w:t>
                        </w:r>
                      </w:p>
                    </w:txbxContent>
                  </v:textbox>
                </v:rect>
                <v:rect id="Rectangle 67664" style="position:absolute;width:7311;height:2157;left:41367;top:3796;" filled="f" stroked="f">
                  <v:textbox inset="0,0,0,0">
                    <w:txbxContent>
                      <w:p>
                        <w:pPr>
                          <w:spacing w:before="0" w:after="160" w:line="259" w:lineRule="auto"/>
                          <w:ind w:left="0" w:firstLine="0"/>
                          <w:jc w:val="left"/>
                        </w:pPr>
                        <w:r>
                          <w:rPr/>
                          <w:t xml:space="preserve">Проект</w:t>
                        </w:r>
                      </w:p>
                    </w:txbxContent>
                  </v:textbox>
                </v:rect>
                <v:rect id="Rectangle 67665" style="position:absolute;width:592;height:2625;left:46853;top:3444;" filled="f" stroked="f">
                  <v:textbox inset="0,0,0,0">
                    <w:txbxContent>
                      <w:p>
                        <w:pPr>
                          <w:spacing w:before="0" w:after="160" w:line="259" w:lineRule="auto"/>
                          <w:ind w:left="0" w:firstLine="0"/>
                          <w:jc w:val="left"/>
                        </w:pPr>
                        <w:r>
                          <w:rPr/>
                          <w:t xml:space="preserve"> </w:t>
                        </w:r>
                      </w:p>
                    </w:txbxContent>
                  </v:textbox>
                </v:rect>
                <v:rect id="Rectangle 656591" style="position:absolute;width:789;height:2157;left:49848;top:5838;" filled="f" stroked="f">
                  <v:textbox inset="0,0,0,0">
                    <w:txbxContent>
                      <w:p>
                        <w:pPr>
                          <w:spacing w:before="0" w:after="160" w:line="259" w:lineRule="auto"/>
                          <w:ind w:left="0" w:firstLine="0"/>
                          <w:jc w:val="left"/>
                        </w:pPr>
                        <w:r>
                          <w:rPr/>
                          <w:t xml:space="preserve">)</w:t>
                        </w:r>
                      </w:p>
                    </w:txbxContent>
                  </v:textbox>
                </v:rect>
                <v:rect id="Rectangle 656590" style="position:absolute;width:789;height:2157;left:37785;top:5838;" filled="f" stroked="f">
                  <v:textbox inset="0,0,0,0">
                    <w:txbxContent>
                      <w:p>
                        <w:pPr>
                          <w:spacing w:before="0" w:after="160" w:line="259" w:lineRule="auto"/>
                          <w:ind w:left="0" w:firstLine="0"/>
                          <w:jc w:val="left"/>
                        </w:pPr>
                        <w:r>
                          <w:rPr/>
                          <w:t xml:space="preserve">(</w:t>
                        </w:r>
                      </w:p>
                    </w:txbxContent>
                  </v:textbox>
                </v:rect>
                <v:rect id="Rectangle 656592" style="position:absolute;width:15262;height:2157;left:38379;top:5838;" filled="f" stroked="f">
                  <v:textbox inset="0,0,0,0">
                    <w:txbxContent>
                      <w:p>
                        <w:pPr>
                          <w:spacing w:before="0" w:after="160" w:line="259" w:lineRule="auto"/>
                          <w:ind w:left="0" w:firstLine="0"/>
                          <w:jc w:val="left"/>
                        </w:pPr>
                        <w:r>
                          <w:rPr/>
                          <w:t xml:space="preserve">Себестоимость</w:t>
                        </w:r>
                      </w:p>
                    </w:txbxContent>
                  </v:textbox>
                </v:rect>
                <v:rect id="Rectangle 67667" style="position:absolute;width:592;height:2625;left:50438;top:5486;" filled="f" stroked="f">
                  <v:textbox inset="0,0,0,0">
                    <w:txbxContent>
                      <w:p>
                        <w:pPr>
                          <w:spacing w:before="0" w:after="160" w:line="259" w:lineRule="auto"/>
                          <w:ind w:left="0" w:firstLine="0"/>
                          <w:jc w:val="left"/>
                        </w:pPr>
                        <w:r>
                          <w:rPr/>
                          <w:t xml:space="preserve"> </w:t>
                        </w:r>
                      </w:p>
                    </w:txbxContent>
                  </v:textbox>
                </v:rect>
                <v:shape id="Shape 67669" style="position:absolute;width:16573;height:9906;left:957;top:19832;" coordsize="1657350,990600" path="m0,990600l1657350,990600l1657350,0l0,0x">
                  <v:stroke weight="0.75pt" endcap="round" joinstyle="miter" miterlimit="10" on="true" color="#000000"/>
                  <v:fill on="false" color="#000000" opacity="0"/>
                </v:shape>
                <v:rect id="Rectangle 67670" style="position:absolute;width:592;height:2625;left:9234;top:20424;" filled="f" stroked="f">
                  <v:textbox inset="0,0,0,0">
                    <w:txbxContent>
                      <w:p>
                        <w:pPr>
                          <w:spacing w:before="0" w:after="160" w:line="259" w:lineRule="auto"/>
                          <w:ind w:left="0" w:firstLine="0"/>
                          <w:jc w:val="left"/>
                        </w:pPr>
                        <w:r>
                          <w:rPr/>
                          <w:t xml:space="preserve"> </w:t>
                        </w:r>
                      </w:p>
                    </w:txbxContent>
                  </v:textbox>
                </v:rect>
                <v:rect id="Rectangle 67671" style="position:absolute;width:6075;height:2157;left:6964;top:22818;" filled="f" stroked="f">
                  <v:textbox inset="0,0,0,0">
                    <w:txbxContent>
                      <w:p>
                        <w:pPr>
                          <w:spacing w:before="0" w:after="160" w:line="259" w:lineRule="auto"/>
                          <w:ind w:left="0" w:firstLine="0"/>
                          <w:jc w:val="left"/>
                        </w:pPr>
                        <w:r>
                          <w:rPr/>
                          <w:t xml:space="preserve">Среда</w:t>
                        </w:r>
                      </w:p>
                    </w:txbxContent>
                  </v:textbox>
                </v:rect>
                <v:rect id="Rectangle 67672" style="position:absolute;width:592;height:2625;left:11520;top:22466;" filled="f" stroked="f">
                  <v:textbox inset="0,0,0,0">
                    <w:txbxContent>
                      <w:p>
                        <w:pPr>
                          <w:spacing w:before="0" w:after="160" w:line="259" w:lineRule="auto"/>
                          <w:ind w:left="0" w:firstLine="0"/>
                          <w:jc w:val="left"/>
                        </w:pPr>
                        <w:r>
                          <w:rPr/>
                          <w:t xml:space="preserve"> </w:t>
                        </w:r>
                      </w:p>
                    </w:txbxContent>
                  </v:textbox>
                </v:rect>
                <v:rect id="Rectangle 656599" style="position:absolute;width:789;height:2157;left:12580;top:24860;" filled="f" stroked="f">
                  <v:textbox inset="0,0,0,0">
                    <w:txbxContent>
                      <w:p>
                        <w:pPr>
                          <w:spacing w:before="0" w:after="160" w:line="259" w:lineRule="auto"/>
                          <w:ind w:left="0" w:firstLine="0"/>
                          <w:jc w:val="left"/>
                        </w:pPr>
                        <w:r>
                          <w:rPr/>
                          <w:t xml:space="preserve">)</w:t>
                        </w:r>
                      </w:p>
                    </w:txbxContent>
                  </v:textbox>
                </v:rect>
                <v:rect id="Rectangle 656600" style="position:absolute;width:8909;height:2157;left:5881;top:24860;" filled="f" stroked="f">
                  <v:textbox inset="0,0,0,0">
                    <w:txbxContent>
                      <w:p>
                        <w:pPr>
                          <w:spacing w:before="0" w:after="160" w:line="259" w:lineRule="auto"/>
                          <w:ind w:left="0" w:firstLine="0"/>
                          <w:jc w:val="left"/>
                        </w:pPr>
                        <w:r>
                          <w:rPr/>
                          <w:t xml:space="preserve">Выручка</w:t>
                        </w:r>
                      </w:p>
                    </w:txbxContent>
                  </v:textbox>
                </v:rect>
                <v:rect id="Rectangle 656598" style="position:absolute;width:789;height:2157;left:5287;top:24860;" filled="f" stroked="f">
                  <v:textbox inset="0,0,0,0">
                    <w:txbxContent>
                      <w:p>
                        <w:pPr>
                          <w:spacing w:before="0" w:after="160" w:line="259" w:lineRule="auto"/>
                          <w:ind w:left="0" w:firstLine="0"/>
                          <w:jc w:val="left"/>
                        </w:pPr>
                        <w:r>
                          <w:rPr/>
                          <w:t xml:space="preserve">(</w:t>
                        </w:r>
                      </w:p>
                    </w:txbxContent>
                  </v:textbox>
                </v:rect>
                <v:rect id="Rectangle 67674" style="position:absolute;width:592;height:2625;left:13182;top:24508;" filled="f" stroked="f">
                  <v:textbox inset="0,0,0,0">
                    <w:txbxContent>
                      <w:p>
                        <w:pPr>
                          <w:spacing w:before="0" w:after="160" w:line="259" w:lineRule="auto"/>
                          <w:ind w:left="0" w:firstLine="0"/>
                          <w:jc w:val="left"/>
                        </w:pPr>
                        <w:r>
                          <w:rPr/>
                          <w:t xml:space="preserve"> </w:t>
                        </w:r>
                      </w:p>
                    </w:txbxContent>
                  </v:textbox>
                </v:rect>
                <v:shape id="Shape 67676" style="position:absolute;width:16383;height:9906;left:34770;top:19832;" coordsize="1638300,990600" path="m0,990600l1638300,990600l1638300,0l0,0x">
                  <v:stroke weight="0.75pt" endcap="round" joinstyle="miter" miterlimit="10" on="true" color="#000000"/>
                  <v:fill on="false" color="#000000" opacity="0"/>
                </v:shape>
                <v:rect id="Rectangle 67677" style="position:absolute;width:4081;height:2157;left:39782;top:20776;" filled="f" stroked="f">
                  <v:textbox inset="0,0,0,0">
                    <w:txbxContent>
                      <w:p>
                        <w:pPr>
                          <w:spacing w:before="0" w:after="160" w:line="259" w:lineRule="auto"/>
                          <w:ind w:left="0" w:firstLine="0"/>
                          <w:jc w:val="left"/>
                        </w:pPr>
                        <w:r>
                          <w:rPr/>
                          <w:t xml:space="preserve">Про</w:t>
                        </w:r>
                      </w:p>
                    </w:txbxContent>
                  </v:textbox>
                </v:rect>
                <v:rect id="Rectangle 67678" style="position:absolute;width:4432;height:2157;left:42845;top:20776;" filled="f" stroked="f">
                  <v:textbox inset="0,0,0,0">
                    <w:txbxContent>
                      <w:p>
                        <w:pPr>
                          <w:spacing w:before="0" w:after="160" w:line="259" w:lineRule="auto"/>
                          <w:ind w:left="0" w:firstLine="0"/>
                          <w:jc w:val="left"/>
                        </w:pPr>
                        <w:r>
                          <w:rPr/>
                          <w:t xml:space="preserve">цесс</w:t>
                        </w:r>
                      </w:p>
                    </w:txbxContent>
                  </v:textbox>
                </v:rect>
                <v:rect id="Rectangle 67679" style="position:absolute;width:592;height:2625;left:46167;top:20424;" filled="f" stroked="f">
                  <v:textbox inset="0,0,0,0">
                    <w:txbxContent>
                      <w:p>
                        <w:pPr>
                          <w:spacing w:before="0" w:after="160" w:line="259" w:lineRule="auto"/>
                          <w:ind w:left="0" w:firstLine="0"/>
                          <w:jc w:val="left"/>
                        </w:pPr>
                        <w:r>
                          <w:rPr/>
                          <w:t xml:space="preserve"> </w:t>
                        </w:r>
                      </w:p>
                    </w:txbxContent>
                  </v:textbox>
                </v:rect>
                <v:rect id="Rectangle 656597" style="position:absolute;width:15701;height:2157;left:37587;top:22818;" filled="f" stroked="f">
                  <v:textbox inset="0,0,0,0">
                    <w:txbxContent>
                      <w:p>
                        <w:pPr>
                          <w:spacing w:before="0" w:after="160" w:line="259" w:lineRule="auto"/>
                          <w:ind w:left="0" w:firstLine="0"/>
                          <w:jc w:val="left"/>
                        </w:pPr>
                        <w:r>
                          <w:rPr/>
                          <w:t xml:space="preserve">Норма расхода </w:t>
                        </w:r>
                      </w:p>
                    </w:txbxContent>
                  </v:textbox>
                </v:rect>
                <v:rect id="Rectangle 656596" style="position:absolute;width:789;height:2157;left:36993;top:22818;" filled="f" stroked="f">
                  <v:textbox inset="0,0,0,0">
                    <w:txbxContent>
                      <w:p>
                        <w:pPr>
                          <w:spacing w:before="0" w:after="160" w:line="259" w:lineRule="auto"/>
                          <w:ind w:left="0" w:firstLine="0"/>
                          <w:jc w:val="left"/>
                        </w:pPr>
                        <w:r>
                          <w:rPr/>
                          <w:t xml:space="preserve">(</w:t>
                        </w:r>
                      </w:p>
                    </w:txbxContent>
                  </v:textbox>
                </v:rect>
                <v:rect id="Rectangle 67681" style="position:absolute;width:6780;height:2157;left:40422;top:24860;" filled="f" stroked="f">
                  <v:textbox inset="0,0,0,0">
                    <w:txbxContent>
                      <w:p>
                        <w:pPr>
                          <w:spacing w:before="0" w:after="160" w:line="259" w:lineRule="auto"/>
                          <w:ind w:left="0" w:firstLine="0"/>
                          <w:jc w:val="left"/>
                        </w:pPr>
                        <w:r>
                          <w:rPr/>
                          <w:t xml:space="preserve">сырья)</w:t>
                        </w:r>
                      </w:p>
                    </w:txbxContent>
                  </v:textbox>
                </v:rect>
                <v:rect id="Rectangle 67682" style="position:absolute;width:592;height:2625;left:45512;top:24508;" filled="f" stroked="f">
                  <v:textbox inset="0,0,0,0">
                    <w:txbxContent>
                      <w:p>
                        <w:pPr>
                          <w:spacing w:before="0" w:after="160" w:line="259" w:lineRule="auto"/>
                          <w:ind w:left="0" w:firstLine="0"/>
                          <w:jc w:val="left"/>
                        </w:pPr>
                        <w:r>
                          <w:rPr/>
                          <w:t xml:space="preserve"> </w:t>
                        </w:r>
                      </w:p>
                    </w:txbxContent>
                  </v:textbox>
                </v:rect>
                <v:shape id="Shape 67683" style="position:absolute;width:17240;height:762;left:17530;top:1449;" coordsize="1724025,76200" path="m1647825,0l1724025,38100l1647825,76200l1647825,44450l0,44450l0,31750l1647825,31750l1647825,0x">
                  <v:stroke weight="0pt" endcap="round" joinstyle="miter" miterlimit="10" on="false" color="#000000" opacity="0"/>
                  <v:fill on="true" color="#000000"/>
                </v:shape>
                <v:shape id="Shape 67684" style="position:absolute;width:17240;height:762;left:17530;top:3760;" coordsize="1724025,76200" path="m76200,0l76200,31750l1724025,31750l1724025,44450l76200,44450l76200,76200l0,38100l76200,0x">
                  <v:stroke weight="0pt" endcap="round" joinstyle="miter" miterlimit="10" on="false" color="#000000" opacity="0"/>
                  <v:fill on="true" color="#000000"/>
                </v:shape>
                <v:shape id="Shape 67685" style="position:absolute;width:762;height:7943;left:45832;top:10624;" coordsize="76200,794385" path="m31115,0l43815,0l44439,718185l76200,718185l38100,794385l0,718185l31739,718185l31115,0x">
                  <v:stroke weight="0pt" endcap="round" joinstyle="miter" miterlimit="10" on="false" color="#000000" opacity="0"/>
                  <v:fill on="true" color="#000000"/>
                </v:shape>
                <v:shape id="Shape 67686" style="position:absolute;width:762;height:7943;left:39641;top:11888;" coordsize="76200,794385" path="m38100,0l76200,76200l44439,76200l43815,794385l31115,794385l31739,76200l0,76200l38100,0x">
                  <v:stroke weight="0pt" endcap="round" joinstyle="miter" miterlimit="10" on="false" color="#000000" opacity="0"/>
                  <v:fill on="true" color="#000000"/>
                </v:shape>
                <v:shape id="Shape 67687" style="position:absolute;width:17240;height:762;left:17530;top:22251;" coordsize="1724025,76200" path="m1647825,0l1724025,38100l1647825,76200l1647825,44450l0,44450l0,31750l1647825,31750l1647825,0x">
                  <v:stroke weight="0pt" endcap="round" joinstyle="miter" miterlimit="10" on="false" color="#000000" opacity="0"/>
                  <v:fill on="true" color="#000000"/>
                </v:shape>
                <v:shape id="Shape 67688" style="position:absolute;width:17240;height:762;left:17530;top:24353;" coordsize="1724025,76200" path="m76200,0l76200,31750l1724025,31750l1724025,44450l76200,44450l76200,76200l0,38100l76200,0x">
                  <v:stroke weight="0pt" endcap="round" joinstyle="miter" miterlimit="10" on="false" color="#000000" opacity="0"/>
                  <v:fill on="true" color="#000000"/>
                </v:shape>
                <v:shape id="Shape 67689" style="position:absolute;width:762;height:7943;left:4208;top:11888;" coordsize="76200,794385" path="m38100,0l76200,76200l44439,76200l43815,794385l31115,794385l31739,76200l0,76200l38100,0x">
                  <v:stroke weight="0pt" endcap="round" joinstyle="miter" miterlimit="10" on="false" color="#000000" opacity="0"/>
                  <v:fill on="true" color="#000000"/>
                </v:shape>
                <v:shape id="Shape 67690" style="position:absolute;width:762;height:7943;left:11625;top:10929;" coordsize="76200,794385" path="m31115,0l43815,0l44439,718185l76200,718185l38100,794385l0,718185l31739,718185l31115,0x">
                  <v:stroke weight="0pt" endcap="round" joinstyle="miter" miterlimit="10" on="false" color="#000000" opacity="0"/>
                  <v:fill on="true" color="#000000"/>
                </v:shape>
                <v:rect id="Rectangle 67692" style="position:absolute;width:4163;height:1382;left:22268;top:26341;" filled="f" stroked="f">
                  <v:textbox inset="0,0,0,0">
                    <w:txbxContent>
                      <w:p>
                        <w:pPr>
                          <w:spacing w:before="0" w:after="160" w:line="259" w:lineRule="auto"/>
                          <w:ind w:left="0" w:firstLine="0"/>
                          <w:jc w:val="left"/>
                        </w:pPr>
                        <w:r>
                          <w:rPr>
                            <w:sz w:val="18"/>
                          </w:rPr>
                          <w:t xml:space="preserve">Сырье</w:t>
                        </w:r>
                      </w:p>
                    </w:txbxContent>
                  </v:textbox>
                </v:rect>
                <v:rect id="Rectangle 67693" style="position:absolute;width:380;height:1682;left:25393;top:26115;" filled="f" stroked="f">
                  <v:textbox inset="0,0,0,0">
                    <w:txbxContent>
                      <w:p>
                        <w:pPr>
                          <w:spacing w:before="0" w:after="160" w:line="259" w:lineRule="auto"/>
                          <w:ind w:left="0" w:firstLine="0"/>
                          <w:jc w:val="left"/>
                        </w:pPr>
                        <w:r>
                          <w:rPr>
                            <w:sz w:val="18"/>
                          </w:rPr>
                          <w:t xml:space="preserve"> </w:t>
                        </w:r>
                      </w:p>
                    </w:txbxContent>
                  </v:textbox>
                </v:rect>
              </v:group>
            </w:pict>
          </mc:Fallback>
        </mc:AlternateContent>
      </w:r>
    </w:p>
    <w:p w:rsidR="002C0F56" w:rsidRDefault="00E67C6E">
      <w:pPr>
        <w:spacing w:after="5" w:line="271" w:lineRule="auto"/>
        <w:ind w:left="2401" w:right="396" w:hanging="10"/>
        <w:jc w:val="left"/>
      </w:pPr>
      <w:r>
        <w:rPr>
          <w:b/>
          <w:sz w:val="24"/>
        </w:rPr>
        <w:t xml:space="preserve">Рис.2. Схема передачи ресурсов между экономическими системами </w:t>
      </w:r>
    </w:p>
    <w:p w:rsidR="002C0F56" w:rsidRDefault="00E67C6E">
      <w:pPr>
        <w:spacing w:after="0" w:line="259" w:lineRule="auto"/>
        <w:ind w:left="1558" w:firstLine="0"/>
        <w:jc w:val="left"/>
      </w:pPr>
      <w:r>
        <w:t xml:space="preserve"> </w:t>
      </w:r>
    </w:p>
    <w:p w:rsidR="002C0F56" w:rsidRDefault="00E67C6E">
      <w:pPr>
        <w:spacing w:after="5" w:line="271" w:lineRule="auto"/>
        <w:ind w:left="1779" w:right="396" w:hanging="10"/>
        <w:jc w:val="left"/>
      </w:pPr>
      <w:r>
        <w:rPr>
          <w:i/>
          <w:sz w:val="24"/>
        </w:rPr>
        <w:t>Таблица 1</w:t>
      </w:r>
      <w:r>
        <w:rPr>
          <w:sz w:val="24"/>
        </w:rPr>
        <w:t xml:space="preserve"> – </w:t>
      </w:r>
      <w:r>
        <w:rPr>
          <w:b/>
          <w:sz w:val="24"/>
        </w:rPr>
        <w:t xml:space="preserve">Классификация показателей, характеризующих передачу ресурсов </w:t>
      </w:r>
    </w:p>
    <w:tbl>
      <w:tblPr>
        <w:tblStyle w:val="TableGrid"/>
        <w:tblW w:w="8757" w:type="dxa"/>
        <w:tblInd w:w="1594" w:type="dxa"/>
        <w:tblCellMar>
          <w:top w:w="61" w:type="dxa"/>
          <w:left w:w="108" w:type="dxa"/>
          <w:bottom w:w="0" w:type="dxa"/>
          <w:right w:w="50" w:type="dxa"/>
        </w:tblCellMar>
        <w:tblLook w:val="04A0" w:firstRow="1" w:lastRow="0" w:firstColumn="1" w:lastColumn="0" w:noHBand="0" w:noVBand="1"/>
      </w:tblPr>
      <w:tblGrid>
        <w:gridCol w:w="2552"/>
        <w:gridCol w:w="6205"/>
      </w:tblGrid>
      <w:tr w:rsidR="002C0F56">
        <w:trPr>
          <w:trHeight w:val="1114"/>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 xml:space="preserve">Показатели, проходящие 1 цикл </w:t>
            </w:r>
          </w:p>
        </w:tc>
        <w:tc>
          <w:tcPr>
            <w:tcW w:w="620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1" w:firstLine="0"/>
            </w:pPr>
            <w:r>
              <w:rPr>
                <w:sz w:val="24"/>
              </w:rPr>
              <w:t xml:space="preserve">Плановая экономическая эффективность, рентабельность, цена, затраты на сырье, объем выпущенной продукции, сырье, кредиторская задолженность, дебиторская задолженность </w:t>
            </w:r>
          </w:p>
        </w:tc>
      </w:tr>
      <w:tr w:rsidR="002C0F56">
        <w:trPr>
          <w:trHeight w:val="838"/>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5" w:line="259" w:lineRule="auto"/>
              <w:ind w:left="0" w:firstLine="0"/>
              <w:jc w:val="left"/>
            </w:pPr>
            <w:r>
              <w:rPr>
                <w:sz w:val="24"/>
              </w:rPr>
              <w:t xml:space="preserve">Показатели, </w:t>
            </w:r>
          </w:p>
          <w:p w:rsidR="002C0F56" w:rsidRDefault="00E67C6E">
            <w:pPr>
              <w:tabs>
                <w:tab w:val="center" w:pos="1650"/>
                <w:tab w:val="right" w:pos="2394"/>
              </w:tabs>
              <w:spacing w:after="26" w:line="259" w:lineRule="auto"/>
              <w:ind w:left="0" w:firstLine="0"/>
              <w:jc w:val="left"/>
            </w:pPr>
            <w:r>
              <w:rPr>
                <w:sz w:val="24"/>
              </w:rPr>
              <w:t xml:space="preserve">состоящие </w:t>
            </w:r>
            <w:r>
              <w:rPr>
                <w:sz w:val="24"/>
              </w:rPr>
              <w:tab/>
              <w:t xml:space="preserve">из </w:t>
            </w:r>
            <w:r>
              <w:rPr>
                <w:sz w:val="24"/>
              </w:rPr>
              <w:tab/>
              <w:t xml:space="preserve">2 </w:t>
            </w:r>
          </w:p>
          <w:p w:rsidR="002C0F56" w:rsidRDefault="00E67C6E">
            <w:pPr>
              <w:spacing w:after="0" w:line="259" w:lineRule="auto"/>
              <w:ind w:left="0" w:firstLine="0"/>
              <w:jc w:val="left"/>
            </w:pPr>
            <w:r>
              <w:rPr>
                <w:sz w:val="24"/>
              </w:rPr>
              <w:t xml:space="preserve">циклов </w:t>
            </w:r>
          </w:p>
        </w:tc>
        <w:tc>
          <w:tcPr>
            <w:tcW w:w="620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pPr>
            <w:r>
              <w:rPr>
                <w:sz w:val="24"/>
              </w:rPr>
              <w:t xml:space="preserve">Рентабельность, чистая прибыль, себестоимость, выручка </w:t>
            </w:r>
          </w:p>
        </w:tc>
      </w:tr>
      <w:tr w:rsidR="002C0F56">
        <w:trPr>
          <w:trHeight w:val="564"/>
        </w:trPr>
        <w:tc>
          <w:tcPr>
            <w:tcW w:w="25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Показатели, присущие системе </w:t>
            </w:r>
          </w:p>
        </w:tc>
        <w:tc>
          <w:tcPr>
            <w:tcW w:w="620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Чистая прибыль, себестоимость, норма расхода сырья, выручка </w:t>
            </w:r>
          </w:p>
        </w:tc>
      </w:tr>
    </w:tbl>
    <w:p w:rsidR="002C0F56" w:rsidRDefault="00E67C6E">
      <w:pPr>
        <w:spacing w:after="0" w:line="259" w:lineRule="auto"/>
        <w:ind w:left="1558" w:firstLine="0"/>
        <w:jc w:val="left"/>
      </w:pPr>
      <w:r>
        <w:t xml:space="preserve"> </w:t>
      </w:r>
    </w:p>
    <w:p w:rsidR="002C0F56" w:rsidRDefault="00E67C6E">
      <w:pPr>
        <w:spacing w:after="0"/>
        <w:ind w:left="994" w:right="302"/>
      </w:pPr>
      <w:r>
        <w:t>В дальнейшем Проект передает Объекту свою рентабельность, так как данный показатель  характеризует результаты хозяйственной деятельности Объекта. Рентабельность определяется как отношение чистой прибыли к полной себестоимости продукции. Далее происходит пр</w:t>
      </w:r>
      <w:r>
        <w:t>оцесс производства продукции, который находится в Процессе. Процесс передает Проекту затраты по статьям затрат. Затем Проект корректирует пространственно-временной ресурс от процесса - себестоимость, и сообщает ее обратно в виде цены. Для стабильного, непр</w:t>
      </w:r>
      <w:r>
        <w:t>ерывного процесса производства продукции необходимо определенное количество сырья и материалов, которое и передает Среда Процессу. Взамен Процесс передает объем выпущенной продукции Среде для дальнейшей ее реализации и получения дохода. Так как Среда довол</w:t>
      </w:r>
      <w:r>
        <w:t xml:space="preserve">ьно обширная система, то при ее взаимодействии с Объектом происходит создание дебиторской и кредиторской задолженности.  </w:t>
      </w:r>
    </w:p>
    <w:p w:rsidR="002C0F56" w:rsidRDefault="00E67C6E">
      <w:pPr>
        <w:spacing w:after="5"/>
        <w:ind w:left="994" w:right="302"/>
      </w:pPr>
      <w:r>
        <w:t>Показатели, состоящие из 2 циклов, представляют собой математическое действие из каких-либо других показателей. Например, рентабельнос</w:t>
      </w:r>
      <w:r>
        <w:t xml:space="preserve">ть рассчитывается как отношение чистой прибыли к себестоимости. Себестоимость как разница между ценой товара и затратами на сырье. Чистая прибыль как разность между выручкой, себестоимостью и затратами. Выручка это произведение объема выпущенной продукции </w:t>
      </w:r>
      <w:r>
        <w:t xml:space="preserve">на цену товара. </w:t>
      </w:r>
    </w:p>
    <w:p w:rsidR="002C0F56" w:rsidRDefault="00E67C6E">
      <w:pPr>
        <w:spacing w:after="0"/>
        <w:ind w:left="994" w:right="302"/>
      </w:pPr>
      <w:r>
        <w:t>Так как при взаимодействии Проекта и Процесса они обмениваются  затратами и ценой, то в самом проекте будет формироваться показатель себестоимости (он и будет присущ системе). В процессе производства будет рассчитываться норма расхода сырь</w:t>
      </w:r>
      <w:r>
        <w:t>я, которая будет являться показателем, присущим Процессу. При взаимодействии Среды с другими системами, она совмещает объем выпущенной продукции с дебиторской и кредиторской задолженностью, то в самой Среде будет формироваться показатель выручки. А так как</w:t>
      </w:r>
      <w:r>
        <w:t xml:space="preserve"> Объект принимает к себе рентабельность и дебиторскую задолженность, то в нем будет формироваться чистая прибыль. </w:t>
      </w:r>
    </w:p>
    <w:p w:rsidR="002C0F56" w:rsidRDefault="00E67C6E">
      <w:pPr>
        <w:spacing w:after="0"/>
        <w:ind w:left="994" w:right="302"/>
      </w:pPr>
      <w:r>
        <w:t>В проделанной работе подробнейшим образом были разобраны все аспекты экономических систем, которые были объединены в тетраду, состоящую из оп</w:t>
      </w:r>
      <w:r>
        <w:t xml:space="preserve">ределенных элементов, взаимодействие которых было описано выше. Была </w:t>
      </w:r>
      <w:r>
        <w:lastRenderedPageBreak/>
        <w:t>проанализирована взаимосвязь между самой структурой, отдельными элементами системы и их показатели во времени и пространстве, и, как следствие, – обеспечение определенным ресурсом или спо</w:t>
      </w:r>
      <w:r>
        <w:t xml:space="preserve">собностью.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ind w:left="994" w:right="302"/>
      </w:pPr>
      <w:r>
        <w:t xml:space="preserve">1. Клейнер Г. Б. Ресурсная теория системной организации экономики // Российский журнал менеджмента. 2011. №3. С. 3-28.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pStyle w:val="1"/>
        <w:spacing w:after="25" w:line="259" w:lineRule="auto"/>
        <w:ind w:right="308"/>
        <w:jc w:val="right"/>
      </w:pPr>
      <w:r>
        <w:t xml:space="preserve">Потоцкая Д. А. </w:t>
      </w:r>
      <w:r>
        <w:rPr>
          <w:b w:val="0"/>
        </w:rPr>
        <w:t xml:space="preserve">Научный руководитель: Шаврук Е. Н. </w:t>
      </w:r>
    </w:p>
    <w:p w:rsidR="002C0F56" w:rsidRDefault="00E67C6E">
      <w:pPr>
        <w:spacing w:after="0" w:line="267" w:lineRule="auto"/>
        <w:ind w:left="905" w:right="310" w:hanging="10"/>
        <w:jc w:val="right"/>
      </w:pPr>
      <w:r>
        <w:rPr>
          <w:i/>
        </w:rPr>
        <w:t xml:space="preserve">Белорусский государственный экономический университет </w:t>
      </w:r>
    </w:p>
    <w:p w:rsidR="002C0F56" w:rsidRDefault="00E67C6E">
      <w:pPr>
        <w:spacing w:after="33" w:line="259" w:lineRule="auto"/>
        <w:ind w:left="1558" w:firstLine="0"/>
        <w:jc w:val="left"/>
      </w:pPr>
      <w:r>
        <w:rPr>
          <w:i/>
        </w:rPr>
        <w:t xml:space="preserve"> </w:t>
      </w:r>
    </w:p>
    <w:p w:rsidR="002C0F56" w:rsidRDefault="00E67C6E">
      <w:pPr>
        <w:pStyle w:val="1"/>
        <w:ind w:left="700" w:right="5"/>
      </w:pPr>
      <w:r>
        <w:t>ИСПОЛЬЗОВАНИЕ ГИС В ЛОГИСТИКЕ</w:t>
      </w:r>
      <w:r>
        <w:rPr>
          <w:rFonts w:ascii="Arial" w:eastAsia="Arial" w:hAnsi="Arial" w:cs="Arial"/>
          <w:b w:val="0"/>
        </w:rPr>
        <w:t xml:space="preserve"> </w:t>
      </w:r>
    </w:p>
    <w:p w:rsidR="002C0F56" w:rsidRDefault="00E67C6E">
      <w:pPr>
        <w:spacing w:after="0" w:line="259" w:lineRule="auto"/>
        <w:ind w:left="1558" w:firstLine="0"/>
        <w:jc w:val="left"/>
      </w:pPr>
      <w:r>
        <w:rPr>
          <w:b/>
          <w:i/>
        </w:rPr>
        <w:t xml:space="preserve"> </w:t>
      </w:r>
    </w:p>
    <w:p w:rsidR="002C0F56" w:rsidRDefault="00E67C6E">
      <w:pPr>
        <w:spacing w:after="0"/>
        <w:ind w:left="994" w:right="302"/>
      </w:pPr>
      <w:r>
        <w:t>Информационные технологии играют существенную роль в повышении эффективности и результативности логистических процессов. Логистика по своей сути неотъемлемо связана с</w:t>
      </w:r>
      <w:r>
        <w:t xml:space="preserve"> географической информацией. В связи с этим геоинформационные системы в логистике используются как мощный аналитический инструмент, широко применяемый для решения логистических операций, как например, быстрое планирование оптимальных маршрутов и  отслежива</w:t>
      </w:r>
      <w:r>
        <w:t xml:space="preserve">ние движения транспортных средств, анализ месторасположения для размещения логистических активов (складов, распределительных центров, транспортных баз и пр.) </w:t>
      </w:r>
    </w:p>
    <w:p w:rsidR="002C0F56" w:rsidRDefault="00E67C6E">
      <w:pPr>
        <w:spacing w:after="13"/>
        <w:ind w:left="994" w:right="302"/>
      </w:pPr>
      <w:r>
        <w:t>Значительная часть географических данных быстро меняется с течением времени и поэтому неприемлемы</w:t>
      </w:r>
      <w:r>
        <w:t xml:space="preserve">м становится использование бумажных карт: быстроту получения информации и её актуальность может гарантировать только автоматизированная система. Современная </w:t>
      </w:r>
      <w:r>
        <w:rPr>
          <w:b/>
        </w:rPr>
        <w:t>Географическая Информационная Система (ГИС)</w:t>
      </w:r>
      <w:r>
        <w:t xml:space="preserve"> – это интерактивная автоматизированная  информационная </w:t>
      </w:r>
      <w:r>
        <w:t>система, обеспечивающая сбор, хранение, доступ, отображение пространственно-организованных данных и ориентированная на возможность принятия научно-обоснованных управленческих решений. Можно определить ГИС и следующим образом: ГИС – компьютерная система, от</w:t>
      </w:r>
      <w:r>
        <w:t xml:space="preserve">ображающая данные на электронной карте. </w:t>
      </w:r>
    </w:p>
    <w:p w:rsidR="002C0F56" w:rsidRDefault="00E67C6E">
      <w:pPr>
        <w:spacing w:after="3"/>
        <w:ind w:left="994" w:right="302"/>
      </w:pPr>
      <w:r>
        <w:t>Источниками данных для ГИС могут являться карты, схемы, чертежы, материалы наземных изысканий, дистанционного зондирования, в том числе аэрофотосъемки и космосъемки, данные систем спутникового позиционирования, стат</w:t>
      </w:r>
      <w:r>
        <w:t xml:space="preserve">истические таблицы и текстовые документы.  </w:t>
      </w:r>
    </w:p>
    <w:p w:rsidR="002C0F56" w:rsidRDefault="00E67C6E">
      <w:pPr>
        <w:ind w:left="994" w:right="302"/>
      </w:pPr>
      <w:r>
        <w:lastRenderedPageBreak/>
        <w:t>Для того чтобы рассмотреть функциональные возможности ГИС, необходимо установить, каким образом географическая информация представлена в системе. Данные ГИС представляют собой совокупность пространственной информ</w:t>
      </w:r>
      <w:r>
        <w:t xml:space="preserve">ации и связанной с ней табличной (атрибутивной) информации. </w:t>
      </w:r>
    </w:p>
    <w:p w:rsidR="002C0F56" w:rsidRDefault="00E67C6E">
      <w:pPr>
        <w:spacing w:after="0"/>
        <w:ind w:left="994" w:right="302"/>
      </w:pPr>
      <w:r>
        <w:rPr>
          <w:b/>
        </w:rPr>
        <w:t>Пространственная информация</w:t>
      </w:r>
      <w:r>
        <w:t xml:space="preserve"> описывает пространственную структуру объектов, включая их форму и положение относительно друг друга в пространстве. Обычно пространственные взаимоотношения между отдел</w:t>
      </w:r>
      <w:r>
        <w:t>ьными точечными, линейными и полигональными объектами определяются через соответствующую систему координат, связывающую их положение с реальным миром. Наиболее распространенными способами цифрового описания пространственных объектов являются: векторное пре</w:t>
      </w:r>
      <w:r>
        <w:t xml:space="preserve">дставление (точки, линии, полигоны); растровое представление (ячейки, сетки), рис. 1.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127" w:line="259" w:lineRule="auto"/>
        <w:ind w:left="2576" w:firstLine="0"/>
        <w:jc w:val="left"/>
      </w:pPr>
      <w:r>
        <w:rPr>
          <w:noProof/>
        </w:rPr>
        <w:drawing>
          <wp:inline distT="0" distB="0" distL="0" distR="0">
            <wp:extent cx="4114800" cy="1419225"/>
            <wp:effectExtent l="0" t="0" r="0" b="0"/>
            <wp:docPr id="67992" name="Picture 67992"/>
            <wp:cNvGraphicFramePr/>
            <a:graphic xmlns:a="http://schemas.openxmlformats.org/drawingml/2006/main">
              <a:graphicData uri="http://schemas.openxmlformats.org/drawingml/2006/picture">
                <pic:pic xmlns:pic="http://schemas.openxmlformats.org/drawingml/2006/picture">
                  <pic:nvPicPr>
                    <pic:cNvPr id="67992" name="Picture 67992"/>
                    <pic:cNvPicPr/>
                  </pic:nvPicPr>
                  <pic:blipFill>
                    <a:blip r:embed="rId1218"/>
                    <a:stretch>
                      <a:fillRect/>
                    </a:stretch>
                  </pic:blipFill>
                  <pic:spPr>
                    <a:xfrm>
                      <a:off x="0" y="0"/>
                      <a:ext cx="4114800" cy="1419225"/>
                    </a:xfrm>
                    <a:prstGeom prst="rect">
                      <a:avLst/>
                    </a:prstGeom>
                  </pic:spPr>
                </pic:pic>
              </a:graphicData>
            </a:graphic>
          </wp:inline>
        </w:drawing>
      </w:r>
    </w:p>
    <w:p w:rsidR="002C0F56" w:rsidRDefault="00E67C6E">
      <w:pPr>
        <w:tabs>
          <w:tab w:val="center" w:pos="1558"/>
          <w:tab w:val="center" w:pos="5965"/>
        </w:tabs>
        <w:spacing w:after="5" w:line="271" w:lineRule="auto"/>
        <w:ind w:left="0" w:firstLine="0"/>
        <w:jc w:val="left"/>
      </w:pPr>
      <w:r>
        <w:rPr>
          <w:rFonts w:ascii="Calibri" w:eastAsia="Calibri" w:hAnsi="Calibri" w:cs="Calibri"/>
          <w:sz w:val="22"/>
        </w:rPr>
        <w:tab/>
      </w:r>
      <w:r>
        <w:t xml:space="preserve"> </w:t>
      </w:r>
      <w:r>
        <w:tab/>
      </w:r>
      <w:r>
        <w:rPr>
          <w:sz w:val="24"/>
        </w:rPr>
        <w:t xml:space="preserve">(а)                                                  (б)                                    </w:t>
      </w:r>
    </w:p>
    <w:p w:rsidR="002C0F56" w:rsidRDefault="00E67C6E">
      <w:pPr>
        <w:tabs>
          <w:tab w:val="center" w:pos="1558"/>
          <w:tab w:val="center" w:pos="5965"/>
        </w:tabs>
        <w:spacing w:after="5" w:line="271" w:lineRule="auto"/>
        <w:ind w:left="0" w:firstLine="0"/>
        <w:jc w:val="left"/>
      </w:pPr>
      <w:r>
        <w:rPr>
          <w:rFonts w:ascii="Calibri" w:eastAsia="Calibri" w:hAnsi="Calibri" w:cs="Calibri"/>
          <w:sz w:val="22"/>
        </w:rPr>
        <w:tab/>
      </w:r>
      <w:r>
        <w:t xml:space="preserve">  </w:t>
      </w:r>
      <w:r>
        <w:tab/>
      </w:r>
      <w:r>
        <w:rPr>
          <w:b/>
          <w:sz w:val="24"/>
        </w:rPr>
        <w:t xml:space="preserve">Рис.1. Растровая (а) и векторная (б) модели данных </w:t>
      </w:r>
    </w:p>
    <w:p w:rsidR="002C0F56" w:rsidRDefault="00E67C6E">
      <w:pPr>
        <w:spacing w:after="27" w:line="259" w:lineRule="auto"/>
        <w:ind w:left="994" w:firstLine="0"/>
        <w:jc w:val="left"/>
      </w:pPr>
      <w:r>
        <w:t xml:space="preserve"> </w:t>
      </w:r>
    </w:p>
    <w:p w:rsidR="002C0F56" w:rsidRDefault="00E67C6E">
      <w:pPr>
        <w:spacing w:after="2"/>
        <w:ind w:left="994" w:right="302"/>
      </w:pPr>
      <w:r>
        <w:rPr>
          <w:b/>
        </w:rPr>
        <w:t>Атрибутивные данные ГИС</w:t>
      </w:r>
      <w:r>
        <w:t xml:space="preserve"> - качественные или количественные данные, представленные в виде свойств или характеристик, относящихся к определенному пространственному объекту базы данных ГИС. Атрибутивные данные географических объектов представляются в форме спе</w:t>
      </w:r>
      <w:r>
        <w:t xml:space="preserve">циальных атрибутивных таблиц состоящих из строк и столбцов. Таблица атрибутов объектов - это особый тип файла данных, хранящий информацию о каждой точке, линии или полигоне (площадной объект), рис. 2. </w:t>
      </w:r>
    </w:p>
    <w:p w:rsidR="002C0F56" w:rsidRDefault="00E67C6E">
      <w:pPr>
        <w:spacing w:after="43" w:line="259" w:lineRule="auto"/>
        <w:ind w:left="2366" w:firstLine="0"/>
        <w:jc w:val="left"/>
      </w:pPr>
      <w:r>
        <w:rPr>
          <w:noProof/>
        </w:rPr>
        <w:drawing>
          <wp:inline distT="0" distB="0" distL="0" distR="0">
            <wp:extent cx="4648200" cy="1628775"/>
            <wp:effectExtent l="0" t="0" r="0" b="0"/>
            <wp:docPr id="67985" name="Picture 67985"/>
            <wp:cNvGraphicFramePr/>
            <a:graphic xmlns:a="http://schemas.openxmlformats.org/drawingml/2006/main">
              <a:graphicData uri="http://schemas.openxmlformats.org/drawingml/2006/picture">
                <pic:pic xmlns:pic="http://schemas.openxmlformats.org/drawingml/2006/picture">
                  <pic:nvPicPr>
                    <pic:cNvPr id="67985" name="Picture 67985"/>
                    <pic:cNvPicPr/>
                  </pic:nvPicPr>
                  <pic:blipFill>
                    <a:blip r:embed="rId1219"/>
                    <a:stretch>
                      <a:fillRect/>
                    </a:stretch>
                  </pic:blipFill>
                  <pic:spPr>
                    <a:xfrm>
                      <a:off x="0" y="0"/>
                      <a:ext cx="4648200" cy="1628775"/>
                    </a:xfrm>
                    <a:prstGeom prst="rect">
                      <a:avLst/>
                    </a:prstGeom>
                  </pic:spPr>
                </pic:pic>
              </a:graphicData>
            </a:graphic>
          </wp:inline>
        </w:drawing>
      </w:r>
    </w:p>
    <w:p w:rsidR="002C0F56" w:rsidRDefault="00E67C6E">
      <w:pPr>
        <w:tabs>
          <w:tab w:val="center" w:pos="1558"/>
          <w:tab w:val="center" w:pos="5948"/>
        </w:tabs>
        <w:spacing w:after="5" w:line="271" w:lineRule="auto"/>
        <w:ind w:left="0" w:firstLine="0"/>
        <w:jc w:val="left"/>
      </w:pPr>
      <w:r>
        <w:rPr>
          <w:rFonts w:ascii="Calibri" w:eastAsia="Calibri" w:hAnsi="Calibri" w:cs="Calibri"/>
          <w:sz w:val="22"/>
        </w:rPr>
        <w:lastRenderedPageBreak/>
        <w:tab/>
      </w:r>
      <w:r>
        <w:t xml:space="preserve"> </w:t>
      </w:r>
      <w:r>
        <w:tab/>
      </w:r>
      <w:r>
        <w:rPr>
          <w:b/>
          <w:sz w:val="24"/>
        </w:rPr>
        <w:t>Рис.2. Связь пространственных и атрибутивных данн</w:t>
      </w:r>
      <w:r>
        <w:rPr>
          <w:b/>
          <w:sz w:val="24"/>
        </w:rPr>
        <w:t xml:space="preserve">ых в ГИС </w:t>
      </w:r>
    </w:p>
    <w:p w:rsidR="002C0F56" w:rsidRDefault="00E67C6E">
      <w:pPr>
        <w:spacing w:after="62" w:line="259" w:lineRule="auto"/>
        <w:ind w:left="1558" w:firstLine="0"/>
        <w:jc w:val="left"/>
      </w:pPr>
      <w:r>
        <w:t xml:space="preserve"> </w:t>
      </w:r>
      <w:r>
        <w:tab/>
      </w:r>
      <w:r>
        <w:rPr>
          <w:b/>
          <w:sz w:val="24"/>
        </w:rPr>
        <w:t xml:space="preserve"> </w:t>
      </w:r>
    </w:p>
    <w:p w:rsidR="002C0F56" w:rsidRDefault="00E67C6E">
      <w:pPr>
        <w:spacing w:after="58"/>
        <w:ind w:left="1558" w:right="302" w:firstLine="0"/>
      </w:pPr>
      <w:r>
        <w:t xml:space="preserve">По функциональным возможностям ГИС классифицируются на: </w:t>
      </w:r>
    </w:p>
    <w:p w:rsidR="002C0F56" w:rsidRDefault="00E67C6E">
      <w:pPr>
        <w:numPr>
          <w:ilvl w:val="0"/>
          <w:numId w:val="202"/>
        </w:numPr>
        <w:spacing w:after="12"/>
        <w:ind w:right="302"/>
      </w:pPr>
      <w:r>
        <w:t xml:space="preserve">инструментальные </w:t>
      </w:r>
      <w:r>
        <w:tab/>
        <w:t xml:space="preserve"> </w:t>
      </w:r>
      <w:r>
        <w:tab/>
        <w:t xml:space="preserve">ГИС </w:t>
      </w:r>
      <w:r>
        <w:tab/>
        <w:t xml:space="preserve">– </w:t>
      </w:r>
      <w:r>
        <w:tab/>
        <w:t xml:space="preserve">полнофункциональные </w:t>
      </w:r>
      <w:r>
        <w:tab/>
        <w:t xml:space="preserve">ГИС </w:t>
      </w:r>
      <w:r>
        <w:tab/>
        <w:t xml:space="preserve">общего </w:t>
      </w:r>
    </w:p>
    <w:p w:rsidR="002C0F56" w:rsidRDefault="00E67C6E">
      <w:pPr>
        <w:ind w:left="994" w:right="302" w:firstLine="0"/>
      </w:pPr>
      <w:r>
        <w:t xml:space="preserve">назначения, например, ArcView GIS; </w:t>
      </w:r>
    </w:p>
    <w:p w:rsidR="002C0F56" w:rsidRDefault="00E67C6E">
      <w:pPr>
        <w:numPr>
          <w:ilvl w:val="0"/>
          <w:numId w:val="202"/>
        </w:numPr>
        <w:spacing w:after="58"/>
        <w:ind w:right="302"/>
      </w:pPr>
      <w:r>
        <w:t xml:space="preserve">ГИС-вьюверы – </w:t>
      </w:r>
      <w:r>
        <w:t xml:space="preserve">недорогие, облегченные пакеты, с ограниченной возможностью редактирования данных, предназначенные в основном для визуализации и выполнения запросов к БД (в том числе и графическим), подготовленным в среде инструментальных ГИС; </w:t>
      </w:r>
    </w:p>
    <w:p w:rsidR="002C0F56" w:rsidRDefault="00E67C6E">
      <w:pPr>
        <w:numPr>
          <w:ilvl w:val="0"/>
          <w:numId w:val="202"/>
        </w:numPr>
        <w:ind w:right="302"/>
      </w:pPr>
      <w:r>
        <w:t>специализированные ГИС ориен</w:t>
      </w:r>
      <w:r>
        <w:t xml:space="preserve">тированы на решение конкретной задачи в какой либо предметной области; </w:t>
      </w:r>
    </w:p>
    <w:p w:rsidR="002C0F56" w:rsidRDefault="00E67C6E">
      <w:pPr>
        <w:numPr>
          <w:ilvl w:val="0"/>
          <w:numId w:val="202"/>
        </w:numPr>
        <w:ind w:right="302"/>
      </w:pPr>
      <w:r>
        <w:t xml:space="preserve">информационно-справочные системы для домашнего и информационносправочного пользования, например, CityInfo.  </w:t>
      </w:r>
    </w:p>
    <w:p w:rsidR="002C0F56" w:rsidRDefault="00E67C6E">
      <w:pPr>
        <w:spacing w:after="0"/>
        <w:ind w:left="994" w:right="302"/>
      </w:pPr>
      <w:r>
        <w:t xml:space="preserve"> </w:t>
      </w:r>
      <w:r>
        <w:t>Преимущество использования ГИС в логистике заключается в наглядном представлении пространственных данных на карте и широких возможностях их детального анализа. С помощью ГИС можно располагать на карте предприятия, склады, таможенные терминалы, строить опти</w:t>
      </w:r>
      <w:r>
        <w:t>мальные маршруты движения автомобильного, железнодорожного и другого транспорта, осуществлять мониторинг состояния объектов в режиме реального времени, анализировать динамику грузопотоков, отображать маркетинговую информацию на карте в виде диаграмм, графи</w:t>
      </w:r>
      <w:r>
        <w:t xml:space="preserve">ков, формировать различные отчеты.  </w:t>
      </w:r>
    </w:p>
    <w:p w:rsidR="002C0F56" w:rsidRDefault="00E67C6E">
      <w:pPr>
        <w:spacing w:after="0"/>
        <w:ind w:left="994" w:right="302"/>
      </w:pPr>
      <w:r>
        <w:t>Специалисты по логистике могут использовать ГИС для интеграции анализа картографирования в поддержку принятия решений. Перед тем, как решить проблему, можно смоделировать маршрут, включая настройку среднего времени движ</w:t>
      </w:r>
      <w:r>
        <w:t xml:space="preserve">ения, улиц с односторонним движением, запрещенных поворотов, путепроводов и подземных переходов, а также закрытых улиц. </w:t>
      </w:r>
    </w:p>
    <w:p w:rsidR="002C0F56" w:rsidRDefault="00E67C6E">
      <w:pPr>
        <w:ind w:left="994" w:right="302"/>
      </w:pPr>
      <w:r>
        <w:t xml:space="preserve">ГИС позволяет выделить маркетинговые территории и провести анализ имеющейся по ним информации. С помощью ГИС можно определить наиболее </w:t>
      </w:r>
      <w:r>
        <w:t>выгодное для бизнеса местоположение новых производственных мощностей, филиалов и торговых точек; выявить сферы действия фирмы и конкурентов для выбора оптимальной стратегии, а также получить полноценную статистическую сводку по динамике спроса и предложени</w:t>
      </w:r>
      <w:r>
        <w:t xml:space="preserve">я. Результаты анализа могут стать основой для реализации маркетинговых программ, создания нового механизма, проведения оценки эффективности местоположения, определения места конкуренции и многого другого. </w:t>
      </w:r>
    </w:p>
    <w:p w:rsidR="002C0F56" w:rsidRDefault="00E67C6E">
      <w:pPr>
        <w:ind w:left="1558" w:right="302" w:firstLine="0"/>
      </w:pPr>
      <w:r>
        <w:t xml:space="preserve">Кроме этого внедрение ГИС позволяет: </w:t>
      </w:r>
    </w:p>
    <w:p w:rsidR="002C0F56" w:rsidRDefault="00E67C6E">
      <w:pPr>
        <w:numPr>
          <w:ilvl w:val="0"/>
          <w:numId w:val="203"/>
        </w:numPr>
        <w:ind w:right="302"/>
      </w:pPr>
      <w:r>
        <w:t>визуально по</w:t>
      </w:r>
      <w:r>
        <w:t xml:space="preserve"> карте и на основе сопутствующей цифровой и текстовой информации провести сравнение демографических характеристик по разным странам, областям и районам; </w:t>
      </w:r>
    </w:p>
    <w:p w:rsidR="002C0F56" w:rsidRDefault="00E67C6E">
      <w:pPr>
        <w:numPr>
          <w:ilvl w:val="0"/>
          <w:numId w:val="203"/>
        </w:numPr>
        <w:ind w:right="302"/>
      </w:pPr>
      <w:r>
        <w:lastRenderedPageBreak/>
        <w:t>нанести на карту, выделить и дополнить сопутствующей информацией зоны производства, хранения, сброса и</w:t>
      </w:r>
      <w:r>
        <w:t xml:space="preserve"> накопления вредных для людей и живых организмов веществ и материалов; </w:t>
      </w:r>
    </w:p>
    <w:p w:rsidR="002C0F56" w:rsidRDefault="00E67C6E">
      <w:pPr>
        <w:numPr>
          <w:ilvl w:val="0"/>
          <w:numId w:val="203"/>
        </w:numPr>
        <w:spacing w:after="10"/>
        <w:ind w:right="302"/>
      </w:pPr>
      <w:r>
        <w:t xml:space="preserve">изучить взаимосвязи между различными факторами, например между повторяемостью стихийных природных явлений и стоимостью недвижимости по любой территории. </w:t>
      </w:r>
    </w:p>
    <w:p w:rsidR="002C0F56" w:rsidRDefault="00E67C6E">
      <w:pPr>
        <w:spacing w:after="0"/>
        <w:ind w:left="994" w:right="302"/>
      </w:pPr>
      <w:r>
        <w:t xml:space="preserve">Однако на практике существует </w:t>
      </w:r>
      <w:r>
        <w:t>много трудностей в применении ГИС в области логистики. Прежде всего стоит отметить, что для точного анализа необходим значительный объем данных, работа с которыми в некоторых случаях является дорогостоящей и иногда недоступной в целом. Помимо этого большин</w:t>
      </w:r>
      <w:r>
        <w:t>ство коммерческих ГИС-пакетов являются инструментами общего назначения и не используются для управления логистикой. Поэтому необходимо объединение ГИС, содержащих специфическую информацию по проблеме, с другими технологиями для принятия обоснованных решени</w:t>
      </w:r>
      <w:r>
        <w:t xml:space="preserve">й. Наконец, существует дифицит специалистов, знающих принципы работы ГИСпрограммного обеспечения, и тем более в области сопряжения ГИС и управления логистикой.  </w:t>
      </w:r>
    </w:p>
    <w:p w:rsidR="002C0F56" w:rsidRDefault="00E67C6E">
      <w:pPr>
        <w:spacing w:after="0"/>
        <w:ind w:left="994" w:right="302"/>
      </w:pPr>
      <w:r>
        <w:t>Таким образом можно заключить, что, учитывая неразрывную связь логистики и географической инфо</w:t>
      </w:r>
      <w:r>
        <w:t>рмации, применение ГИС увеличивает оперативность обработки информации, точность и своевременность принятия управленческих решений, поднимает уровень сервиса, что в целом повышает эффективность работы компании и положительно влияет на её конкурентоспособнос</w:t>
      </w:r>
      <w:r>
        <w:t xml:space="preserve">ть. При этом в современных условиях поставщики логистических услуг будут всё чаще подвергаться воздействию технологий ГИС в различных формах, что требует значительной подготовки специалистов, знающих тонкости работы данной системы.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1" w:hanging="10"/>
        <w:jc w:val="center"/>
      </w:pPr>
      <w:r>
        <w:t xml:space="preserve">Список литературы: </w:t>
      </w:r>
    </w:p>
    <w:p w:rsidR="002C0F56" w:rsidRDefault="00E67C6E">
      <w:pPr>
        <w:numPr>
          <w:ilvl w:val="0"/>
          <w:numId w:val="204"/>
        </w:numPr>
        <w:ind w:right="302"/>
      </w:pPr>
      <w:r>
        <w:t>И</w:t>
      </w:r>
      <w:r>
        <w:t xml:space="preserve">конников, В.Ф. Информационные технологии и системы в логистике/ В.Ф. Иконников, А.М. Седун, Н.Г.Токаревская. – Минск: БГЭУ. 2012. </w:t>
      </w:r>
    </w:p>
    <w:p w:rsidR="002C0F56" w:rsidRDefault="00E67C6E">
      <w:pPr>
        <w:numPr>
          <w:ilvl w:val="0"/>
          <w:numId w:val="204"/>
        </w:numPr>
        <w:ind w:right="302"/>
      </w:pPr>
      <w:r>
        <w:t xml:space="preserve">Иконников, В.Ф. Геоинформационные системы: учеб.-метод. пособие / В.Ф.Иконников, А.М. Седун, Н.Г. Токаревская. — </w:t>
      </w:r>
      <w:r>
        <w:t xml:space="preserve">Минск: БГЭУ, 2010. </w:t>
      </w:r>
    </w:p>
    <w:p w:rsidR="002C0F56" w:rsidRDefault="00E67C6E">
      <w:pPr>
        <w:numPr>
          <w:ilvl w:val="0"/>
          <w:numId w:val="204"/>
        </w:numPr>
        <w:spacing w:after="12"/>
        <w:ind w:right="302"/>
      </w:pPr>
      <w:r>
        <w:t xml:space="preserve">Kumar S, Agrawal S, 2011. GIS As A Decision Support For Supply Chain </w:t>
      </w:r>
    </w:p>
    <w:p w:rsidR="002C0F56" w:rsidRDefault="00E67C6E">
      <w:pPr>
        <w:spacing w:after="10"/>
        <w:ind w:left="994" w:right="302" w:firstLine="0"/>
      </w:pPr>
      <w:r>
        <w:t>Management. Geospatial World Forum. – 2011. – PN-253. – Режим доступа: http://www.geospatialworldforum.org/2011/proceeding/pdf/sanjayfullpaper.pdf, свободный. – (Дата</w:t>
      </w:r>
      <w:r>
        <w:t xml:space="preserve"> обращения: 10.04.2017).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25" w:line="259" w:lineRule="auto"/>
        <w:ind w:left="10" w:right="307" w:hanging="10"/>
        <w:jc w:val="right"/>
      </w:pPr>
      <w:r>
        <w:rPr>
          <w:b/>
        </w:rPr>
        <w:t xml:space="preserve">Поцепня И.Н. </w:t>
      </w:r>
    </w:p>
    <w:p w:rsidR="002C0F56" w:rsidRDefault="00E67C6E">
      <w:pPr>
        <w:spacing w:after="11" w:line="270" w:lineRule="auto"/>
        <w:ind w:left="10" w:right="310" w:hanging="10"/>
        <w:jc w:val="right"/>
      </w:pPr>
      <w:r>
        <w:t xml:space="preserve">Научный руководитель: Онищук А.В. </w:t>
      </w:r>
    </w:p>
    <w:p w:rsidR="002C0F56" w:rsidRDefault="00E67C6E">
      <w:pPr>
        <w:spacing w:after="0" w:line="267" w:lineRule="auto"/>
        <w:ind w:left="905" w:right="310" w:hanging="10"/>
        <w:jc w:val="right"/>
      </w:pPr>
      <w:r>
        <w:rPr>
          <w:i/>
        </w:rPr>
        <w:lastRenderedPageBreak/>
        <w:t xml:space="preserve">Полесский государственный университет </w:t>
      </w:r>
    </w:p>
    <w:p w:rsidR="002C0F56" w:rsidRDefault="00E67C6E">
      <w:pPr>
        <w:spacing w:after="0" w:line="259" w:lineRule="auto"/>
        <w:ind w:left="1558" w:firstLine="0"/>
        <w:jc w:val="left"/>
      </w:pPr>
      <w:r>
        <w:t xml:space="preserve"> </w:t>
      </w:r>
    </w:p>
    <w:p w:rsidR="002C0F56" w:rsidRDefault="00E67C6E">
      <w:pPr>
        <w:pStyle w:val="1"/>
        <w:spacing w:after="15" w:line="271" w:lineRule="auto"/>
        <w:ind w:left="1160" w:right="0"/>
        <w:jc w:val="left"/>
      </w:pPr>
      <w:r>
        <w:t xml:space="preserve">МЕЖДУНАРОДНЫЙ ФИНАНСОВЫЙ МЕНЕДЖМЕНТ В УСЛОВИЯХ </w:t>
      </w:r>
    </w:p>
    <w:p w:rsidR="002C0F56" w:rsidRDefault="00E67C6E">
      <w:pPr>
        <w:pStyle w:val="1"/>
        <w:ind w:left="700" w:right="4"/>
      </w:pPr>
      <w:r>
        <w:t xml:space="preserve">КРИЗИСА ГЛОБАЛЬНОГО ФИНАНСОВОГО РЫНКА </w:t>
      </w:r>
    </w:p>
    <w:p w:rsidR="002C0F56" w:rsidRDefault="00E67C6E">
      <w:pPr>
        <w:spacing w:after="0" w:line="259" w:lineRule="auto"/>
        <w:ind w:left="1558" w:firstLine="0"/>
        <w:jc w:val="left"/>
      </w:pPr>
      <w:r>
        <w:rPr>
          <w:b/>
        </w:rPr>
        <w:t xml:space="preserve"> </w:t>
      </w:r>
    </w:p>
    <w:p w:rsidR="002C0F56" w:rsidRDefault="00E67C6E">
      <w:pPr>
        <w:spacing w:after="3"/>
        <w:ind w:left="994" w:right="302"/>
      </w:pPr>
      <w:r>
        <w:t xml:space="preserve">В  условиях  глобального  кризиса  и  нестабильности,  принятие  обоснованных  и  эффективных решений в сфере финансового менеджмента  невозможно  без  всестороннего  учета  и оценки  закономерностей  формирования  и  направлений эволюции внешней среды.  </w:t>
      </w:r>
    </w:p>
    <w:p w:rsidR="002C0F56" w:rsidRDefault="00E67C6E">
      <w:pPr>
        <w:spacing w:after="0"/>
        <w:ind w:left="994" w:right="302"/>
      </w:pPr>
      <w:r>
        <w:t>Происходящие структурные изменения составляющих мирового финансового рынка обусловили не только транснационализацию капитала, но и интернационализацию бизнеса. Интеграционные  процессы  финансовых  рынков способствуют не только объединению мирового  хозяйс</w:t>
      </w:r>
      <w:r>
        <w:t xml:space="preserve">тва,  но  и  таят  в  себе  значительную финансовую опасность. Развертывание кризисных явлений, имеющих глобальный и системный характер, наглядно </w:t>
      </w:r>
    </w:p>
    <w:p w:rsidR="002C0F56" w:rsidRDefault="00E67C6E">
      <w:pPr>
        <w:spacing w:after="2"/>
        <w:ind w:left="994" w:right="302" w:firstLine="0"/>
      </w:pPr>
      <w:r>
        <w:t>демонстрируют недостаток  эффективных  подходов  и  методов  преодоления  кризисных  явлений  в  рамках  внут</w:t>
      </w:r>
      <w:r>
        <w:t xml:space="preserve">реннего  финансового  механизма белорусских предприятий и выхода на мировой финансовый рынок как возможной среды их функционирования. </w:t>
      </w:r>
    </w:p>
    <w:p w:rsidR="002C0F56" w:rsidRDefault="00E67C6E">
      <w:pPr>
        <w:spacing w:after="0"/>
        <w:ind w:left="994" w:right="302"/>
      </w:pPr>
      <w:r>
        <w:t>Развитие системы международного финансового менеджмента заключается в реализации системы  мер,  обеспечивающих  устойчиво</w:t>
      </w:r>
      <w:r>
        <w:t>е функционирование  мирового  финансового рынка  и  адекватное  кризисным  условиям управление финансами предприятия. Разработка эффективной системы международного финансового  менеджмента  основывается  на  использовании  инновационных  подходов  и  совре</w:t>
      </w:r>
      <w:r>
        <w:t xml:space="preserve">менного  аппарата  финансовых  методов, приемов и инструментов.  </w:t>
      </w:r>
    </w:p>
    <w:p w:rsidR="002C0F56" w:rsidRDefault="00E67C6E">
      <w:pPr>
        <w:ind w:left="994" w:right="302"/>
      </w:pPr>
      <w:r>
        <w:t>Под мировым финансовым рынком понимается  совокупность  экономических  и  хозяйственных отношений, возникающих при движении финансовых потоков между сегментами и субъектами рынка. При этом в</w:t>
      </w:r>
      <w:r>
        <w:t xml:space="preserve">ажнейшим индикатором процессов, протекающих на мировом финансовом рынке, являются цены. Динамика мировых цен на финансовые активы – основа для принятия решений в процессе осуществления международного </w:t>
      </w:r>
    </w:p>
    <w:p w:rsidR="002C0F56" w:rsidRDefault="00E67C6E">
      <w:pPr>
        <w:spacing w:after="12"/>
        <w:ind w:left="994" w:right="302" w:firstLine="0"/>
      </w:pPr>
      <w:r>
        <w:t xml:space="preserve">финансового менеджмента[1]. </w:t>
      </w:r>
    </w:p>
    <w:p w:rsidR="002C0F56" w:rsidRDefault="00E67C6E">
      <w:pPr>
        <w:ind w:left="994" w:right="302"/>
      </w:pPr>
      <w:r>
        <w:t>С развитием мировых хозяйс</w:t>
      </w:r>
      <w:r>
        <w:t>твенных связей и переплетением трансграничных финансовых потоков большое значение приобретают методы структурирования таких понятий, как мировой, международный и национальные финансовые рынки. Наиболее широкое из них – мировой  рынок.  Он  представляет  со</w:t>
      </w:r>
      <w:r>
        <w:t xml:space="preserve">бой  совокупность национальных и международных финансовых  рынков,  каждый  из  которых  обладает своими специфическими особенностями, с долей известной самостоятельности и обособленности. </w:t>
      </w:r>
    </w:p>
    <w:p w:rsidR="002C0F56" w:rsidRDefault="00E67C6E">
      <w:pPr>
        <w:tabs>
          <w:tab w:val="center" w:pos="2265"/>
          <w:tab w:val="center" w:pos="3885"/>
          <w:tab w:val="center" w:pos="5533"/>
          <w:tab w:val="center" w:pos="7336"/>
          <w:tab w:val="center" w:pos="8771"/>
          <w:tab w:val="center" w:pos="10031"/>
        </w:tabs>
        <w:spacing w:after="11" w:line="270" w:lineRule="auto"/>
        <w:ind w:left="0" w:firstLine="0"/>
        <w:jc w:val="left"/>
      </w:pPr>
      <w:r>
        <w:rPr>
          <w:rFonts w:ascii="Calibri" w:eastAsia="Calibri" w:hAnsi="Calibri" w:cs="Calibri"/>
          <w:sz w:val="22"/>
        </w:rPr>
        <w:lastRenderedPageBreak/>
        <w:tab/>
      </w:r>
      <w:r>
        <w:t xml:space="preserve">Основными </w:t>
      </w:r>
      <w:r>
        <w:tab/>
        <w:t xml:space="preserve">секторами </w:t>
      </w:r>
      <w:r>
        <w:tab/>
        <w:t xml:space="preserve">глобального </w:t>
      </w:r>
      <w:r>
        <w:tab/>
        <w:t xml:space="preserve">финансового </w:t>
      </w:r>
      <w:r>
        <w:tab/>
        <w:t xml:space="preserve">рынка </w:t>
      </w:r>
      <w:r>
        <w:tab/>
        <w:t xml:space="preserve">являются: </w:t>
      </w:r>
    </w:p>
    <w:p w:rsidR="002C0F56" w:rsidRDefault="00E67C6E">
      <w:pPr>
        <w:ind w:left="994" w:right="302" w:firstLine="0"/>
      </w:pPr>
      <w:r>
        <w:t>валютный, кредитный, фондовый,  инвестиционный  и  страховой.  Однако быстрое развитие финансовых инноваций и как следствие создание различных производных  финансовых  инструментов (деривативы) приводят к размыванию границ и все большему взаимопроникновен</w:t>
      </w:r>
      <w:r>
        <w:t xml:space="preserve">ию и формированию единого глобального финансового рынка. </w:t>
      </w:r>
    </w:p>
    <w:p w:rsidR="002C0F56" w:rsidRDefault="00E67C6E">
      <w:pPr>
        <w:spacing w:after="0"/>
        <w:ind w:left="994" w:right="302"/>
      </w:pPr>
      <w:r>
        <w:t xml:space="preserve">Происходящие  качественные  изменения  в мировой  экономике,  вызванные  глобализационными процессами, носят глубинный и рисковый  характер.  Рост  деривативных  операций и краткосрочного капитала, </w:t>
      </w:r>
      <w:r>
        <w:t>постоянно переливающихся из одного сектора в другой, приводит к значительному нарастанию нестабильности и системного риска. Так, развитие капитала в его фиктивной форме способствует  формированию  ценовых  пузырей и  высокой  концентрации  кредитного  риск</w:t>
      </w:r>
      <w:r>
        <w:t>а. Внезапное  закрытие  спекулятивных  позиций привело к непредвиденным и аномально большим потребностям в ликвидности участников мирового финансового рынка. Крупные размеры и большая значимость финансовой неустойчивости хотя бы одного из них способны вызв</w:t>
      </w:r>
      <w:r>
        <w:t xml:space="preserve">ать нестабильность сначала мирового рынка деривативов, а затем перекинуться и на все остальные сегменты, т. е. риск имеет динамическую природу. </w:t>
      </w:r>
    </w:p>
    <w:p w:rsidR="002C0F56" w:rsidRDefault="00E67C6E">
      <w:pPr>
        <w:spacing w:after="1"/>
        <w:ind w:left="994" w:right="302"/>
      </w:pPr>
      <w:r>
        <w:t xml:space="preserve">Таким образом, возникающее экономическое противоречие  между  стремлением  участников рынка к стабильности и нестабильной природой самих рыночных процессов вызывает объективную необходимость его регулирования.  </w:t>
      </w:r>
    </w:p>
    <w:p w:rsidR="002C0F56" w:rsidRDefault="00E67C6E">
      <w:pPr>
        <w:spacing w:after="0"/>
        <w:ind w:left="994" w:right="302"/>
      </w:pPr>
      <w:r>
        <w:t>Существуют различные подходы к регулированию</w:t>
      </w:r>
      <w:r>
        <w:t xml:space="preserve"> мирового финансового рынка, и определено, что он нуждается в создании механизма,  представляющего  собой,  так  называемый мейнстрим регулирующей политики, или синтез  внешнего  межгосударственного  регулирования,  внутреннего  рыночного  регулирования и </w:t>
      </w:r>
      <w:r>
        <w:t xml:space="preserve">саморегулирования всех его структурных составляющих[2].  </w:t>
      </w:r>
    </w:p>
    <w:p w:rsidR="002C0F56" w:rsidRDefault="00E67C6E">
      <w:pPr>
        <w:ind w:left="994" w:right="302"/>
      </w:pPr>
      <w:r>
        <w:t xml:space="preserve">Современная сложноструктурированная экономическая  среда,  многофункциональность  и неравномерность развития финансового рынка делают особенно актуальным изучение последних тенденций его развития и </w:t>
      </w:r>
      <w:r>
        <w:t xml:space="preserve">анализ их влияния с целью более четкого понимания динамики той среды, в которой осуществляется международный финансовый менеджмент.  Выделим  основные  тенденции  мирового финансового рынка:  </w:t>
      </w:r>
    </w:p>
    <w:p w:rsidR="002C0F56" w:rsidRDefault="00E67C6E">
      <w:pPr>
        <w:numPr>
          <w:ilvl w:val="0"/>
          <w:numId w:val="205"/>
        </w:numPr>
        <w:ind w:right="302"/>
      </w:pPr>
      <w:r>
        <w:t xml:space="preserve">глобализация,  определяет  его  системное значение для мировой </w:t>
      </w:r>
      <w:r>
        <w:t xml:space="preserve">экономики в целом;  </w:t>
      </w:r>
    </w:p>
    <w:p w:rsidR="002C0F56" w:rsidRDefault="00E67C6E">
      <w:pPr>
        <w:numPr>
          <w:ilvl w:val="0"/>
          <w:numId w:val="205"/>
        </w:numPr>
        <w:ind w:right="302"/>
      </w:pPr>
      <w:r>
        <w:t xml:space="preserve">интеграция, сопровождается увеличением мобильности трансграничных финансовых потоков;  </w:t>
      </w:r>
    </w:p>
    <w:p w:rsidR="002C0F56" w:rsidRDefault="00E67C6E">
      <w:pPr>
        <w:numPr>
          <w:ilvl w:val="0"/>
          <w:numId w:val="205"/>
        </w:numPr>
        <w:ind w:right="302"/>
      </w:pPr>
      <w:r>
        <w:t xml:space="preserve">развитие финансовых инноваций, способствует  расширению  вариантов  финансовых рисков;  </w:t>
      </w:r>
    </w:p>
    <w:p w:rsidR="002C0F56" w:rsidRDefault="00E67C6E">
      <w:pPr>
        <w:numPr>
          <w:ilvl w:val="0"/>
          <w:numId w:val="205"/>
        </w:numPr>
        <w:ind w:right="302"/>
      </w:pPr>
      <w:r>
        <w:lastRenderedPageBreak/>
        <w:t>усиление процессов глобализации (слияний и поглощений), ве</w:t>
      </w:r>
      <w:r>
        <w:t xml:space="preserve">дет к качественному изменению участников рынка и его реорганизации;  </w:t>
      </w:r>
    </w:p>
    <w:p w:rsidR="002C0F56" w:rsidRDefault="00E67C6E">
      <w:pPr>
        <w:numPr>
          <w:ilvl w:val="0"/>
          <w:numId w:val="205"/>
        </w:numPr>
        <w:ind w:right="302"/>
      </w:pPr>
      <w:r>
        <w:t xml:space="preserve">отсутствие эффективной системы нормативного регулирования, влечет за собой образование глобальных структурных дисбалансов и нарастание системного риска;  </w:t>
      </w:r>
    </w:p>
    <w:p w:rsidR="002C0F56" w:rsidRDefault="00E67C6E">
      <w:pPr>
        <w:numPr>
          <w:ilvl w:val="0"/>
          <w:numId w:val="205"/>
        </w:numPr>
        <w:spacing w:after="0"/>
        <w:ind w:right="302"/>
      </w:pPr>
      <w:r>
        <w:t xml:space="preserve">развертывание кризиса мирового </w:t>
      </w:r>
      <w:r>
        <w:t>финансового  рынка,  спровоцировало  обвал мировых  фондовых  индексов,  банкротство крупнейших финансовых институтов и транс-национальных  компаний(Lehman Brothers, Morgan Stanley (американские инвестиционные банки), Fannie May (американское  ипотечное аг</w:t>
      </w:r>
      <w:r>
        <w:t xml:space="preserve">ентство), AIG (международная  страховая компания), Chrysler, General Motors (американские  автомобильные  компании) и  др.)  и  обусловило замедление темпов роста мировой экономики  и  нарушение  устойчивости  мировой финансовой системы. </w:t>
      </w:r>
    </w:p>
    <w:p w:rsidR="002C0F56" w:rsidRDefault="00E67C6E">
      <w:pPr>
        <w:spacing w:after="0"/>
        <w:ind w:left="994" w:right="302"/>
      </w:pPr>
      <w:r>
        <w:t>Динамика состояния мирового финансового рынка сегодня не только отражает изменения тенденций, складывающихся в реальном секторе,  а  оказывает  на  последний  определяющее влияние. Внешние условия функционирования реального сектора формируют границы междун</w:t>
      </w:r>
      <w:r>
        <w:t xml:space="preserve">ародного финансового менеджмента и воздействуют  на  конкурентоспособность  компаний, которая  становится  залогом  их  выживания  и поступательного развития в период нестабильности и кризиса.  </w:t>
      </w:r>
    </w:p>
    <w:p w:rsidR="002C0F56" w:rsidRDefault="00E67C6E">
      <w:pPr>
        <w:ind w:left="994" w:right="302"/>
      </w:pPr>
      <w:r>
        <w:t>Систематизируя причины низкой конкурентоспособности  реальног</w:t>
      </w:r>
      <w:r>
        <w:t>о  сектора  белорусской экономики,  выделим  основные  негативные факторы:  низкий  уровень  внедрения  инноваций, неэффективное использование возможностей мирового финансового рынка для привлечения  финансовых  ресурсов,  недостаток  квалифицированных  сп</w:t>
      </w:r>
      <w:r>
        <w:t xml:space="preserve">ециалистов.  Конкурентоспособность  определяет  потенциальные возможности  и  эффективность  развития  международного финансового менеджмента.  </w:t>
      </w:r>
    </w:p>
    <w:p w:rsidR="002C0F56" w:rsidRDefault="00E67C6E">
      <w:pPr>
        <w:spacing w:after="0"/>
        <w:ind w:left="994" w:right="302"/>
      </w:pPr>
      <w:r>
        <w:t>По результатам анализа причин мирового финансового кризиса можно сделать ряд предложений по направлениям реформ</w:t>
      </w:r>
      <w:r>
        <w:t xml:space="preserve">ирования глобального финансового рынка как внешней  среды  международного  финансового менеджмента: пересмотр системы финансового регулирования  и  контроля,  принятие  эффективных мер макроэкономической политики на трансграничном уровне. </w:t>
      </w:r>
    </w:p>
    <w:p w:rsidR="002C0F56" w:rsidRDefault="00E67C6E">
      <w:pPr>
        <w:spacing w:after="2"/>
        <w:ind w:left="994" w:right="302"/>
      </w:pPr>
      <w:r>
        <w:t>В условиях  криз</w:t>
      </w:r>
      <w:r>
        <w:t xml:space="preserve">иса  глобального финансового  рынка  основой  международного финансового менеджмента должны стать централизация  управления  финансовыми  потоками  и формирование системы финансового контроля.  </w:t>
      </w:r>
    </w:p>
    <w:p w:rsidR="002C0F56" w:rsidRDefault="00E67C6E">
      <w:pPr>
        <w:spacing w:after="0"/>
        <w:ind w:left="994" w:right="302"/>
      </w:pPr>
      <w:r>
        <w:t>Централизация управления финансами  дает возможность обеспечи</w:t>
      </w:r>
      <w:r>
        <w:t xml:space="preserve">ть оперативное управление ликвидностью, принятие решений в соответствии с финансовой стратегией, повышением степени управляемости и контроля, </w:t>
      </w:r>
      <w:r>
        <w:lastRenderedPageBreak/>
        <w:t>снижением кредитного и валютного риска вплоть до масштабов отрасли, внедрение неттинга (взаиморасчет) и трансфертн</w:t>
      </w:r>
      <w:r>
        <w:t xml:space="preserve">ого ценообразования.  </w:t>
      </w:r>
    </w:p>
    <w:p w:rsidR="002C0F56" w:rsidRDefault="00E67C6E">
      <w:pPr>
        <w:spacing w:after="0"/>
        <w:ind w:left="994" w:right="302"/>
      </w:pPr>
      <w:r>
        <w:t>Организация  централизованного  управления финансами  предполагает выбор одного из следующих  подходов.  Первый  заключается в самостоятельном обеспечении всех процедур на основе автоматизации (совместные сервисные центры, внутрифирм</w:t>
      </w:r>
      <w:r>
        <w:t xml:space="preserve">енные банки, платежные  центры),  позволяющих  реализовать  данный подход[3]. </w:t>
      </w:r>
    </w:p>
    <w:p w:rsidR="002C0F56" w:rsidRDefault="00E67C6E">
      <w:pPr>
        <w:spacing w:after="2"/>
        <w:ind w:left="994" w:right="302"/>
      </w:pPr>
      <w:r>
        <w:t xml:space="preserve">Второй подход заключается в привлечении сторонних поставщиков услуг для организации финансовых  потоков (аутсорсинг – внешнее управление). На основе накопленного мирового опыта </w:t>
      </w:r>
      <w:r>
        <w:t xml:space="preserve"> ведущих  государств  наиболее  распространенной ошибкой политики аутсорсинга является передача сторонним организациям проблемных процессов. Более объективной является передача текущих, хорошо известных процессов,  которые  не  являются  стратегически знач</w:t>
      </w:r>
      <w:r>
        <w:t xml:space="preserve">имыми  для  ее  деятельности.  </w:t>
      </w:r>
    </w:p>
    <w:p w:rsidR="002C0F56" w:rsidRDefault="00E67C6E">
      <w:pPr>
        <w:ind w:left="994" w:right="302"/>
      </w:pPr>
      <w:r>
        <w:t>Формирование  системы  финансового  контроля  представляет  собой  действенный  механизм  повышения  эффективности  управления финансами организации и обеспечения финансовой безопасности. Система финансового контроля предусм</w:t>
      </w:r>
      <w:r>
        <w:t xml:space="preserve">атривает[2]:  </w:t>
      </w:r>
    </w:p>
    <w:p w:rsidR="002C0F56" w:rsidRDefault="00E67C6E">
      <w:pPr>
        <w:numPr>
          <w:ilvl w:val="0"/>
          <w:numId w:val="206"/>
        </w:numPr>
        <w:ind w:right="302"/>
      </w:pPr>
      <w:r>
        <w:t xml:space="preserve">установление  контрольных  показателей эффективности,  измерение  их  фактического уровня;  </w:t>
      </w:r>
    </w:p>
    <w:p w:rsidR="002C0F56" w:rsidRDefault="00E67C6E">
      <w:pPr>
        <w:numPr>
          <w:ilvl w:val="0"/>
          <w:numId w:val="206"/>
        </w:numPr>
        <w:ind w:right="302"/>
      </w:pPr>
      <w:r>
        <w:t xml:space="preserve">сопоставление  результатов  с  целевыми установками;  </w:t>
      </w:r>
    </w:p>
    <w:p w:rsidR="002C0F56" w:rsidRDefault="00E67C6E">
      <w:pPr>
        <w:numPr>
          <w:ilvl w:val="0"/>
          <w:numId w:val="206"/>
        </w:numPr>
        <w:spacing w:after="11" w:line="270" w:lineRule="auto"/>
        <w:ind w:right="302"/>
      </w:pPr>
      <w:r>
        <w:t xml:space="preserve">разработка алгоритмов действий при наличии существенных отклонений. </w:t>
      </w:r>
    </w:p>
    <w:p w:rsidR="002C0F56" w:rsidRDefault="00E67C6E">
      <w:pPr>
        <w:ind w:left="994" w:right="302"/>
      </w:pPr>
      <w:r>
        <w:t>Финансовый  контроль  должен  осуществляться также и на стратегическом уровне. Особое внимание следует обратить на качество организации  и  функционирования  внутрифирменной бюджетной политики, так как она служит  эффективным  инструментом  контроля  и обе</w:t>
      </w:r>
      <w:r>
        <w:t xml:space="preserve">спечивает  внутрифирменные  взаимосвязи между  различными  подразделениями.  </w:t>
      </w:r>
    </w:p>
    <w:p w:rsidR="002C0F56" w:rsidRDefault="00E67C6E">
      <w:pPr>
        <w:ind w:left="994" w:right="302"/>
      </w:pPr>
      <w:r>
        <w:t xml:space="preserve"> Таким образом, система финансового контроля представляется своеобразным механизмом саморегулирования предприятия.  </w:t>
      </w:r>
    </w:p>
    <w:p w:rsidR="002C0F56" w:rsidRDefault="00E67C6E">
      <w:pPr>
        <w:ind w:left="994" w:right="302"/>
      </w:pPr>
      <w:r>
        <w:t>Колебания основных параметров глобального финансового рынка п</w:t>
      </w:r>
      <w:r>
        <w:t xml:space="preserve">редопределяют нарастание финансовых рисков деятельности и повышение роли эффективного управления ими. Риски можно классифицировать по степени воздействия на них управленческих методов:  </w:t>
      </w:r>
    </w:p>
    <w:p w:rsidR="002C0F56" w:rsidRDefault="00E67C6E">
      <w:pPr>
        <w:numPr>
          <w:ilvl w:val="0"/>
          <w:numId w:val="206"/>
        </w:numPr>
        <w:ind w:right="302"/>
      </w:pPr>
      <w:r>
        <w:t xml:space="preserve">контролируемые (кредитный,  ликвидности, валютный);  </w:t>
      </w:r>
    </w:p>
    <w:p w:rsidR="002C0F56" w:rsidRDefault="00E67C6E">
      <w:pPr>
        <w:numPr>
          <w:ilvl w:val="0"/>
          <w:numId w:val="206"/>
        </w:numPr>
        <w:ind w:right="302"/>
      </w:pPr>
      <w:r>
        <w:t>частично  контр</w:t>
      </w:r>
      <w:r>
        <w:t xml:space="preserve">олируемые (страновой, инвестиционный, стратегический);  </w:t>
      </w:r>
    </w:p>
    <w:p w:rsidR="002C0F56" w:rsidRDefault="00E67C6E">
      <w:pPr>
        <w:numPr>
          <w:ilvl w:val="0"/>
          <w:numId w:val="206"/>
        </w:numPr>
        <w:spacing w:after="12"/>
        <w:ind w:right="302"/>
      </w:pPr>
      <w:r>
        <w:t xml:space="preserve">неконтролируемые (системный).  </w:t>
      </w:r>
    </w:p>
    <w:p w:rsidR="002C0F56" w:rsidRDefault="00E67C6E">
      <w:pPr>
        <w:ind w:left="994" w:right="302"/>
      </w:pPr>
      <w:r>
        <w:t xml:space="preserve">Подобная  классификация  позволит  рационально  распределять  ресурсы  для  управления рисками. </w:t>
      </w:r>
    </w:p>
    <w:p w:rsidR="002C0F56" w:rsidRDefault="00E67C6E">
      <w:pPr>
        <w:ind w:left="994" w:right="302"/>
      </w:pPr>
      <w:r>
        <w:lastRenderedPageBreak/>
        <w:t xml:space="preserve">Для  минимизации  финансовых  рисков  в кризисных условиях необходимо </w:t>
      </w:r>
      <w:r>
        <w:t>использовать комплексный подход, который реализуется че-рез создание стратегии интегрированного риск-менеджмента.  Он  является  неотъемлемой  частью  международного  финансового  менеджмента и направлен на эффективное управление всей совокупностью финансо</w:t>
      </w:r>
      <w:r>
        <w:t xml:space="preserve">вых рисков, про являющихся в процессе деятельности организации. К основным принципам его реализации относятся  системность,  своевременность  и обеспеченность.  </w:t>
      </w:r>
    </w:p>
    <w:p w:rsidR="002C0F56" w:rsidRDefault="00E67C6E">
      <w:pPr>
        <w:ind w:left="994" w:right="302"/>
      </w:pPr>
      <w:r>
        <w:t>Процесс  интегрированного  риск-менеджмента  должен  носить  циклический  характер. При этом е</w:t>
      </w:r>
      <w:r>
        <w:t xml:space="preserve">го основные параметры управления необходимо накладывать на цикличность развития финансового рынка, для чего целесообразно  пересматривать  стимулы  к  принятию рисков на различных стадиях циклов. </w:t>
      </w:r>
    </w:p>
    <w:p w:rsidR="002C0F56" w:rsidRDefault="00E67C6E">
      <w:pPr>
        <w:spacing w:after="2"/>
        <w:ind w:left="994" w:right="302"/>
      </w:pPr>
      <w:r>
        <w:t>При этом особое внимание следует уделить управлению ценовым</w:t>
      </w:r>
      <w:r>
        <w:t xml:space="preserve">и рисками, так как динамика  мировых  цен  оказывает  определяющее влияние  на  состояние  ведущих компаний. Основные методы управления ценовыми рисками делят на две группы: традиционные и рыночные[3].  </w:t>
      </w:r>
    </w:p>
    <w:p w:rsidR="002C0F56" w:rsidRDefault="00E67C6E">
      <w:pPr>
        <w:spacing w:after="2"/>
        <w:ind w:left="994" w:right="302"/>
      </w:pPr>
      <w:r>
        <w:t>К  традиционным  относятся:  создание  товарных резе</w:t>
      </w:r>
      <w:r>
        <w:t xml:space="preserve">рвов и денежных фондов, заключение долгосрочных контрактов с поставщиками и  потребителями,  диверсификация  деятельности, а также получение субсидий от правительства в случае неблагоприятного движения цен.  </w:t>
      </w:r>
    </w:p>
    <w:p w:rsidR="002C0F56" w:rsidRDefault="00E67C6E">
      <w:pPr>
        <w:ind w:left="994" w:right="302"/>
      </w:pPr>
      <w:r>
        <w:t>К  рыночным  относятся:  использование  и внедр</w:t>
      </w:r>
      <w:r>
        <w:t xml:space="preserve">ение форвардных, фьючерсных и опционных контрактов, сырьевых и базисных свопов,  разнообразие сырьевых кредитов и облигаций (так  называемое  структурированное  финансирование).  </w:t>
      </w:r>
    </w:p>
    <w:p w:rsidR="002C0F56" w:rsidRDefault="00E67C6E">
      <w:pPr>
        <w:spacing w:after="0"/>
        <w:ind w:left="994" w:right="302"/>
      </w:pPr>
      <w:r>
        <w:t xml:space="preserve">Анализ  эмпирического  материала  по  антикризисному  управлению  финансами </w:t>
      </w:r>
      <w:r>
        <w:t xml:space="preserve"> позволил сделать вывод, что в действительности  кризисная  ситуация  часто  воспринимается как финансовая несостоятельность отдельной  компании,  а  под  мерами  финансового антикризисного управления понимаются только вывод компании из кризисного состояни</w:t>
      </w:r>
      <w:r>
        <w:t xml:space="preserve">я, внешняя санация либо ликвидационные мероприятия.  </w:t>
      </w:r>
    </w:p>
    <w:p w:rsidR="002C0F56" w:rsidRDefault="00E67C6E">
      <w:pPr>
        <w:ind w:left="994" w:right="302"/>
      </w:pPr>
      <w:r>
        <w:t>Системный  подход  к  антикризисному управлению финансами должен включать в себя совокупность мер, позволяющих предупреждать  и  нейтрализовать  влияние  наиболее опасных факторов, приводящих к кризисно</w:t>
      </w:r>
      <w:r>
        <w:t xml:space="preserve">му состоянию,  а  также  использовать  позитивные аспекты данного процесса. Только в таком понимании  финансовый  менеджмент  получает необходимую комплексность.  </w:t>
      </w:r>
    </w:p>
    <w:p w:rsidR="002C0F56" w:rsidRDefault="00E67C6E">
      <w:pPr>
        <w:spacing w:after="0"/>
        <w:ind w:left="994" w:right="302"/>
      </w:pPr>
      <w:r>
        <w:t xml:space="preserve">Политика  антикризисного  управления  финансами – это  неотъемлемая  составная  часть общей </w:t>
      </w:r>
      <w:r>
        <w:t xml:space="preserve">финансовой стратегии предприятия. Система  антикризисного  управления  финансами  упрощает  задачу  принятия  решений финансового  менеджмента  и  позволяет  адекватно реагировать на кризисные </w:t>
      </w:r>
      <w:r>
        <w:lastRenderedPageBreak/>
        <w:t>ситуации. Все предлагаемые  мероприятия  взаимосвязаны  и могут</w:t>
      </w:r>
      <w:r>
        <w:t xml:space="preserve"> быть использованы для достижения различных целей.  </w:t>
      </w:r>
    </w:p>
    <w:p w:rsidR="002C0F56" w:rsidRDefault="00E67C6E">
      <w:pPr>
        <w:spacing w:after="0"/>
        <w:ind w:left="994" w:right="302"/>
      </w:pPr>
      <w:r>
        <w:t>Реализация  системы  международного  финансового  менеджмента  позволит  предприятиям преодолеть современный кризис и  достичь  финансового  равновесия  в  долгосрочном  периоде.  Процесс  разработки  до</w:t>
      </w:r>
      <w:r>
        <w:t xml:space="preserve">лгосрочной  финансовой  политики  предприятия представляет собой формирование совокупности  целенаправленных  управленческих  решений,  обеспечивающих  подготовку,  оценку  и реализацию  программы  стратегического  финансового развития предприятия.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spacing w:after="12"/>
        <w:ind w:left="994" w:right="302"/>
      </w:pPr>
      <w:r>
        <w:t xml:space="preserve">1. Большой экономический словарь/ Под. общ. ред. А. Н. Азрилияна. – М.: Фонд «Правовая культура». – 2004. – С. 156–157. 2. Витин, А. П. Мобилизация финансовых ресурсов для инвестиций/ А. П. Витин// Вопросы экономики. – 2009. – №4. – С. </w:t>
      </w:r>
      <w:r>
        <w:t xml:space="preserve">12–16. </w:t>
      </w:r>
    </w:p>
    <w:p w:rsidR="002C0F56" w:rsidRDefault="00E67C6E">
      <w:pPr>
        <w:ind w:left="994" w:right="302"/>
      </w:pPr>
      <w:r>
        <w:t xml:space="preserve">3. Шахназаров. Инвестиции: ситуация и перспективы/ Шахназаров// Экономист. – 2010. – №1. – С. 29–30. </w:t>
      </w:r>
    </w:p>
    <w:p w:rsidR="002C0F56" w:rsidRDefault="00E67C6E">
      <w:pPr>
        <w:spacing w:after="0" w:line="259" w:lineRule="auto"/>
        <w:ind w:left="1558" w:firstLine="0"/>
        <w:jc w:val="left"/>
      </w:pPr>
      <w:r>
        <w:t xml:space="preserve"> </w:t>
      </w:r>
    </w:p>
    <w:p w:rsidR="002C0F56" w:rsidRDefault="00E67C6E">
      <w:pPr>
        <w:spacing w:after="30" w:line="259" w:lineRule="auto"/>
        <w:ind w:left="1558" w:firstLine="0"/>
        <w:jc w:val="left"/>
      </w:pPr>
      <w:r>
        <w:t xml:space="preserve"> </w:t>
      </w:r>
    </w:p>
    <w:p w:rsidR="002C0F56" w:rsidRDefault="00E67C6E">
      <w:pPr>
        <w:pStyle w:val="1"/>
        <w:spacing w:after="25" w:line="259" w:lineRule="auto"/>
        <w:ind w:right="307"/>
        <w:jc w:val="right"/>
      </w:pPr>
      <w:r>
        <w:t xml:space="preserve">Поцепня И.Н. </w:t>
      </w:r>
      <w:r>
        <w:rPr>
          <w:b w:val="0"/>
        </w:rPr>
        <w:t xml:space="preserve">Научный руководитель: Лягуская Н.В. </w:t>
      </w:r>
    </w:p>
    <w:p w:rsidR="002C0F56" w:rsidRDefault="00E67C6E">
      <w:pPr>
        <w:spacing w:after="0" w:line="267" w:lineRule="auto"/>
        <w:ind w:left="905" w:right="310" w:hanging="10"/>
        <w:jc w:val="right"/>
      </w:pPr>
      <w:r>
        <w:rPr>
          <w:i/>
        </w:rPr>
        <w:t xml:space="preserve">Полесский государственный университет </w:t>
      </w:r>
    </w:p>
    <w:p w:rsidR="002C0F56" w:rsidRDefault="00E67C6E">
      <w:pPr>
        <w:spacing w:after="0" w:line="259" w:lineRule="auto"/>
        <w:ind w:left="1558" w:firstLine="0"/>
        <w:jc w:val="left"/>
      </w:pPr>
      <w:r>
        <w:rPr>
          <w:b/>
        </w:rPr>
        <w:t xml:space="preserve"> </w:t>
      </w:r>
    </w:p>
    <w:p w:rsidR="002C0F56" w:rsidRDefault="00E67C6E">
      <w:pPr>
        <w:pStyle w:val="1"/>
        <w:ind w:left="700" w:right="3"/>
      </w:pPr>
      <w:r>
        <w:t>ПРОБЛЕМА ИМПОРТОЗАМЕЩЕНИЯ В ЭКОНОМИКЕ РЕСПУБЛИКИ БЕ</w:t>
      </w:r>
      <w:r>
        <w:t xml:space="preserve">ЛАРУСЬ </w:t>
      </w:r>
    </w:p>
    <w:p w:rsidR="002C0F56" w:rsidRDefault="00E67C6E">
      <w:pPr>
        <w:spacing w:after="0" w:line="259" w:lineRule="auto"/>
        <w:ind w:left="1558" w:firstLine="0"/>
        <w:jc w:val="left"/>
      </w:pPr>
      <w:r>
        <w:t xml:space="preserve"> </w:t>
      </w:r>
    </w:p>
    <w:p w:rsidR="002C0F56" w:rsidRDefault="00E67C6E">
      <w:pPr>
        <w:spacing w:after="2"/>
        <w:ind w:left="994" w:right="302"/>
      </w:pPr>
      <w:r>
        <w:t>Высокая импортоемкость белорусской промышленности давит на торговый баланс и является одной из причин того, что баланс этот у нас был много лет отрицательным. По мнению экспертов, импортозамещение может быть одним из решений существующей проблемы</w:t>
      </w:r>
      <w:r>
        <w:t xml:space="preserve">.  </w:t>
      </w:r>
    </w:p>
    <w:p w:rsidR="002C0F56" w:rsidRDefault="00E67C6E">
      <w:pPr>
        <w:spacing w:after="0"/>
        <w:ind w:left="994" w:right="302"/>
      </w:pPr>
      <w:r>
        <w:t xml:space="preserve">Внешняя торговля в 2016 году оказалась весьма сбалансированной: при внешнеторговом обороте в 60 млрд $ минусовое сальдо составило лишь 50 млн $. Хотя к предыдущему году произошло некоторое ухудшение: в 2015 был пусть и небольшой, но плюс. И все же, по </w:t>
      </w:r>
      <w:r>
        <w:t>сравнению с большинством предшествующих лет 2016 год, можно отметить как год хорошего для Беларуси внешнеторгового результата. И достигнут, он благодаря большому плюсовому сальдо внешних услуг, компенсировавшему такое же большое минусовое товарное сальдо.</w:t>
      </w:r>
      <w:r>
        <w:rPr>
          <w:b/>
        </w:rPr>
        <w:t xml:space="preserve"> </w:t>
      </w:r>
    </w:p>
    <w:p w:rsidR="002C0F56" w:rsidRDefault="00E67C6E">
      <w:pPr>
        <w:spacing w:after="14"/>
        <w:ind w:left="994" w:right="302"/>
      </w:pPr>
      <w:r>
        <w:t>Внешнеторговый оборот товарами и услугами (в ценах FOB) в 2016 составил</w:t>
      </w:r>
      <w:r>
        <w:rPr>
          <w:b/>
        </w:rPr>
        <w:t xml:space="preserve"> 59,566 млрд $</w:t>
      </w:r>
      <w:r>
        <w:t xml:space="preserve">, снизившись к прошлому году на 9,0%. Год рекордного оборота – </w:t>
      </w:r>
      <w:r>
        <w:t xml:space="preserve">2012, когда действовали особые схемы экспорта нефтепродуктов из </w:t>
      </w:r>
      <w:r>
        <w:lastRenderedPageBreak/>
        <w:t xml:space="preserve">Беларуси, благодаря чему шел их значительный реэкспорт из России в Европу. А кроме того, тогда были высокие долларовые цены на основные экспортные и импортные товары. </w:t>
      </w:r>
    </w:p>
    <w:p w:rsidR="002C0F56" w:rsidRDefault="00E67C6E">
      <w:pPr>
        <w:spacing w:after="0" w:line="259" w:lineRule="auto"/>
        <w:ind w:left="1558" w:firstLine="0"/>
        <w:jc w:val="left"/>
      </w:pPr>
      <w:r>
        <w:t xml:space="preserve"> </w:t>
      </w:r>
    </w:p>
    <w:p w:rsidR="002C0F56" w:rsidRDefault="00E67C6E">
      <w:pPr>
        <w:spacing w:after="58" w:line="259" w:lineRule="auto"/>
        <w:ind w:left="1558" w:right="-33" w:firstLine="0"/>
        <w:jc w:val="left"/>
      </w:pPr>
      <w:r>
        <w:rPr>
          <w:noProof/>
        </w:rPr>
        <w:drawing>
          <wp:inline distT="0" distB="0" distL="0" distR="0">
            <wp:extent cx="5979795" cy="3627120"/>
            <wp:effectExtent l="0" t="0" r="0" b="0"/>
            <wp:docPr id="68744" name="Picture 68744"/>
            <wp:cNvGraphicFramePr/>
            <a:graphic xmlns:a="http://schemas.openxmlformats.org/drawingml/2006/main">
              <a:graphicData uri="http://schemas.openxmlformats.org/drawingml/2006/picture">
                <pic:pic xmlns:pic="http://schemas.openxmlformats.org/drawingml/2006/picture">
                  <pic:nvPicPr>
                    <pic:cNvPr id="68744" name="Picture 68744"/>
                    <pic:cNvPicPr/>
                  </pic:nvPicPr>
                  <pic:blipFill>
                    <a:blip r:embed="rId1220"/>
                    <a:stretch>
                      <a:fillRect/>
                    </a:stretch>
                  </pic:blipFill>
                  <pic:spPr>
                    <a:xfrm>
                      <a:off x="0" y="0"/>
                      <a:ext cx="5979795" cy="3627120"/>
                    </a:xfrm>
                    <a:prstGeom prst="rect">
                      <a:avLst/>
                    </a:prstGeom>
                  </pic:spPr>
                </pic:pic>
              </a:graphicData>
            </a:graphic>
          </wp:inline>
        </w:drawing>
      </w:r>
    </w:p>
    <w:p w:rsidR="002C0F56" w:rsidRDefault="00E67C6E">
      <w:pPr>
        <w:pStyle w:val="4"/>
        <w:ind w:left="1181" w:right="485"/>
      </w:pPr>
      <w:r>
        <w:t xml:space="preserve">Рис.1. </w:t>
      </w:r>
      <w:r>
        <w:t xml:space="preserve">Внешнеторговый оборот за 2000-2016 гг., млрд $ </w:t>
      </w:r>
    </w:p>
    <w:p w:rsidR="002C0F56" w:rsidRDefault="00E67C6E">
      <w:pPr>
        <w:spacing w:after="24" w:line="259" w:lineRule="auto"/>
        <w:ind w:left="1558" w:firstLine="0"/>
        <w:jc w:val="left"/>
      </w:pPr>
      <w:r>
        <w:rPr>
          <w:b/>
        </w:rPr>
        <w:t xml:space="preserve"> </w:t>
      </w:r>
    </w:p>
    <w:p w:rsidR="002C0F56" w:rsidRDefault="00E67C6E">
      <w:pPr>
        <w:spacing w:after="7"/>
        <w:ind w:left="994" w:right="302"/>
      </w:pPr>
      <w:hyperlink r:id="rId1221">
        <w:r>
          <w:t>Экспорт</w:t>
        </w:r>
      </w:hyperlink>
      <w:hyperlink r:id="rId1222">
        <w:r>
          <w:t xml:space="preserve"> </w:t>
        </w:r>
      </w:hyperlink>
      <w:r>
        <w:t xml:space="preserve">товаров и услуг в 2016 в денежном выражении – </w:t>
      </w:r>
      <w:r>
        <w:rPr>
          <w:b/>
        </w:rPr>
        <w:t>29,758 млрд $,</w:t>
      </w:r>
      <w:r>
        <w:t xml:space="preserve"> что на 9,3% меньше, чем в 201</w:t>
      </w:r>
      <w:r>
        <w:t>5. Главная причина падения экспорта – ценовая: в 2016 году средние долларовые цены на экспортные товары и услуги были ниже, чем в предыдущие годы, особенно на нефтепродукты, занимающие значительную долю в общем объеме экспорта. Кроме того, снизился и сам о</w:t>
      </w:r>
      <w:r>
        <w:t xml:space="preserve">бъем экспорта нефтепродуктов из-за «нефтяных санкций» России, ограничившей поставки нефти в Беларусь: без этого ограничения объем экспорта в 2016 составил бы почти 31 млрд $. </w:t>
      </w:r>
    </w:p>
    <w:p w:rsidR="002C0F56" w:rsidRDefault="00E67C6E">
      <w:pPr>
        <w:spacing w:after="0" w:line="259" w:lineRule="auto"/>
        <w:ind w:left="1558" w:firstLine="0"/>
        <w:jc w:val="left"/>
      </w:pPr>
      <w:r>
        <w:rPr>
          <w:b/>
        </w:rPr>
        <w:t xml:space="preserve"> </w:t>
      </w:r>
    </w:p>
    <w:p w:rsidR="002C0F56" w:rsidRDefault="00E67C6E">
      <w:pPr>
        <w:spacing w:after="60" w:line="259" w:lineRule="auto"/>
        <w:ind w:left="1558" w:firstLine="0"/>
        <w:jc w:val="left"/>
      </w:pPr>
      <w:r>
        <w:rPr>
          <w:noProof/>
        </w:rPr>
        <w:lastRenderedPageBreak/>
        <w:drawing>
          <wp:inline distT="0" distB="0" distL="0" distR="0">
            <wp:extent cx="5943600" cy="4480560"/>
            <wp:effectExtent l="0" t="0" r="0" b="0"/>
            <wp:docPr id="68815" name="Picture 68815"/>
            <wp:cNvGraphicFramePr/>
            <a:graphic xmlns:a="http://schemas.openxmlformats.org/drawingml/2006/main">
              <a:graphicData uri="http://schemas.openxmlformats.org/drawingml/2006/picture">
                <pic:pic xmlns:pic="http://schemas.openxmlformats.org/drawingml/2006/picture">
                  <pic:nvPicPr>
                    <pic:cNvPr id="68815" name="Picture 68815"/>
                    <pic:cNvPicPr/>
                  </pic:nvPicPr>
                  <pic:blipFill>
                    <a:blip r:embed="rId1223"/>
                    <a:stretch>
                      <a:fillRect/>
                    </a:stretch>
                  </pic:blipFill>
                  <pic:spPr>
                    <a:xfrm>
                      <a:off x="0" y="0"/>
                      <a:ext cx="5943600" cy="4480560"/>
                    </a:xfrm>
                    <a:prstGeom prst="rect">
                      <a:avLst/>
                    </a:prstGeom>
                  </pic:spPr>
                </pic:pic>
              </a:graphicData>
            </a:graphic>
          </wp:inline>
        </w:drawing>
      </w:r>
    </w:p>
    <w:p w:rsidR="002C0F56" w:rsidRDefault="00E67C6E">
      <w:pPr>
        <w:pStyle w:val="4"/>
        <w:ind w:left="1181" w:right="486"/>
      </w:pPr>
      <w:r>
        <w:t xml:space="preserve">Рис. 2. Экспорт товаров и услуг за 2000-2016 гг., млрд $ </w:t>
      </w:r>
    </w:p>
    <w:p w:rsidR="002C0F56" w:rsidRDefault="00E67C6E">
      <w:pPr>
        <w:spacing w:after="25" w:line="259" w:lineRule="auto"/>
        <w:ind w:left="1558" w:firstLine="0"/>
        <w:jc w:val="left"/>
      </w:pPr>
      <w:r>
        <w:t xml:space="preserve"> </w:t>
      </w:r>
    </w:p>
    <w:p w:rsidR="002C0F56" w:rsidRDefault="00E67C6E">
      <w:pPr>
        <w:spacing w:after="4"/>
        <w:ind w:left="994" w:right="302"/>
      </w:pPr>
      <w:r>
        <w:t>Импорт товаров и</w:t>
      </w:r>
      <w:r>
        <w:t xml:space="preserve"> услуг в 2016 равен </w:t>
      </w:r>
      <w:r>
        <w:rPr>
          <w:b/>
        </w:rPr>
        <w:t>26,808 млрд $.</w:t>
      </w:r>
      <w:r>
        <w:t xml:space="preserve"> Импорт в денежном выражении – наименьший за 9 лет, немного выше 2007. Здесь тоже основной фактор снижения ценовой: упали цены на все импортируемые товары, особенно на нефть (в начале 2016 было зафиксировано многолетнее «д</w:t>
      </w:r>
      <w:r>
        <w:t>но» мировой стоимости нефти, а заметно подорожала она лишь в конце года), газ и металлы. Сократился и потребительский импорт из-за снижения реальных доходов населения и, очень сильно, денежных доходов в долларовом эквиваленте. Около 1,2 млрд $ было «сэконо</w:t>
      </w:r>
      <w:r>
        <w:t xml:space="preserve">млено» и на указанном выше сокращении Россией поставок нефти в Беларусь, без этого импорт 2016 был бы 31 млрд $. </w:t>
      </w:r>
    </w:p>
    <w:p w:rsidR="002C0F56" w:rsidRDefault="00E67C6E">
      <w:pPr>
        <w:ind w:left="994" w:right="302"/>
      </w:pPr>
      <w:r>
        <w:t>С падением цен на нефть, газ, металлы, калийные удобрения и прочие товары, занимающие главные позиции</w:t>
      </w:r>
      <w:hyperlink r:id="rId1224">
        <w:r>
          <w:t xml:space="preserve"> </w:t>
        </w:r>
      </w:hyperlink>
      <w:hyperlink r:id="rId1225">
        <w:r>
          <w:t>внешней торговли Беларуси,</w:t>
        </w:r>
      </w:hyperlink>
      <w:r>
        <w:t xml:space="preserve"> снизилась доля товарного участия и выросла роль внешних услуг. Доля товаров в совокупном экспорте в 2016 составила 77,2% – и э</w:t>
      </w:r>
      <w:r>
        <w:t xml:space="preserve">то стало наименьшим процентом за все время. То же и в импорте: товарная часть общего импорта </w:t>
      </w:r>
    </w:p>
    <w:p w:rsidR="002C0F56" w:rsidRDefault="00E67C6E">
      <w:pPr>
        <w:spacing w:after="12"/>
        <w:ind w:left="994" w:right="302" w:firstLine="0"/>
      </w:pPr>
      <w:r>
        <w:t xml:space="preserve">2016 – 85,8%, тогда как раньше превышала 90%. </w:t>
      </w:r>
    </w:p>
    <w:p w:rsidR="002C0F56" w:rsidRDefault="00E67C6E">
      <w:pPr>
        <w:spacing w:after="0" w:line="259" w:lineRule="auto"/>
        <w:ind w:left="1558" w:firstLine="0"/>
        <w:jc w:val="left"/>
      </w:pPr>
      <w:r>
        <w:t xml:space="preserve"> </w:t>
      </w:r>
    </w:p>
    <w:p w:rsidR="002C0F56" w:rsidRDefault="00E67C6E">
      <w:pPr>
        <w:spacing w:after="58" w:line="259" w:lineRule="auto"/>
        <w:ind w:left="1558" w:right="-7" w:firstLine="0"/>
        <w:jc w:val="left"/>
      </w:pPr>
      <w:r>
        <w:rPr>
          <w:noProof/>
        </w:rPr>
        <w:lastRenderedPageBreak/>
        <w:drawing>
          <wp:inline distT="0" distB="0" distL="0" distR="0">
            <wp:extent cx="5963285" cy="4578350"/>
            <wp:effectExtent l="0" t="0" r="0" b="0"/>
            <wp:docPr id="68913" name="Picture 68913"/>
            <wp:cNvGraphicFramePr/>
            <a:graphic xmlns:a="http://schemas.openxmlformats.org/drawingml/2006/main">
              <a:graphicData uri="http://schemas.openxmlformats.org/drawingml/2006/picture">
                <pic:pic xmlns:pic="http://schemas.openxmlformats.org/drawingml/2006/picture">
                  <pic:nvPicPr>
                    <pic:cNvPr id="68913" name="Picture 68913"/>
                    <pic:cNvPicPr/>
                  </pic:nvPicPr>
                  <pic:blipFill>
                    <a:blip r:embed="rId1226"/>
                    <a:stretch>
                      <a:fillRect/>
                    </a:stretch>
                  </pic:blipFill>
                  <pic:spPr>
                    <a:xfrm>
                      <a:off x="0" y="0"/>
                      <a:ext cx="5963285" cy="4578350"/>
                    </a:xfrm>
                    <a:prstGeom prst="rect">
                      <a:avLst/>
                    </a:prstGeom>
                  </pic:spPr>
                </pic:pic>
              </a:graphicData>
            </a:graphic>
          </wp:inline>
        </w:drawing>
      </w:r>
    </w:p>
    <w:p w:rsidR="002C0F56" w:rsidRDefault="00E67C6E">
      <w:pPr>
        <w:pStyle w:val="4"/>
        <w:ind w:left="1181" w:right="486"/>
      </w:pPr>
      <w:r>
        <w:t xml:space="preserve">Рис. 3. Импорт товаров и услуг за 2000-2016 гг., млрд $ </w:t>
      </w:r>
    </w:p>
    <w:p w:rsidR="002C0F56" w:rsidRDefault="00E67C6E">
      <w:pPr>
        <w:spacing w:after="25" w:line="259" w:lineRule="auto"/>
        <w:ind w:left="1558" w:firstLine="0"/>
        <w:jc w:val="left"/>
      </w:pPr>
      <w:r>
        <w:rPr>
          <w:b/>
        </w:rPr>
        <w:t xml:space="preserve"> </w:t>
      </w:r>
    </w:p>
    <w:p w:rsidR="002C0F56" w:rsidRDefault="00E67C6E">
      <w:pPr>
        <w:ind w:left="994" w:right="302"/>
      </w:pPr>
      <w:hyperlink r:id="rId1227">
        <w:r>
          <w:t>Сальдо</w:t>
        </w:r>
      </w:hyperlink>
      <w:hyperlink r:id="rId1228">
        <w:r>
          <w:t xml:space="preserve"> </w:t>
        </w:r>
      </w:hyperlink>
      <w:r>
        <w:t xml:space="preserve">внешней торговли товарами и услугами в 2016 – отрицательное, но всего лишь </w:t>
      </w:r>
      <w:r>
        <w:rPr>
          <w:b/>
        </w:rPr>
        <w:t>50 млн $</w:t>
      </w:r>
      <w:r>
        <w:t xml:space="preserve">: внешнеэкономический результат года оказался как никогда сбалансированным. </w:t>
      </w:r>
    </w:p>
    <w:p w:rsidR="002C0F56" w:rsidRDefault="00E67C6E">
      <w:pPr>
        <w:ind w:left="994" w:right="302"/>
      </w:pPr>
      <w:r>
        <w:t>Однако если посмотреть на структуру в</w:t>
      </w:r>
      <w:r>
        <w:t xml:space="preserve">нешней торговли, то видно, что такому, неплохому для Беларуси, результату способствовало большое плюсовое сальдо внешних услуг при таком же большом минусовом товарном сальдо. Итог сальдо в секторе внешних услуг положительное и составило 2,543 млрд $, в то </w:t>
      </w:r>
      <w:r>
        <w:t xml:space="preserve">время как в секторе товаров сальдо отрицательное и равно 2,593 млрд $. Таким образом, сильно положительное сальдо услуг почти полностью компенсировало сильно отрицательное товарное сальдо. </w:t>
      </w:r>
    </w:p>
    <w:p w:rsidR="002C0F56" w:rsidRDefault="00E67C6E">
      <w:pPr>
        <w:ind w:left="994" w:right="302"/>
      </w:pPr>
      <w:r>
        <w:t>Тем не менее, сальдо 2016 оказалось хуже, чем было в прошлом году,</w:t>
      </w:r>
      <w:r>
        <w:t xml:space="preserve"> хотя и лучше, чем в 2013-14 годах. Рекордное плюсовое сальдо 2012 – результат указанной выше особенности экспорта, а точнее, реэкспорта большого объема нефтепродуктов. В сравнении же с периодом 2007-11 годов, когда отрицательное сальдо из-за огромного тов</w:t>
      </w:r>
      <w:r>
        <w:t xml:space="preserve">арного минуса составляло миллиарды долларов, результат внешней торговли товарами и услугами  2016 можно считать удачным. </w:t>
      </w:r>
    </w:p>
    <w:p w:rsidR="002C0F56" w:rsidRDefault="00E67C6E">
      <w:pPr>
        <w:spacing w:after="0" w:line="259" w:lineRule="auto"/>
        <w:ind w:left="1558" w:firstLine="0"/>
        <w:jc w:val="left"/>
      </w:pPr>
      <w:r>
        <w:t xml:space="preserve"> </w:t>
      </w:r>
    </w:p>
    <w:p w:rsidR="002C0F56" w:rsidRDefault="00E67C6E">
      <w:pPr>
        <w:spacing w:after="61" w:line="259" w:lineRule="auto"/>
        <w:ind w:left="1558" w:right="-24" w:firstLine="0"/>
        <w:jc w:val="left"/>
      </w:pPr>
      <w:r>
        <w:rPr>
          <w:noProof/>
        </w:rPr>
        <w:lastRenderedPageBreak/>
        <w:drawing>
          <wp:inline distT="0" distB="0" distL="0" distR="0">
            <wp:extent cx="5974080" cy="3569335"/>
            <wp:effectExtent l="0" t="0" r="0" b="0"/>
            <wp:docPr id="69011" name="Picture 69011"/>
            <wp:cNvGraphicFramePr/>
            <a:graphic xmlns:a="http://schemas.openxmlformats.org/drawingml/2006/main">
              <a:graphicData uri="http://schemas.openxmlformats.org/drawingml/2006/picture">
                <pic:pic xmlns:pic="http://schemas.openxmlformats.org/drawingml/2006/picture">
                  <pic:nvPicPr>
                    <pic:cNvPr id="69011" name="Picture 69011"/>
                    <pic:cNvPicPr/>
                  </pic:nvPicPr>
                  <pic:blipFill>
                    <a:blip r:embed="rId1229"/>
                    <a:stretch>
                      <a:fillRect/>
                    </a:stretch>
                  </pic:blipFill>
                  <pic:spPr>
                    <a:xfrm>
                      <a:off x="0" y="0"/>
                      <a:ext cx="5974080" cy="3569335"/>
                    </a:xfrm>
                    <a:prstGeom prst="rect">
                      <a:avLst/>
                    </a:prstGeom>
                  </pic:spPr>
                </pic:pic>
              </a:graphicData>
            </a:graphic>
          </wp:inline>
        </w:drawing>
      </w:r>
    </w:p>
    <w:p w:rsidR="002C0F56" w:rsidRDefault="00E67C6E">
      <w:pPr>
        <w:pStyle w:val="4"/>
        <w:ind w:left="1181" w:right="486"/>
      </w:pPr>
      <w:r>
        <w:t xml:space="preserve">Рис.4. Сальдо внешней торговли товарами и услугами за 2000-2016 гг., млрд $ </w:t>
      </w:r>
    </w:p>
    <w:p w:rsidR="002C0F56" w:rsidRDefault="00E67C6E">
      <w:pPr>
        <w:spacing w:after="25" w:line="259" w:lineRule="auto"/>
        <w:ind w:left="1558" w:firstLine="0"/>
        <w:jc w:val="left"/>
      </w:pPr>
      <w:r>
        <w:rPr>
          <w:b/>
        </w:rPr>
        <w:t xml:space="preserve"> </w:t>
      </w:r>
    </w:p>
    <w:p w:rsidR="002C0F56" w:rsidRDefault="00E67C6E">
      <w:pPr>
        <w:spacing w:after="10"/>
        <w:ind w:left="994" w:right="302"/>
      </w:pPr>
      <w:r>
        <w:t>А с учетом того, что общие внешнеторговые расходы в</w:t>
      </w:r>
      <w:r>
        <w:t xml:space="preserve"> 2011-14 годах были больше еще и за счет обязательств по переводу в бюджет России пошлины при экспорте нефтепродуктов (которые записывались не в экспортно-импортных, а в иных строках платежного баланса), тогда как сейчас пошлина поступает в бюджет Беларуси</w:t>
      </w:r>
      <w:r>
        <w:t>, результат 2016 хуже в последнем 10-летии только прошлогоднего результата, и то совсем незначительно (именно с прошлого года наша страна перестала уплачивать экспортную пошлину в бюджет России). То есть два года подряд внешняя торговля Беларуси оказываетс</w:t>
      </w:r>
      <w:r>
        <w:t xml:space="preserve">я полностью сбалансированной. </w:t>
      </w:r>
    </w:p>
    <w:p w:rsidR="002C0F56" w:rsidRDefault="00E67C6E">
      <w:pPr>
        <w:ind w:left="994" w:right="302"/>
      </w:pPr>
      <w:r>
        <w:t xml:space="preserve">В 2017 году и импорт, и экспорт будут расти в денежном выражении как минимум из-за ценового фактора: нефть сейчас стоит дороже, чем год назад. Но будут негативно влиять политические факторы: продолжение </w:t>
      </w:r>
      <w:r>
        <w:t xml:space="preserve">«нефтяных санкций», участившиеся в последнее время запреты на ввоз в Россию продовольственных товаров из Беларуси.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07"/>
        </w:numPr>
        <w:ind w:right="302"/>
      </w:pPr>
      <w:r>
        <w:t>Внешняя торговля / Национальный статистический коммитет Республики Беларусь [Электронный ресурс]. – Режим доступа:  ht</w:t>
      </w:r>
      <w:r>
        <w:t xml:space="preserve">tp://belstat.gov.by. –  Дата доступа: 02.04.2017. </w:t>
      </w:r>
    </w:p>
    <w:p w:rsidR="002C0F56" w:rsidRDefault="00E67C6E">
      <w:pPr>
        <w:numPr>
          <w:ilvl w:val="0"/>
          <w:numId w:val="207"/>
        </w:numPr>
        <w:ind w:right="302"/>
      </w:pPr>
      <w:r>
        <w:lastRenderedPageBreak/>
        <w:t xml:space="preserve">Внешняя торговля в 2016-м: минус по товарам компенсирован плюсом по услугам / MINFIN.BY [Электронный ресурс]. – Режим доступа:  https://myfin.by. –  Дата доступа: 02.04.2017. </w:t>
      </w:r>
    </w:p>
    <w:p w:rsidR="002C0F56" w:rsidRDefault="00E67C6E">
      <w:pPr>
        <w:numPr>
          <w:ilvl w:val="0"/>
          <w:numId w:val="207"/>
        </w:numPr>
        <w:ind w:right="302"/>
      </w:pPr>
      <w:r>
        <w:t>Информация о внешней торговле</w:t>
      </w:r>
      <w:r>
        <w:t xml:space="preserve"> товарами и услугами Республики Беларусь за январь-февраль 2017 г. / Национальный банк Республики Беларусь [Электронный ресурс]. – Режим доступа: http://www.nbrb.by. –  Дата доступа: </w:t>
      </w:r>
    </w:p>
    <w:p w:rsidR="002C0F56" w:rsidRDefault="00E67C6E">
      <w:pPr>
        <w:spacing w:after="102"/>
        <w:ind w:left="994" w:right="302" w:firstLine="0"/>
      </w:pPr>
      <w:r>
        <w:t xml:space="preserve">02.04.2017. </w:t>
      </w:r>
    </w:p>
    <w:p w:rsidR="002C0F56" w:rsidRDefault="00E67C6E">
      <w:pPr>
        <w:spacing w:after="72" w:line="259" w:lineRule="auto"/>
        <w:ind w:left="994" w:firstLine="0"/>
        <w:jc w:val="left"/>
      </w:pPr>
      <w:r>
        <w:rPr>
          <w:sz w:val="24"/>
        </w:rPr>
        <w:t xml:space="preserve"> </w:t>
      </w:r>
    </w:p>
    <w:p w:rsidR="002C0F56" w:rsidRDefault="00E67C6E">
      <w:pPr>
        <w:pStyle w:val="1"/>
        <w:spacing w:after="25" w:line="259" w:lineRule="auto"/>
        <w:ind w:right="308"/>
        <w:jc w:val="right"/>
      </w:pPr>
      <w:r>
        <w:t xml:space="preserve">Протасова М.А. </w:t>
      </w:r>
    </w:p>
    <w:p w:rsidR="002C0F56" w:rsidRDefault="00E67C6E">
      <w:pPr>
        <w:spacing w:after="0" w:line="267" w:lineRule="auto"/>
        <w:ind w:left="905" w:right="307" w:hanging="10"/>
        <w:jc w:val="right"/>
      </w:pPr>
      <w:r>
        <w:rPr>
          <w:i/>
        </w:rPr>
        <w:t xml:space="preserve">Белорусский государственный экономический университет </w:t>
      </w:r>
    </w:p>
    <w:p w:rsidR="002C0F56" w:rsidRDefault="00E67C6E">
      <w:pPr>
        <w:spacing w:after="33" w:line="259" w:lineRule="auto"/>
        <w:ind w:left="1558" w:firstLine="0"/>
        <w:jc w:val="left"/>
      </w:pPr>
      <w:r>
        <w:rPr>
          <w:i/>
        </w:rPr>
        <w:t xml:space="preserve"> </w:t>
      </w:r>
    </w:p>
    <w:p w:rsidR="002C0F56" w:rsidRDefault="00E67C6E">
      <w:pPr>
        <w:pStyle w:val="1"/>
        <w:ind w:left="700" w:right="2"/>
      </w:pPr>
      <w:r>
        <w:t>МИРОВОЙ ОПЫТ ИННОВАЦИОННОГО РАЗВИТИЯ</w:t>
      </w:r>
      <w:r>
        <w:rPr>
          <w:rFonts w:ascii="Arial" w:eastAsia="Arial" w:hAnsi="Arial" w:cs="Arial"/>
          <w:b w:val="0"/>
          <w:i/>
        </w:rPr>
        <w:t xml:space="preserve">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 xml:space="preserve">Важнейшие мировые тенденции все в большей степени приводят к осознанию неизбежности поиска новых возможностей повышения экономической и социальной эффективности, совершенствования производственных и технологических процессов. Основными стимуляторами роста </w:t>
      </w:r>
      <w:r>
        <w:t>мировой экономики выступают два фактора: глобализация и инновации. Глобализация, углубляя взаимозависимость и взаимовлияние различных сфер и процессов мировой экономики, в большей степени влияет на количественные изменения, инновации же существенно преобра</w:t>
      </w:r>
      <w:r>
        <w:t xml:space="preserve">зуют качественные характеристики экономического роста. </w:t>
      </w:r>
    </w:p>
    <w:p w:rsidR="002C0F56" w:rsidRDefault="00E67C6E">
      <w:pPr>
        <w:spacing w:after="0"/>
        <w:ind w:left="994" w:right="302"/>
      </w:pPr>
      <w:r>
        <w:t>Под воздействием этих взаимосвязанных факторов в конце ХХ в. человечество вступило в новую фазу своего развития – построение постиндустриального общества, где ведущая роль принадлежит информационным т</w:t>
      </w:r>
      <w:r>
        <w:t>ехнологиям и компьютеризованным системам, высоким инновационным технологиям  в производстве и инновационным системам в экономике, инновационной организации различных сфер человеческой деятельности. Устойчивое развитие в первую очередь стало достигаться пер</w:t>
      </w:r>
      <w:r>
        <w:t xml:space="preserve">еходом на инновационный путь развития,  при этом уменьшая внешнюю зависимость и повышая безопасность [1,с. 73].  </w:t>
      </w:r>
    </w:p>
    <w:p w:rsidR="002C0F56" w:rsidRDefault="00E67C6E">
      <w:pPr>
        <w:spacing w:after="0"/>
        <w:ind w:left="994" w:right="302"/>
      </w:pPr>
      <w:r>
        <w:t>Современный этап мирового развития показывает, что настоящее и будущее стран неотделимо от развития науки, от мощи их инновационного потенциал</w:t>
      </w:r>
      <w:r>
        <w:t>а, интенсивности его развития и использования в интересах всего общества. Все это предполагает создание инновационной экономики, основанной на знаниях. В государственной научно-инновационной политике главным является рациональное развитие и использование и</w:t>
      </w:r>
      <w:r>
        <w:t xml:space="preserve">нновационного потенциала страны, обеспечение национальной безопасности и сохранение государственного суверенитета, что может быть достигнуто в современных условиях лишь при развитой инновационной экономике. </w:t>
      </w:r>
    </w:p>
    <w:p w:rsidR="002C0F56" w:rsidRDefault="00E67C6E">
      <w:pPr>
        <w:ind w:left="994" w:right="302"/>
      </w:pPr>
      <w:r>
        <w:lastRenderedPageBreak/>
        <w:t xml:space="preserve">Инновационная экономика, основанная на знаниях, </w:t>
      </w:r>
      <w:r>
        <w:t>позволяет эффективно использовать материально-энергетические и информационные ресурсы, развивать интеллектуальный потенциал и духовные ценности человека, что, в конечном итоге, ведет к увеличению совокупного общественного продукта и улучшения благосостояни</w:t>
      </w:r>
      <w:r>
        <w:t xml:space="preserve">я народа. Такое видение процесса формирования инновационной экономики согласуется с моделью устойчивого развития, принятой международной практикой [1, с. 99]. </w:t>
      </w:r>
    </w:p>
    <w:p w:rsidR="002C0F56" w:rsidRDefault="00E67C6E">
      <w:pPr>
        <w:ind w:left="1558" w:right="302" w:firstLine="0"/>
      </w:pPr>
      <w:r>
        <w:t xml:space="preserve">Инновационная экономика характеризуется: </w:t>
      </w:r>
    </w:p>
    <w:p w:rsidR="002C0F56" w:rsidRDefault="00E67C6E">
      <w:pPr>
        <w:numPr>
          <w:ilvl w:val="0"/>
          <w:numId w:val="208"/>
        </w:numPr>
        <w:spacing w:after="12"/>
        <w:ind w:right="302"/>
      </w:pPr>
      <w:r>
        <w:t xml:space="preserve">высоким индексом экономической свободы; </w:t>
      </w:r>
    </w:p>
    <w:p w:rsidR="002C0F56" w:rsidRDefault="00E67C6E">
      <w:pPr>
        <w:numPr>
          <w:ilvl w:val="0"/>
          <w:numId w:val="208"/>
        </w:numPr>
        <w:spacing w:after="12"/>
        <w:ind w:right="302"/>
      </w:pPr>
      <w:r>
        <w:t>высоким уровн</w:t>
      </w:r>
      <w:r>
        <w:t xml:space="preserve">ем развития образования и науки; </w:t>
      </w:r>
    </w:p>
    <w:p w:rsidR="002C0F56" w:rsidRDefault="00E67C6E">
      <w:pPr>
        <w:numPr>
          <w:ilvl w:val="0"/>
          <w:numId w:val="208"/>
        </w:numPr>
        <w:spacing w:after="12"/>
        <w:ind w:right="302"/>
      </w:pPr>
      <w:r>
        <w:t xml:space="preserve">V–VI-ми технологическими укладами; </w:t>
      </w:r>
    </w:p>
    <w:p w:rsidR="002C0F56" w:rsidRDefault="00E67C6E">
      <w:pPr>
        <w:numPr>
          <w:ilvl w:val="0"/>
          <w:numId w:val="208"/>
        </w:numPr>
        <w:spacing w:after="12"/>
        <w:ind w:right="302"/>
      </w:pPr>
      <w:r>
        <w:t xml:space="preserve">высоким и конкурентоспособным качеством жизни; </w:t>
      </w:r>
    </w:p>
    <w:p w:rsidR="002C0F56" w:rsidRDefault="00E67C6E">
      <w:pPr>
        <w:numPr>
          <w:ilvl w:val="0"/>
          <w:numId w:val="208"/>
        </w:numPr>
        <w:spacing w:after="59"/>
        <w:ind w:right="302"/>
      </w:pPr>
      <w:r>
        <w:t xml:space="preserve">высокой стоимостью и качеством человеческого капитала в его широком смысле; </w:t>
      </w:r>
    </w:p>
    <w:p w:rsidR="002C0F56" w:rsidRDefault="00E67C6E">
      <w:pPr>
        <w:numPr>
          <w:ilvl w:val="0"/>
          <w:numId w:val="208"/>
        </w:numPr>
        <w:ind w:right="302"/>
      </w:pPr>
      <w:r>
        <w:t>высокой конкурентоспособностью и восприимчивой к инновациям э</w:t>
      </w:r>
      <w:r>
        <w:t xml:space="preserve">кономикой; </w:t>
      </w:r>
    </w:p>
    <w:p w:rsidR="002C0F56" w:rsidRDefault="00E67C6E">
      <w:pPr>
        <w:numPr>
          <w:ilvl w:val="0"/>
          <w:numId w:val="208"/>
        </w:numPr>
        <w:spacing w:after="59"/>
        <w:ind w:right="302"/>
      </w:pPr>
      <w:r>
        <w:t xml:space="preserve">развитыми инновационными (информационными, научнотехнологическими, кооперационными и др.) сетями, охватывающими критическое большинство (75-80 %) субъектов инновационной деятельности [2, с. 16];  </w:t>
      </w:r>
    </w:p>
    <w:p w:rsidR="002C0F56" w:rsidRDefault="00E67C6E">
      <w:pPr>
        <w:numPr>
          <w:ilvl w:val="0"/>
          <w:numId w:val="208"/>
        </w:numPr>
        <w:spacing w:after="57"/>
        <w:ind w:right="302"/>
      </w:pPr>
      <w:r>
        <w:t xml:space="preserve">высокой долей инновационных предприятий (свыше </w:t>
      </w:r>
      <w:r>
        <w:t xml:space="preserve">60-80 %) и инновационной продукции; </w:t>
      </w:r>
    </w:p>
    <w:p w:rsidR="002C0F56" w:rsidRDefault="00E67C6E">
      <w:pPr>
        <w:numPr>
          <w:ilvl w:val="0"/>
          <w:numId w:val="208"/>
        </w:numPr>
        <w:spacing w:after="12"/>
        <w:ind w:right="302"/>
      </w:pPr>
      <w:r>
        <w:t xml:space="preserve">замещение капиталов; </w:t>
      </w:r>
    </w:p>
    <w:p w:rsidR="002C0F56" w:rsidRDefault="00E67C6E">
      <w:pPr>
        <w:numPr>
          <w:ilvl w:val="0"/>
          <w:numId w:val="208"/>
        </w:numPr>
        <w:spacing w:after="12"/>
        <w:ind w:right="302"/>
      </w:pPr>
      <w:r>
        <w:t xml:space="preserve">конкуренция с высоким спросом на инновации; </w:t>
      </w:r>
    </w:p>
    <w:p w:rsidR="002C0F56" w:rsidRDefault="00E67C6E">
      <w:pPr>
        <w:numPr>
          <w:ilvl w:val="0"/>
          <w:numId w:val="208"/>
        </w:numPr>
        <w:spacing w:after="58"/>
        <w:ind w:right="302"/>
      </w:pPr>
      <w:r>
        <w:t xml:space="preserve">избыточность инноваций, и, как следствие, обеспечение эффективности части из них за счет конкуренции; </w:t>
      </w:r>
    </w:p>
    <w:p w:rsidR="002C0F56" w:rsidRDefault="00E67C6E">
      <w:pPr>
        <w:numPr>
          <w:ilvl w:val="0"/>
          <w:numId w:val="208"/>
        </w:numPr>
        <w:spacing w:after="12"/>
        <w:ind w:right="302"/>
      </w:pPr>
      <w:r>
        <w:t xml:space="preserve">инициированием новых рынков и принципом разнообразия рынков; </w:t>
      </w:r>
    </w:p>
    <w:p w:rsidR="002C0F56" w:rsidRDefault="00E67C6E">
      <w:pPr>
        <w:numPr>
          <w:ilvl w:val="0"/>
          <w:numId w:val="208"/>
        </w:numPr>
        <w:spacing w:after="12"/>
        <w:ind w:right="302"/>
      </w:pPr>
      <w:r>
        <w:t xml:space="preserve">развитием индустрии знаний и их высоким экспортом. </w:t>
      </w:r>
    </w:p>
    <w:p w:rsidR="002C0F56" w:rsidRDefault="00E67C6E">
      <w:pPr>
        <w:spacing w:after="3"/>
        <w:ind w:left="994" w:right="302"/>
      </w:pPr>
      <w:r>
        <w:t xml:space="preserve">Инновационная экономика – это тип экономики, основанной на потоке инноваций, на постоянном технологическом совершенствовании, на производстве </w:t>
      </w:r>
      <w:r>
        <w:t xml:space="preserve">и экспорте высокотехнологичной продукции с очень высокой добавочной стоимостью и самих инновационных технологий. </w:t>
      </w:r>
    </w:p>
    <w:p w:rsidR="002C0F56" w:rsidRDefault="00E67C6E">
      <w:pPr>
        <w:spacing w:after="0"/>
        <w:ind w:left="994" w:right="302"/>
      </w:pPr>
      <w:r>
        <w:t>В настоящее время к числу стран с инновационной экономикой и развитым венчурным бизнесом относятся США, Германия, Япония, Швеция, Финляндия, С</w:t>
      </w:r>
      <w:r>
        <w:t xml:space="preserve">ингапур, Израиль и другие страны, экономика которых предполагает приоритетное развитие науки и образования, наукоемких отраслей, масштабные капиталовложения в науку, развитие образования как ключевой сферы общества. </w:t>
      </w:r>
    </w:p>
    <w:p w:rsidR="002C0F56" w:rsidRDefault="00E67C6E">
      <w:pPr>
        <w:spacing w:after="1"/>
        <w:ind w:left="994" w:right="302"/>
      </w:pPr>
      <w:r>
        <w:lastRenderedPageBreak/>
        <w:t>Производство знаний, развитие науки и о</w:t>
      </w:r>
      <w:r>
        <w:t xml:space="preserve">бразования, наукоемких отраслей выступает основным источником роста экономики, обеспечивая мировое экономическое превосходство странам, которые создают инновационную экономику. </w:t>
      </w:r>
    </w:p>
    <w:p w:rsidR="002C0F56" w:rsidRDefault="00E67C6E">
      <w:pPr>
        <w:spacing w:after="0"/>
        <w:ind w:left="994" w:right="302"/>
      </w:pPr>
      <w:r>
        <w:t>США стали родиной компьютерной революции, которая позволила длительное время с</w:t>
      </w:r>
      <w:r>
        <w:t>истематически наращивать инновационный потенциал страны. Особенностью инновационного развития США является высокая степень вовлеченности в этот процесс малого бизнеса: наличие сильных кластеров, венчурного капитала и других форм государственных и часто инв</w:t>
      </w:r>
      <w:r>
        <w:t>естиций, а также сильных программ наставничества и содействия стартапам, что способствует внедрению инноваций малыми предприятиями, обладающими высоким творческим и предпринимательским потенциалом. По оценкам американских экономистов, более 70% экономическ</w:t>
      </w:r>
      <w:r>
        <w:t>ого роста в условиях развития инновационной экономики страны определяется именно предпринимательской деятельностью. Особенность политики США в области науки и инноваций является активное участие государства в формировании технологической инфраструктуры, це</w:t>
      </w:r>
      <w:r>
        <w:t xml:space="preserve">нтрализованной системы управления патентными институтами, аккумуляция функций контроля и финансирования системы научно-технической информации [3]. </w:t>
      </w:r>
    </w:p>
    <w:p w:rsidR="002C0F56" w:rsidRDefault="00E67C6E">
      <w:pPr>
        <w:spacing w:after="10"/>
        <w:ind w:left="994" w:right="302"/>
      </w:pPr>
      <w:r>
        <w:t>Одним из трендов европейской инновационной политики является смещение акцентов от поддержки отдельных компан</w:t>
      </w:r>
      <w:r>
        <w:t xml:space="preserve">ий к формированию консорциумов и сетей.  </w:t>
      </w:r>
    </w:p>
    <w:p w:rsidR="002C0F56" w:rsidRDefault="00E67C6E">
      <w:pPr>
        <w:ind w:left="994" w:right="302"/>
      </w:pPr>
      <w:r>
        <w:t>Финляндия выступила в роли пионера в развитии национальной инновационной системы, основанной на объединении в единое целое производителей и потребителей знаний. В настоящее время она реализует две программы региона</w:t>
      </w:r>
      <w:r>
        <w:t xml:space="preserve">льных кластеров: «Центры экспертиз» и «Кластерные программы», которые направлены на поддержку НИОКР. Соединение усилий государства, университетов и частных компаний привело к тому, что Финляндия одной из первых в Западной Европе использовала опыт </w:t>
      </w:r>
    </w:p>
    <w:p w:rsidR="002C0F56" w:rsidRDefault="00E67C6E">
      <w:pPr>
        <w:tabs>
          <w:tab w:val="center" w:pos="1871"/>
          <w:tab w:val="center" w:pos="3647"/>
          <w:tab w:val="center" w:pos="4637"/>
          <w:tab w:val="center" w:pos="5697"/>
          <w:tab w:val="center" w:pos="7016"/>
          <w:tab w:val="center" w:pos="8295"/>
          <w:tab w:val="center" w:pos="9615"/>
          <w:tab w:val="center" w:pos="10488"/>
        </w:tabs>
        <w:ind w:left="0" w:firstLine="0"/>
        <w:jc w:val="left"/>
      </w:pPr>
      <w:r>
        <w:rPr>
          <w:rFonts w:ascii="Calibri" w:eastAsia="Calibri" w:hAnsi="Calibri" w:cs="Calibri"/>
          <w:sz w:val="22"/>
        </w:rPr>
        <w:tab/>
      </w:r>
      <w:r>
        <w:t>«Силико</w:t>
      </w:r>
      <w:r>
        <w:t xml:space="preserve">новой </w:t>
      </w:r>
      <w:r>
        <w:tab/>
        <w:t xml:space="preserve">долины». </w:t>
      </w:r>
      <w:r>
        <w:tab/>
        <w:t xml:space="preserve">В </w:t>
      </w:r>
      <w:r>
        <w:tab/>
        <w:t xml:space="preserve">настоящее </w:t>
      </w:r>
      <w:r>
        <w:tab/>
        <w:t xml:space="preserve">время </w:t>
      </w:r>
      <w:r>
        <w:tab/>
        <w:t xml:space="preserve">действует </w:t>
      </w:r>
      <w:r>
        <w:tab/>
        <w:t xml:space="preserve">свыше </w:t>
      </w:r>
      <w:r>
        <w:tab/>
        <w:t xml:space="preserve">20 </w:t>
      </w:r>
    </w:p>
    <w:p w:rsidR="002C0F56" w:rsidRDefault="00E67C6E">
      <w:pPr>
        <w:spacing w:after="12"/>
        <w:ind w:left="994" w:right="302" w:firstLine="0"/>
      </w:pPr>
      <w:r>
        <w:t xml:space="preserve">«технологических деревень». </w:t>
      </w:r>
    </w:p>
    <w:p w:rsidR="002C0F56" w:rsidRDefault="00E67C6E">
      <w:pPr>
        <w:ind w:left="994" w:right="302"/>
      </w:pPr>
      <w:r>
        <w:t>В Германии инновационные решения рассматриваются как важнейшие факторы поддержания достойного качества жизни и процветания страны в целом. Они помогают находить констр</w:t>
      </w:r>
      <w:r>
        <w:t>уктивные ответы на срочные вызовы времени, в том числе проблемы в таких сферах, как устойчивое развитие городов, получение и использование экологически чистой энергии, разработка индивидуальных программ лечения и развития цифрового общества. В 2014 году бы</w:t>
      </w:r>
      <w:r>
        <w:t xml:space="preserve">л разработана новая Hight-Tech – стратегия «Инновации для Германии», в которой в понимание инноваций включаются не только технологические, но и социальные инновации. Цель стратегии – создание условий, при которых все стоящие идеи будут быстро превращаться </w:t>
      </w:r>
      <w:r>
        <w:t xml:space="preserve">в инновационные продукты и услуги </w:t>
      </w:r>
    </w:p>
    <w:p w:rsidR="002C0F56" w:rsidRDefault="00E67C6E">
      <w:pPr>
        <w:spacing w:after="12"/>
        <w:ind w:left="994" w:right="302" w:firstLine="0"/>
      </w:pPr>
      <w:r>
        <w:lastRenderedPageBreak/>
        <w:t xml:space="preserve">[4, с. 14]. </w:t>
      </w:r>
    </w:p>
    <w:p w:rsidR="002C0F56" w:rsidRDefault="00E67C6E">
      <w:pPr>
        <w:spacing w:after="0"/>
        <w:ind w:left="994" w:right="302"/>
      </w:pPr>
      <w:r>
        <w:t>Опыт Китая показывает, что большие выгоды получают не только те, кто создает новые технологии, но и те, кто производит основанную на них продукцию. Тенденция не изменилась и в настоящее время: в развитых стра</w:t>
      </w:r>
      <w:r>
        <w:t>нах сосредотачиваются обесценивающиеся технологии, а в развивающихся – добавленная стоимость, выступающая главным фактором развития информационного общества развивающихся стран. С другой стороны, Китай настойчиво продвигается на ведущие позиции по ряду стр</w:t>
      </w:r>
      <w:r>
        <w:t>атегически важных направлений, все больше потесняя развитые страны в глобальном соревновании умов. Опыт Китая интересен и тем, что инновационная модернизация страны и создание условий для ее ускоренного проведения происходит в рамках китайской цивилизацион</w:t>
      </w:r>
      <w:r>
        <w:t xml:space="preserve">ной модели [1, с. 108]. </w:t>
      </w:r>
    </w:p>
    <w:p w:rsidR="002C0F56" w:rsidRDefault="00E67C6E">
      <w:pPr>
        <w:spacing w:after="0"/>
        <w:ind w:left="994" w:right="302"/>
      </w:pPr>
      <w:r>
        <w:t>Таким образом, главным трендом развития современной экономики является процесс формирования инновационной экономики, основанной на знаниях, в последующем становящейся экономикой знаний как высшей фазы инновационной экономики. По ст</w:t>
      </w:r>
      <w:r>
        <w:t>епени актуальности этот феномен превосходит все другие, поскольку от темпов инновационного развития в ХХI в. будут зависеть не только темпы мирового экономического роста, но и суверенитет государств, и уровень обеспечения их национальной безопасности. Евро</w:t>
      </w:r>
      <w:r>
        <w:t>пейская и американская практика показывает, что экономика знаний требует высокого развития в базисных структурах: человеческом капитале, образовании, развитии технологических трансферов и сетевых кластеров, корпоративного менеджмента и межфирменного сотруд</w:t>
      </w:r>
      <w:r>
        <w:t xml:space="preserve">ничества, что, безусловно, требует значительного увеличения  финансовых затрат и капитальных вложений, привлечения прямых иностранных инвестиций на научные исследования и образование  </w:t>
      </w:r>
    </w:p>
    <w:p w:rsidR="002C0F56" w:rsidRDefault="00E67C6E">
      <w:pPr>
        <w:spacing w:after="24" w:line="259" w:lineRule="auto"/>
        <w:ind w:left="1558" w:firstLine="0"/>
        <w:jc w:val="left"/>
      </w:pPr>
      <w:r>
        <w:rPr>
          <w:b/>
        </w:rP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09"/>
        </w:numPr>
        <w:ind w:right="302"/>
      </w:pPr>
      <w:r>
        <w:t xml:space="preserve">Сакович, В.А. Инновационная безопасность: отдельные аспекты методологии, теории, практики / В.А. Сакович, Г.М. Бровка. – Минск: РИВШ, 2016. – 320 с. </w:t>
      </w:r>
    </w:p>
    <w:p w:rsidR="002C0F56" w:rsidRDefault="00E67C6E">
      <w:pPr>
        <w:numPr>
          <w:ilvl w:val="0"/>
          <w:numId w:val="209"/>
        </w:numPr>
        <w:ind w:right="302"/>
      </w:pPr>
      <w:r>
        <w:t>Шимов, В.Н. Инновационное развитие экономики Беларуси: движущие силы и национальные приоритеты: монография</w:t>
      </w:r>
      <w:r>
        <w:t xml:space="preserve"> / В.Н. Шимов, Л.М. Крюков. – Минск: Белорусский государственный экономический университет, 2014. – </w:t>
      </w:r>
    </w:p>
    <w:p w:rsidR="002C0F56" w:rsidRDefault="00E67C6E">
      <w:pPr>
        <w:spacing w:after="12"/>
        <w:ind w:left="994" w:right="302" w:firstLine="0"/>
      </w:pPr>
      <w:r>
        <w:t xml:space="preserve">198 с. </w:t>
      </w:r>
    </w:p>
    <w:p w:rsidR="002C0F56" w:rsidRDefault="00E67C6E">
      <w:pPr>
        <w:numPr>
          <w:ilvl w:val="0"/>
          <w:numId w:val="210"/>
        </w:numPr>
        <w:spacing w:after="0"/>
        <w:ind w:right="302"/>
      </w:pPr>
      <w:r>
        <w:t>Innovation and Research Strategy for Growth [Электронный ресурс] / HM Treasury, Department for Business and Skills. – London, 2011. – Режим доступа</w:t>
      </w:r>
      <w:r>
        <w:t xml:space="preserve">: </w:t>
      </w:r>
      <w:hyperlink r:id="rId1230">
        <w:r>
          <w:t xml:space="preserve">https://www.gov.uk/government/uploads/system/uploads/attachment_data/file/32450/ </w:t>
        </w:r>
      </w:hyperlink>
      <w:hyperlink r:id="rId1231">
        <w:r>
          <w:t>11</w:t>
        </w:r>
      </w:hyperlink>
      <w:hyperlink r:id="rId1232">
        <w:r>
          <w:t>-</w:t>
        </w:r>
      </w:hyperlink>
      <w:hyperlink r:id="rId1233">
        <w:r>
          <w:t>1387</w:t>
        </w:r>
      </w:hyperlink>
      <w:hyperlink r:id="rId1234">
        <w:r>
          <w:t>-</w:t>
        </w:r>
      </w:hyperlink>
      <w:hyperlink r:id="rId1235">
        <w:r>
          <w:t>inn</w:t>
        </w:r>
        <w:r>
          <w:t>ovation</w:t>
        </w:r>
      </w:hyperlink>
      <w:hyperlink r:id="rId1236">
        <w:r>
          <w:t>-</w:t>
        </w:r>
      </w:hyperlink>
      <w:hyperlink r:id="rId1237">
        <w:r>
          <w:t>and</w:t>
        </w:r>
      </w:hyperlink>
      <w:hyperlink r:id="rId1238">
        <w:r>
          <w:t>-</w:t>
        </w:r>
      </w:hyperlink>
      <w:hyperlink r:id="rId1239">
        <w:r>
          <w:t>research</w:t>
        </w:r>
      </w:hyperlink>
      <w:hyperlink r:id="rId1240">
        <w:r>
          <w:t>-</w:t>
        </w:r>
      </w:hyperlink>
      <w:hyperlink r:id="rId1241">
        <w:r>
          <w:t>strategy</w:t>
        </w:r>
      </w:hyperlink>
      <w:hyperlink r:id="rId1242">
        <w:r>
          <w:t>-</w:t>
        </w:r>
      </w:hyperlink>
      <w:hyperlink r:id="rId1243">
        <w:r>
          <w:t>for</w:t>
        </w:r>
      </w:hyperlink>
      <w:hyperlink r:id="rId1244">
        <w:r>
          <w:t>-</w:t>
        </w:r>
      </w:hyperlink>
      <w:hyperlink r:id="rId1245">
        <w:r>
          <w:t>growth.pdf</w:t>
        </w:r>
      </w:hyperlink>
      <w:hyperlink r:id="rId1246">
        <w:r>
          <w:t>.</w:t>
        </w:r>
      </w:hyperlink>
      <w:r>
        <w:t xml:space="preserve"> – Дата доступа: </w:t>
      </w:r>
    </w:p>
    <w:p w:rsidR="002C0F56" w:rsidRDefault="00E67C6E">
      <w:pPr>
        <w:spacing w:after="12"/>
        <w:ind w:left="994" w:right="302" w:firstLine="0"/>
      </w:pPr>
      <w:r>
        <w:t xml:space="preserve">18.04.2017. </w:t>
      </w:r>
    </w:p>
    <w:p w:rsidR="002C0F56" w:rsidRDefault="00E67C6E">
      <w:pPr>
        <w:numPr>
          <w:ilvl w:val="0"/>
          <w:numId w:val="210"/>
        </w:numPr>
        <w:spacing w:after="0"/>
        <w:ind w:right="302"/>
      </w:pPr>
      <w:r>
        <w:lastRenderedPageBreak/>
        <w:t>Innovatione</w:t>
      </w:r>
      <w:r>
        <w:t xml:space="preserve">n  für Deutschland: Die neue Hightech-Strategie / Bundesministerium für Bildungund Forschung (BMBF): referat Grundsatzfragen der Innovationspolitik. – Berlin, 2014.- 60 s. </w:t>
      </w:r>
    </w:p>
    <w:p w:rsidR="002C0F56" w:rsidRDefault="00E67C6E">
      <w:pPr>
        <w:spacing w:after="0" w:line="259" w:lineRule="auto"/>
        <w:ind w:left="994" w:firstLine="0"/>
        <w:jc w:val="left"/>
      </w:pPr>
      <w:r>
        <w:t xml:space="preserve"> </w:t>
      </w:r>
    </w:p>
    <w:p w:rsidR="002C0F56" w:rsidRDefault="00E67C6E">
      <w:pPr>
        <w:spacing w:after="28" w:line="259" w:lineRule="auto"/>
        <w:ind w:left="994" w:firstLine="0"/>
        <w:jc w:val="left"/>
      </w:pPr>
      <w:r>
        <w:t xml:space="preserve"> </w:t>
      </w:r>
    </w:p>
    <w:p w:rsidR="002C0F56" w:rsidRDefault="00E67C6E">
      <w:pPr>
        <w:spacing w:after="25" w:line="259" w:lineRule="auto"/>
        <w:ind w:left="10" w:right="307" w:hanging="10"/>
        <w:jc w:val="right"/>
      </w:pPr>
      <w:r>
        <w:rPr>
          <w:b/>
        </w:rPr>
        <w:t xml:space="preserve">Разиньков А.О. </w:t>
      </w:r>
    </w:p>
    <w:p w:rsidR="002C0F56" w:rsidRDefault="00E67C6E">
      <w:pPr>
        <w:spacing w:after="11" w:line="270" w:lineRule="auto"/>
        <w:ind w:left="10" w:right="308" w:hanging="10"/>
        <w:jc w:val="right"/>
      </w:pPr>
      <w:r>
        <w:t xml:space="preserve">Научный руководитель: Быстрицкая А.Ю., к.э.н., доц.  </w:t>
      </w:r>
    </w:p>
    <w:p w:rsidR="002C0F56" w:rsidRDefault="00E67C6E">
      <w:pPr>
        <w:spacing w:after="0" w:line="267" w:lineRule="auto"/>
        <w:ind w:left="905" w:right="310" w:hanging="10"/>
        <w:jc w:val="right"/>
      </w:pPr>
      <w:r>
        <w:rPr>
          <w:i/>
        </w:rPr>
        <w:t xml:space="preserve">Курский Государственный университет </w:t>
      </w:r>
    </w:p>
    <w:p w:rsidR="002C0F56" w:rsidRDefault="00E67C6E">
      <w:pPr>
        <w:spacing w:after="30" w:line="259" w:lineRule="auto"/>
        <w:ind w:left="1558" w:firstLine="0"/>
        <w:jc w:val="left"/>
      </w:pPr>
      <w:r>
        <w:rPr>
          <w:b/>
        </w:rPr>
        <w:t xml:space="preserve"> </w:t>
      </w:r>
    </w:p>
    <w:p w:rsidR="002C0F56" w:rsidRDefault="00E67C6E">
      <w:pPr>
        <w:pStyle w:val="1"/>
        <w:ind w:left="700" w:right="6"/>
      </w:pPr>
      <w:r>
        <w:t xml:space="preserve">ТЕХНОЛОГИЯ РАЗРАБОТКИ ТЕХНИКО-ЭКОНОМИЧЕСКОГО </w:t>
      </w:r>
    </w:p>
    <w:p w:rsidR="002C0F56" w:rsidRDefault="00E67C6E">
      <w:pPr>
        <w:pStyle w:val="1"/>
        <w:ind w:left="700" w:right="6"/>
      </w:pPr>
      <w:r>
        <w:t xml:space="preserve">ОБОСНОВАНИЯ ИННОВАЦИОННОГО ПРОЕКТА </w:t>
      </w:r>
    </w:p>
    <w:p w:rsidR="002C0F56" w:rsidRDefault="00E67C6E">
      <w:pPr>
        <w:spacing w:after="25" w:line="259" w:lineRule="auto"/>
        <w:ind w:left="1558" w:firstLine="0"/>
        <w:jc w:val="left"/>
      </w:pPr>
      <w:r>
        <w:t xml:space="preserve"> </w:t>
      </w:r>
    </w:p>
    <w:p w:rsidR="002C0F56" w:rsidRDefault="00E67C6E">
      <w:pPr>
        <w:spacing w:after="10"/>
        <w:ind w:left="994" w:right="302"/>
      </w:pPr>
      <w:r>
        <w:t>Прежде чем начать говорить о технологии разработки технико</w:t>
      </w:r>
      <w:r>
        <w:t>экономического обоснования инновационного проекта, стоит обратить внимание на то, чем является сам инновационный проект – это проект, содержащий технико-экономическое, правовое и организационное обоснование конечной инновационной деятельности. Отсюда возни</w:t>
      </w:r>
      <w:r>
        <w:t>кает вопрос того, что же такое инновационная деятельность - это комплекс научных, технологических, организационных, финансовых и коммерческих мероприятий, направленный на коммерциализацию накопленных знаний, технологий и оборудования. Результатом инновацио</w:t>
      </w:r>
      <w:r>
        <w:t xml:space="preserve">нной деятельности являются новые или дополнительные товары, услуги с новыми качествами. </w:t>
      </w:r>
    </w:p>
    <w:p w:rsidR="002C0F56" w:rsidRDefault="00E67C6E">
      <w:pPr>
        <w:spacing w:after="2"/>
        <w:ind w:left="994" w:right="302"/>
      </w:pPr>
      <w:r>
        <w:t>Инновационный проект представляет собой сложную систему взаимообусловленных и взаимоувязанных по ресурсам, срокам и исполнителям мероприятий, направленных на достижени</w:t>
      </w:r>
      <w:r>
        <w:t>е конкретных целей и задач на приоритетных направлениях развития науки и техники. Уровень значимости проекта определяет сложность, длительность, состав исполнителей, масштаб, характер продвижения результатов инновационного процесса, что влияет на содержани</w:t>
      </w:r>
      <w:r>
        <w:t xml:space="preserve">е проектного управления [1]. </w:t>
      </w:r>
    </w:p>
    <w:p w:rsidR="002C0F56" w:rsidRDefault="00E67C6E">
      <w:pPr>
        <w:ind w:left="994" w:right="302"/>
      </w:pPr>
      <w:r>
        <w:t>Любой инновационный проект возникает, существует и развивается в условиях внешней среды, которая формируется научно-техническими, экономическими, политическими и социальными факторами. В связи с этим выделяют отдельный вид мен</w:t>
      </w:r>
      <w:r>
        <w:t xml:space="preserve">еджмента, т.е. управления, в данном случае, проектной деятельностью – инновационный менеджмент. </w:t>
      </w:r>
    </w:p>
    <w:p w:rsidR="002C0F56" w:rsidRDefault="00E67C6E">
      <w:pPr>
        <w:ind w:left="994" w:right="302"/>
      </w:pPr>
      <w:r>
        <w:t>Инновационный менеджмент – это процесс перевоплощения новой для мира, страны или конкретного региона идеи о концепции продукта, бизнеспроцесса, маркетинга, тех</w:t>
      </w:r>
      <w:r>
        <w:t xml:space="preserve">нологии, материалов и компонентов в коммерческий проект с целью извлечения максимальной прибыли и оптимизации рисков в рамках общей стратегии бизнес-системы [2]. Задачами инновационного менеджмента являются: </w:t>
      </w:r>
    </w:p>
    <w:p w:rsidR="002C0F56" w:rsidRDefault="00E67C6E">
      <w:pPr>
        <w:numPr>
          <w:ilvl w:val="0"/>
          <w:numId w:val="211"/>
        </w:numPr>
        <w:ind w:right="302" w:hanging="288"/>
      </w:pPr>
      <w:r>
        <w:lastRenderedPageBreak/>
        <w:t>Планирование инновационной деятельности организ</w:t>
      </w:r>
      <w:r>
        <w:t xml:space="preserve">ации; </w:t>
      </w:r>
    </w:p>
    <w:p w:rsidR="002C0F56" w:rsidRDefault="00E67C6E">
      <w:pPr>
        <w:numPr>
          <w:ilvl w:val="0"/>
          <w:numId w:val="211"/>
        </w:numPr>
        <w:ind w:right="302" w:hanging="288"/>
      </w:pPr>
      <w:r>
        <w:t xml:space="preserve">Организация инновационной деятельности; </w:t>
      </w:r>
    </w:p>
    <w:p w:rsidR="002C0F56" w:rsidRDefault="00E67C6E">
      <w:pPr>
        <w:numPr>
          <w:ilvl w:val="0"/>
          <w:numId w:val="211"/>
        </w:numPr>
        <w:ind w:right="302" w:hanging="288"/>
      </w:pPr>
      <w:r>
        <w:t xml:space="preserve">Мотивация участников инновационной деятельности; </w:t>
      </w:r>
    </w:p>
    <w:p w:rsidR="002C0F56" w:rsidRDefault="00E67C6E">
      <w:pPr>
        <w:numPr>
          <w:ilvl w:val="0"/>
          <w:numId w:val="211"/>
        </w:numPr>
        <w:ind w:right="302" w:hanging="288"/>
      </w:pPr>
      <w:r>
        <w:t xml:space="preserve">Систематическая оценка результатов инновационной деятельности; </w:t>
      </w:r>
    </w:p>
    <w:p w:rsidR="002C0F56" w:rsidRDefault="00E67C6E">
      <w:pPr>
        <w:numPr>
          <w:ilvl w:val="0"/>
          <w:numId w:val="211"/>
        </w:numPr>
        <w:spacing w:after="12"/>
        <w:ind w:right="302" w:hanging="288"/>
      </w:pPr>
      <w:r>
        <w:t xml:space="preserve">Рациональное использование всего нового. </w:t>
      </w:r>
    </w:p>
    <w:p w:rsidR="002C0F56" w:rsidRDefault="00E67C6E">
      <w:pPr>
        <w:spacing w:after="58"/>
        <w:ind w:left="994" w:right="302"/>
      </w:pPr>
      <w:r>
        <w:t>Любой проект от возникновения идеи до полной её реализации, проходит по ряду этапов своего планомерного, заданного заранее развития. Полный путь реализации проекта составляет его жизненный цикл, который принято делить на стадии. Определённой градации стади</w:t>
      </w:r>
      <w:r>
        <w:t xml:space="preserve">й не существует, т.к. в различных видах деятельности, часто, существуют свои, необходимые для реализации этапы. Однако у каждого проекта можно выделить следующие общие стадии развития: </w:t>
      </w:r>
    </w:p>
    <w:p w:rsidR="002C0F56" w:rsidRDefault="00E67C6E">
      <w:pPr>
        <w:numPr>
          <w:ilvl w:val="0"/>
          <w:numId w:val="212"/>
        </w:numPr>
        <w:spacing w:after="12"/>
        <w:ind w:right="302" w:hanging="214"/>
      </w:pPr>
      <w:r>
        <w:t xml:space="preserve">начальную (прединвестиционную) стадию; </w:t>
      </w:r>
    </w:p>
    <w:p w:rsidR="002C0F56" w:rsidRDefault="00E67C6E">
      <w:pPr>
        <w:numPr>
          <w:ilvl w:val="0"/>
          <w:numId w:val="212"/>
        </w:numPr>
        <w:spacing w:after="12"/>
        <w:ind w:right="302" w:hanging="214"/>
      </w:pPr>
      <w:r>
        <w:t xml:space="preserve">стадию реализации проекта; </w:t>
      </w:r>
    </w:p>
    <w:p w:rsidR="002C0F56" w:rsidRDefault="00E67C6E">
      <w:pPr>
        <w:numPr>
          <w:ilvl w:val="0"/>
          <w:numId w:val="212"/>
        </w:numPr>
        <w:spacing w:after="12"/>
        <w:ind w:right="302" w:hanging="214"/>
      </w:pPr>
      <w:r>
        <w:t>ст</w:t>
      </w:r>
      <w:r>
        <w:t xml:space="preserve">адию завершения работ по проекту. </w:t>
      </w:r>
    </w:p>
    <w:p w:rsidR="002C0F56" w:rsidRDefault="00E67C6E">
      <w:pPr>
        <w:spacing w:after="11"/>
        <w:ind w:left="994" w:right="302"/>
      </w:pPr>
      <w:r>
        <w:t xml:space="preserve">На первой, начальной стадии, определяются основные участники инновационного проекта: заказчик, инвестор, проектировщик, поставщик. Назначается руководитель проекта и формируется команда. </w:t>
      </w:r>
    </w:p>
    <w:p w:rsidR="002C0F56" w:rsidRDefault="00E67C6E">
      <w:pPr>
        <w:spacing w:after="0"/>
        <w:ind w:left="994" w:right="302"/>
      </w:pPr>
      <w:r>
        <w:t>На стадии реализации проекта прои</w:t>
      </w:r>
      <w:r>
        <w:t>сходит составление плана инновационной деятельности проекта, который составляется с опорой на принципы инновационного менеджмента, производятся или приобретаются основные, необходимые для реализации проекта инновационные материалы, проект приобретает закон</w:t>
      </w:r>
      <w:r>
        <w:t xml:space="preserve">ченный вид, составляются его первые, работоспособные версии. </w:t>
      </w:r>
    </w:p>
    <w:p w:rsidR="002C0F56" w:rsidRDefault="00E67C6E">
      <w:pPr>
        <w:spacing w:after="0"/>
        <w:ind w:left="994" w:right="302"/>
      </w:pPr>
      <w:r>
        <w:t xml:space="preserve">На финальной стадии завершения работ по проекту происходит его окончательное оформление, оценка эффективности реализованного проекта, что является одной из важнейших частей реализации проекта в </w:t>
      </w:r>
      <w:r>
        <w:t>целом. Для оценки эффективности инновационного проекта сравнивают составленные на стадии реализации его варианты с точки зрения их прибыльности, стоимости, сроков реализации. Как результат, на продукцию в течение всего жизненного цикла будет держаться стаб</w:t>
      </w:r>
      <w:r>
        <w:t xml:space="preserve">ильный спрос, достаточный для назначения такой цены, которая обеспечит покрытие расходов на эксплуатацию и обслуживание объектов проекта, выплату задолженности и удовлетворение окупаемости капиталовложений. </w:t>
      </w:r>
    </w:p>
    <w:p w:rsidR="002C0F56" w:rsidRDefault="00E67C6E">
      <w:pPr>
        <w:ind w:left="994" w:right="302"/>
      </w:pPr>
      <w:r>
        <w:t>Выделяют следующие критерии, необходимые для оце</w:t>
      </w:r>
      <w:r>
        <w:t xml:space="preserve">нки эффективности инновационного проекта [3]: </w:t>
      </w:r>
    </w:p>
    <w:p w:rsidR="002C0F56" w:rsidRDefault="00E67C6E">
      <w:pPr>
        <w:spacing w:after="0" w:line="259" w:lineRule="auto"/>
        <w:ind w:left="1558" w:firstLine="0"/>
        <w:jc w:val="left"/>
      </w:pPr>
      <w:r>
        <w:t xml:space="preserve"> </w:t>
      </w:r>
    </w:p>
    <w:p w:rsidR="002C0F56" w:rsidRDefault="00E67C6E">
      <w:pPr>
        <w:spacing w:after="5" w:line="271" w:lineRule="auto"/>
        <w:ind w:left="3073" w:right="396" w:hanging="10"/>
        <w:jc w:val="left"/>
      </w:pPr>
      <w:r>
        <w:rPr>
          <w:i/>
          <w:sz w:val="24"/>
        </w:rPr>
        <w:t>Таблица 1</w:t>
      </w:r>
      <w:r>
        <w:rPr>
          <w:sz w:val="24"/>
        </w:rPr>
        <w:t xml:space="preserve"> – </w:t>
      </w:r>
      <w:r>
        <w:rPr>
          <w:b/>
          <w:sz w:val="24"/>
        </w:rPr>
        <w:t>Критерии оценки инновационного проекта</w:t>
      </w:r>
      <w:r>
        <w:rPr>
          <w:sz w:val="24"/>
        </w:rPr>
        <w:t xml:space="preserve"> </w:t>
      </w:r>
    </w:p>
    <w:tbl>
      <w:tblPr>
        <w:tblStyle w:val="TableGrid"/>
        <w:tblW w:w="9348" w:type="dxa"/>
        <w:tblInd w:w="1140" w:type="dxa"/>
        <w:tblCellMar>
          <w:top w:w="57" w:type="dxa"/>
          <w:left w:w="108" w:type="dxa"/>
          <w:bottom w:w="0" w:type="dxa"/>
          <w:right w:w="51" w:type="dxa"/>
        </w:tblCellMar>
        <w:tblLook w:val="04A0" w:firstRow="1" w:lastRow="0" w:firstColumn="1" w:lastColumn="0" w:noHBand="0" w:noVBand="1"/>
      </w:tblPr>
      <w:tblGrid>
        <w:gridCol w:w="4674"/>
        <w:gridCol w:w="4674"/>
      </w:tblGrid>
      <w:tr w:rsidR="002C0F56">
        <w:trPr>
          <w:trHeight w:val="598"/>
        </w:trPr>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tabs>
                <w:tab w:val="center" w:pos="2480"/>
                <w:tab w:val="right" w:pos="4515"/>
              </w:tabs>
              <w:spacing w:after="28" w:line="259" w:lineRule="auto"/>
              <w:ind w:left="0" w:firstLine="0"/>
              <w:jc w:val="left"/>
            </w:pPr>
            <w:r>
              <w:rPr>
                <w:sz w:val="24"/>
              </w:rPr>
              <w:t>1.</w:t>
            </w:r>
            <w:r>
              <w:rPr>
                <w:rFonts w:ascii="Arial" w:eastAsia="Arial" w:hAnsi="Arial" w:cs="Arial"/>
                <w:sz w:val="24"/>
              </w:rPr>
              <w:t xml:space="preserve"> </w:t>
            </w:r>
            <w:r>
              <w:rPr>
                <w:sz w:val="24"/>
              </w:rPr>
              <w:t xml:space="preserve">Критерии, </w:t>
            </w:r>
            <w:r>
              <w:rPr>
                <w:sz w:val="24"/>
              </w:rPr>
              <w:tab/>
              <w:t xml:space="preserve">позволяющие </w:t>
            </w:r>
            <w:r>
              <w:rPr>
                <w:sz w:val="24"/>
              </w:rPr>
              <w:tab/>
              <w:t xml:space="preserve">оценить </w:t>
            </w:r>
          </w:p>
          <w:p w:rsidR="002C0F56" w:rsidRDefault="00E67C6E">
            <w:pPr>
              <w:spacing w:after="0" w:line="259" w:lineRule="auto"/>
              <w:ind w:left="0" w:firstLine="0"/>
              <w:jc w:val="left"/>
            </w:pPr>
            <w:r>
              <w:rPr>
                <w:sz w:val="24"/>
              </w:rPr>
              <w:t xml:space="preserve">реальность проекта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7"/>
              </w:numPr>
              <w:spacing w:after="0" w:line="259" w:lineRule="auto"/>
              <w:ind w:hanging="271"/>
              <w:jc w:val="left"/>
            </w:pPr>
            <w:r>
              <w:rPr>
                <w:sz w:val="24"/>
              </w:rPr>
              <w:t xml:space="preserve">Нормативные критерии, </w:t>
            </w:r>
          </w:p>
          <w:p w:rsidR="002C0F56" w:rsidRDefault="00E67C6E">
            <w:pPr>
              <w:numPr>
                <w:ilvl w:val="0"/>
                <w:numId w:val="287"/>
              </w:numPr>
              <w:spacing w:after="0" w:line="259" w:lineRule="auto"/>
              <w:ind w:hanging="271"/>
              <w:jc w:val="left"/>
            </w:pPr>
            <w:r>
              <w:rPr>
                <w:sz w:val="24"/>
              </w:rPr>
              <w:t xml:space="preserve">Ресурсные критерии </w:t>
            </w:r>
          </w:p>
        </w:tc>
      </w:tr>
      <w:tr w:rsidR="002C0F56">
        <w:trPr>
          <w:trHeight w:val="595"/>
        </w:trPr>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2.</w:t>
            </w:r>
            <w:r>
              <w:rPr>
                <w:rFonts w:ascii="Arial" w:eastAsia="Arial" w:hAnsi="Arial" w:cs="Arial"/>
                <w:sz w:val="24"/>
              </w:rPr>
              <w:t xml:space="preserve"> </w:t>
            </w:r>
            <w:r>
              <w:rPr>
                <w:sz w:val="24"/>
              </w:rPr>
              <w:t xml:space="preserve">Количественные критерии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8"/>
              </w:numPr>
              <w:spacing w:after="0" w:line="259" w:lineRule="auto"/>
              <w:ind w:hanging="271"/>
              <w:jc w:val="left"/>
            </w:pPr>
            <w:r>
              <w:rPr>
                <w:sz w:val="24"/>
              </w:rPr>
              <w:t xml:space="preserve">Критерии риска, </w:t>
            </w:r>
          </w:p>
          <w:p w:rsidR="002C0F56" w:rsidRDefault="00E67C6E">
            <w:pPr>
              <w:numPr>
                <w:ilvl w:val="0"/>
                <w:numId w:val="288"/>
              </w:numPr>
              <w:spacing w:after="0" w:line="259" w:lineRule="auto"/>
              <w:ind w:hanging="271"/>
              <w:jc w:val="left"/>
            </w:pPr>
            <w:r>
              <w:rPr>
                <w:sz w:val="24"/>
              </w:rPr>
              <w:t xml:space="preserve">Критерии устойчивости </w:t>
            </w:r>
          </w:p>
        </w:tc>
      </w:tr>
      <w:tr w:rsidR="002C0F56">
        <w:trPr>
          <w:trHeight w:val="874"/>
        </w:trPr>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3.</w:t>
            </w:r>
            <w:r>
              <w:rPr>
                <w:rFonts w:ascii="Arial" w:eastAsia="Arial" w:hAnsi="Arial" w:cs="Arial"/>
                <w:sz w:val="24"/>
              </w:rPr>
              <w:t xml:space="preserve"> </w:t>
            </w:r>
            <w:r>
              <w:rPr>
                <w:sz w:val="24"/>
              </w:rPr>
              <w:t xml:space="preserve">Финансово-экономические критерии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numPr>
                <w:ilvl w:val="0"/>
                <w:numId w:val="289"/>
              </w:numPr>
              <w:spacing w:after="20" w:line="280" w:lineRule="auto"/>
              <w:ind w:firstLine="0"/>
              <w:jc w:val="left"/>
            </w:pPr>
            <w:r>
              <w:rPr>
                <w:sz w:val="24"/>
              </w:rPr>
              <w:t xml:space="preserve">Основанные </w:t>
            </w:r>
            <w:r>
              <w:rPr>
                <w:sz w:val="24"/>
              </w:rPr>
              <w:tab/>
              <w:t xml:space="preserve">на </w:t>
            </w:r>
            <w:r>
              <w:rPr>
                <w:sz w:val="24"/>
              </w:rPr>
              <w:tab/>
              <w:t xml:space="preserve">дисконтированных оценках, </w:t>
            </w:r>
          </w:p>
          <w:p w:rsidR="002C0F56" w:rsidRDefault="00E67C6E">
            <w:pPr>
              <w:numPr>
                <w:ilvl w:val="0"/>
                <w:numId w:val="289"/>
              </w:numPr>
              <w:spacing w:after="0" w:line="259" w:lineRule="auto"/>
              <w:ind w:firstLine="0"/>
              <w:jc w:val="left"/>
            </w:pPr>
            <w:r>
              <w:rPr>
                <w:sz w:val="24"/>
              </w:rPr>
              <w:t xml:space="preserve">Основанные на учётных оценках </w:t>
            </w:r>
          </w:p>
        </w:tc>
      </w:tr>
    </w:tbl>
    <w:p w:rsidR="002C0F56" w:rsidRDefault="00E67C6E">
      <w:pPr>
        <w:spacing w:after="0" w:line="259" w:lineRule="auto"/>
        <w:ind w:left="1558" w:firstLine="0"/>
        <w:jc w:val="left"/>
      </w:pPr>
      <w:r>
        <w:t xml:space="preserve"> </w:t>
      </w:r>
    </w:p>
    <w:p w:rsidR="002C0F56" w:rsidRDefault="00E67C6E">
      <w:pPr>
        <w:spacing w:after="15"/>
        <w:ind w:left="994" w:right="302"/>
      </w:pPr>
      <w:r>
        <w:t>Реализация инновационного проекта так же почти всегда включает в себя определённые риски, из-</w:t>
      </w:r>
      <w:r>
        <w:t>за чего к определению «инновационный проект» почти всегда синонимом приравнивают «венчурный проект», однако, это не совсем верная точка зрения, т.к. в данном случае применяются немного иные способы инвестирования, кардинально отличается набор рисков, а так</w:t>
      </w:r>
      <w:r>
        <w:t xml:space="preserve">же план реализации самого проекта. </w:t>
      </w:r>
    </w:p>
    <w:p w:rsidR="002C0F56" w:rsidRDefault="00E67C6E">
      <w:pPr>
        <w:ind w:left="994" w:right="302"/>
      </w:pPr>
      <w:r>
        <w:t xml:space="preserve">Вероятные риски, возникающие вкупе с реализацией инновационного проекта, можно сгруппировать как: </w:t>
      </w:r>
    </w:p>
    <w:p w:rsidR="002C0F56" w:rsidRDefault="00E67C6E">
      <w:pPr>
        <w:numPr>
          <w:ilvl w:val="0"/>
          <w:numId w:val="213"/>
        </w:numPr>
        <w:ind w:right="302"/>
      </w:pPr>
      <w:r>
        <w:t xml:space="preserve">Социальные риски – возможность непринятия конечным потребителем инновационного продукта, при выведении его на рынок; </w:t>
      </w:r>
    </w:p>
    <w:p w:rsidR="002C0F56" w:rsidRDefault="00E67C6E">
      <w:pPr>
        <w:numPr>
          <w:ilvl w:val="0"/>
          <w:numId w:val="213"/>
        </w:numPr>
        <w:ind w:right="302"/>
      </w:pPr>
      <w:r>
        <w:t>Эко</w:t>
      </w:r>
      <w:r>
        <w:t xml:space="preserve">номические риски – возможность полной или же недостаточной окупаемости проекта, недостаток возможной прибыли, приносимой им; </w:t>
      </w:r>
    </w:p>
    <w:p w:rsidR="002C0F56" w:rsidRDefault="00E67C6E">
      <w:pPr>
        <w:numPr>
          <w:ilvl w:val="0"/>
          <w:numId w:val="213"/>
        </w:numPr>
        <w:spacing w:after="10"/>
        <w:ind w:right="302"/>
      </w:pPr>
      <w:r>
        <w:t>Политические риски – непринятие органами государственного управления того или иного вида инновационной деятельности, как следствие</w:t>
      </w:r>
      <w:r>
        <w:t xml:space="preserve"> запрет реализации продуктов этой деятельности. </w:t>
      </w:r>
    </w:p>
    <w:p w:rsidR="002C0F56" w:rsidRDefault="00E67C6E">
      <w:pPr>
        <w:ind w:left="994" w:right="302"/>
      </w:pPr>
      <w:r>
        <w:t xml:space="preserve">Каждый из рисков поддаётся просчёту, и реализация инновационного для конкретной области деятельности проекта может увенчаться успехом лишь при учёте приведённых выше групп рисков. </w:t>
      </w:r>
    </w:p>
    <w:p w:rsidR="002C0F56" w:rsidRDefault="00E67C6E">
      <w:pPr>
        <w:spacing w:after="0"/>
        <w:ind w:left="994" w:right="302"/>
      </w:pPr>
      <w:r>
        <w:t xml:space="preserve">Таким образом, технология разработки технико-экономического обоснования инновационного проекта включает в себя многие особенности, присущие исключительно данной области деятельности, которые нельзя игнорировать не при каких обстоятельствах, чтобы добиться </w:t>
      </w:r>
      <w:r>
        <w:t xml:space="preserve">максимальной отдачи от разрабатываемого инновационного проекта.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14"/>
        </w:numPr>
        <w:ind w:right="302"/>
      </w:pPr>
      <w:r>
        <w:t xml:space="preserve">Управление проектами: Учебное пособие /Под общ. Ред. Проф. </w:t>
      </w:r>
    </w:p>
    <w:p w:rsidR="002C0F56" w:rsidRDefault="00E67C6E">
      <w:pPr>
        <w:ind w:left="994" w:right="302" w:firstLine="0"/>
      </w:pPr>
      <w:r>
        <w:t xml:space="preserve">И.И. Мазура и проф. В.Д.Шапиро. – М.: Омега-Л, 2013. – 960 с. </w:t>
      </w:r>
    </w:p>
    <w:p w:rsidR="002C0F56" w:rsidRDefault="00E67C6E">
      <w:pPr>
        <w:numPr>
          <w:ilvl w:val="0"/>
          <w:numId w:val="214"/>
        </w:numPr>
        <w:ind w:right="302"/>
      </w:pPr>
      <w:r>
        <w:t>Шеметев А.А. Международные стандарты инновацио</w:t>
      </w:r>
      <w:r>
        <w:t xml:space="preserve">нного менеджмента/ Учебное пособие (для студентов вузов и авангардных преподавателей). — Учебное. — Санкт-Петербург: ФинСофт.рф, 2014. — 462 с. — ISBN 978-1-62951-210-5. </w:t>
      </w:r>
    </w:p>
    <w:p w:rsidR="002C0F56" w:rsidRDefault="00E67C6E">
      <w:pPr>
        <w:numPr>
          <w:ilvl w:val="0"/>
          <w:numId w:val="214"/>
        </w:numPr>
        <w:ind w:right="302"/>
      </w:pPr>
      <w:r>
        <w:t xml:space="preserve">Авдеева Ирина Александровна Управление реализацией инновационных проектов // Социально-экономические явления и процессы. </w:t>
      </w:r>
    </w:p>
    <w:p w:rsidR="002C0F56" w:rsidRDefault="00E67C6E">
      <w:pPr>
        <w:spacing w:after="12"/>
        <w:ind w:left="994" w:right="302" w:firstLine="0"/>
      </w:pPr>
      <w:r>
        <w:lastRenderedPageBreak/>
        <w:t xml:space="preserve">2012. №1 С.9-12. </w:t>
      </w:r>
    </w:p>
    <w:p w:rsidR="002C0F56" w:rsidRDefault="00E67C6E">
      <w:pPr>
        <w:spacing w:after="0" w:line="259" w:lineRule="auto"/>
        <w:ind w:left="1558" w:firstLine="0"/>
        <w:jc w:val="left"/>
      </w:pPr>
      <w:r>
        <w:rPr>
          <w:i/>
        </w:rPr>
        <w:t xml:space="preserve"> </w:t>
      </w:r>
    </w:p>
    <w:p w:rsidR="002C0F56" w:rsidRDefault="00E67C6E">
      <w:pPr>
        <w:spacing w:after="0" w:line="259" w:lineRule="auto"/>
        <w:ind w:left="1558" w:firstLine="0"/>
        <w:jc w:val="left"/>
      </w:pPr>
      <w:r>
        <w:rPr>
          <w:i/>
        </w:rPr>
        <w:t xml:space="preserve"> </w:t>
      </w:r>
    </w:p>
    <w:p w:rsidR="002C0F56" w:rsidRDefault="00E67C6E">
      <w:pPr>
        <w:pStyle w:val="1"/>
        <w:spacing w:after="11"/>
        <w:ind w:left="5310" w:right="307"/>
        <w:jc w:val="right"/>
      </w:pPr>
      <w:r>
        <w:t>Рахманкулова М.Р.</w:t>
      </w:r>
      <w:r>
        <w:rPr>
          <w:rFonts w:ascii="Calibri" w:eastAsia="Calibri" w:hAnsi="Calibri" w:cs="Calibri"/>
          <w:color w:val="345A8A"/>
        </w:rPr>
        <w:t xml:space="preserve"> </w:t>
      </w:r>
      <w:r>
        <w:rPr>
          <w:b w:val="0"/>
        </w:rPr>
        <w:t xml:space="preserve">Научный руководитель: Аллабергенова Д.Қ. </w:t>
      </w:r>
    </w:p>
    <w:p w:rsidR="002C0F56" w:rsidRDefault="00E67C6E">
      <w:pPr>
        <w:spacing w:after="0" w:line="267" w:lineRule="auto"/>
        <w:ind w:left="905" w:right="313" w:hanging="10"/>
        <w:jc w:val="right"/>
      </w:pPr>
      <w:r>
        <w:rPr>
          <w:i/>
        </w:rPr>
        <w:t>Ургенческий филиал Ташкентского Университета Информа</w:t>
      </w:r>
      <w:r>
        <w:rPr>
          <w:i/>
        </w:rPr>
        <w:t xml:space="preserve">ционных </w:t>
      </w:r>
    </w:p>
    <w:p w:rsidR="002C0F56" w:rsidRDefault="00E67C6E">
      <w:pPr>
        <w:spacing w:after="0" w:line="267" w:lineRule="auto"/>
        <w:ind w:left="905" w:right="391" w:hanging="10"/>
        <w:jc w:val="right"/>
      </w:pPr>
      <w:r>
        <w:rPr>
          <w:i/>
        </w:rPr>
        <w:t xml:space="preserve">Технологий  </w:t>
      </w:r>
    </w:p>
    <w:p w:rsidR="002C0F56" w:rsidRDefault="00E67C6E">
      <w:pPr>
        <w:spacing w:after="0" w:line="259" w:lineRule="auto"/>
        <w:ind w:left="1558" w:firstLine="0"/>
        <w:jc w:val="left"/>
      </w:pPr>
      <w:r>
        <w:rPr>
          <w:i/>
        </w:rPr>
        <w:t xml:space="preserve"> </w:t>
      </w:r>
    </w:p>
    <w:p w:rsidR="002C0F56" w:rsidRDefault="00E67C6E">
      <w:pPr>
        <w:pStyle w:val="1"/>
        <w:ind w:left="700" w:right="5"/>
      </w:pPr>
      <w:r>
        <w:t xml:space="preserve">СОСТОЯНИЕ ЗДОРОВЬЯ НАСЕЛЕНИЯ И ФАКТОРЫ ОКРУЖАЮЩЕЙ СРЕДЫ </w:t>
      </w:r>
    </w:p>
    <w:p w:rsidR="002C0F56" w:rsidRDefault="00E67C6E">
      <w:pPr>
        <w:spacing w:after="25" w:line="259" w:lineRule="auto"/>
        <w:ind w:left="1558" w:firstLine="0"/>
        <w:jc w:val="left"/>
      </w:pPr>
      <w:r>
        <w:rPr>
          <w:b/>
        </w:rPr>
        <w:t xml:space="preserve"> </w:t>
      </w:r>
    </w:p>
    <w:p w:rsidR="002C0F56" w:rsidRDefault="00E67C6E">
      <w:pPr>
        <w:ind w:left="994" w:right="302"/>
      </w:pPr>
      <w:r>
        <w:t xml:space="preserve">Статья посвящена вопросам влияния антропогенных факторов на состояние окружающей среды. Воздействие изменений среды на состояние здоровья населения.  </w:t>
      </w:r>
    </w:p>
    <w:p w:rsidR="002C0F56" w:rsidRDefault="00E67C6E">
      <w:pPr>
        <w:ind w:left="994" w:right="302"/>
      </w:pPr>
      <w:r>
        <w:t xml:space="preserve">Article is devoted to </w:t>
      </w:r>
      <w:r>
        <w:t xml:space="preserve">the influence of anthropogenic factors on the environment. The impact of environmental changes on health. </w:t>
      </w:r>
    </w:p>
    <w:p w:rsidR="002C0F56" w:rsidRDefault="00E67C6E">
      <w:pPr>
        <w:ind w:left="994" w:right="302"/>
      </w:pPr>
      <w:r>
        <w:t xml:space="preserve">Ключевые слова: антропогенные факторы, окружающая среда, здоровье, прогресс, наука, модернизация. </w:t>
      </w:r>
    </w:p>
    <w:p w:rsidR="002C0F56" w:rsidRDefault="00E67C6E">
      <w:pPr>
        <w:spacing w:after="0"/>
        <w:ind w:left="994" w:right="302"/>
      </w:pPr>
      <w:r>
        <w:t>Научно-</w:t>
      </w:r>
      <w:r>
        <w:t xml:space="preserve">технический и социальный прогресс повысил спрос и  удовлетворение растущих потребностей людей в веществах, обеспечивающих комфортность жизни, но одновременно создал глобальные проблемы, в том числе и экологические. Последние вызваны не только загрязнением </w:t>
      </w:r>
      <w:r>
        <w:t xml:space="preserve">окружающей природной среды, но и низкой химической и экологической культурой населения. Чтобы выжить, человечество в начале 3-го тысячелетия вынуждено искать достойный ответ на «экологический вызов» цивилизации ХХ века. </w:t>
      </w:r>
    </w:p>
    <w:p w:rsidR="002C0F56" w:rsidRDefault="00E67C6E">
      <w:pPr>
        <w:spacing w:after="13"/>
        <w:ind w:left="994" w:right="302"/>
      </w:pPr>
      <w:r>
        <w:t xml:space="preserve">Большинство промышленных городов и </w:t>
      </w:r>
      <w:r>
        <w:t>населенных пунктов расположено в зонах, характеризующихся низкой рассеивающей способностью атмосферы, особенно для низких и холодных выбросов. А состояние окружающей природной среды в промышленно развитых регионах и городах Республики Узбекистан характериз</w:t>
      </w:r>
      <w:r>
        <w:t>уется высоким техногенным загрязнением, иногда превышающим допустимые гигиенические нормы. Наблюдаемое нарастающее техногенное воздействие на природу и человека, объективно установленная «угроза» роста заболеваемости населения, в первую очередь индустриаль</w:t>
      </w:r>
      <w:r>
        <w:t xml:space="preserve">но развитых городов, обусловливает необходимость оценки взаимосвязи комплекса факторов окружающей среды и здоровья человека в региональном аспекте </w:t>
      </w:r>
    </w:p>
    <w:p w:rsidR="002C0F56" w:rsidRDefault="00E67C6E">
      <w:pPr>
        <w:tabs>
          <w:tab w:val="center" w:pos="2073"/>
          <w:tab w:val="center" w:pos="3976"/>
          <w:tab w:val="center" w:pos="5993"/>
          <w:tab w:val="center" w:pos="7833"/>
          <w:tab w:val="center" w:pos="9833"/>
        </w:tabs>
        <w:spacing w:after="11" w:line="270" w:lineRule="auto"/>
        <w:ind w:left="0" w:firstLine="0"/>
        <w:jc w:val="left"/>
      </w:pPr>
      <w:r>
        <w:rPr>
          <w:rFonts w:ascii="Calibri" w:eastAsia="Calibri" w:hAnsi="Calibri" w:cs="Calibri"/>
          <w:sz w:val="22"/>
        </w:rPr>
        <w:tab/>
      </w:r>
      <w:r>
        <w:t xml:space="preserve">Высокая </w:t>
      </w:r>
      <w:r>
        <w:tab/>
        <w:t xml:space="preserve">интенсивность </w:t>
      </w:r>
      <w:r>
        <w:tab/>
        <w:t xml:space="preserve">солнечной </w:t>
      </w:r>
      <w:r>
        <w:tab/>
        <w:t xml:space="preserve">«радиации» </w:t>
      </w:r>
      <w:r>
        <w:tab/>
        <w:t xml:space="preserve">способствует </w:t>
      </w:r>
    </w:p>
    <w:p w:rsidR="002C0F56" w:rsidRDefault="00E67C6E">
      <w:pPr>
        <w:spacing w:after="2"/>
        <w:ind w:left="994" w:right="302" w:firstLine="0"/>
      </w:pPr>
      <w:r>
        <w:t>возникновению в загрязненной атмосфере (индуст</w:t>
      </w:r>
      <w:r>
        <w:t xml:space="preserve">риально развитых городов)  фотохимических реакций, в результате которых образуются различные вещества, в частности озон, часто более токсичные, чем первичные, поступающие непосредственно от источников загрязнения. </w:t>
      </w:r>
    </w:p>
    <w:p w:rsidR="002C0F56" w:rsidRDefault="00E67C6E">
      <w:pPr>
        <w:spacing w:after="0"/>
        <w:ind w:left="994" w:right="302"/>
      </w:pPr>
      <w:r>
        <w:lastRenderedPageBreak/>
        <w:t>Возможность устранение явных и потенциаль</w:t>
      </w:r>
      <w:r>
        <w:t>ных угроз здоровью человека, связанных с воздействием различных неблагоприятных факторов среды обитания, зависит от учета конкретных эколого-гигиенических особенностей территорий.  Объективное установление связи между воздействием факторов окружающей среды</w:t>
      </w:r>
      <w:r>
        <w:t xml:space="preserve"> и состоянием здоровья населения находится в числе наиболее актуальных и сложных проблем. Главными аспектами данной проблемы являются расшифровка этиологической обусловленности заболеваний человека, выявление факторов риска, нарушений состояния здоровья у </w:t>
      </w:r>
      <w:r>
        <w:t xml:space="preserve">отдельного индивидуума, определенных групп лиц и населения в целом.  </w:t>
      </w:r>
    </w:p>
    <w:p w:rsidR="002C0F56" w:rsidRDefault="00E67C6E">
      <w:pPr>
        <w:ind w:left="994" w:right="302"/>
      </w:pPr>
      <w:r>
        <w:t xml:space="preserve">Одним из основных источников загрязнения нашей атмосферы являются производственные предприятия, заводы и фабрики энергетики (27 % всех выбросов), газовой (24 %), металлургической (13 %) </w:t>
      </w:r>
      <w:r>
        <w:t xml:space="preserve">и химической (9 %) промышленности, предприятия по производству строительных материалов (11 %). </w:t>
      </w:r>
    </w:p>
    <w:p w:rsidR="002C0F56" w:rsidRDefault="00E67C6E">
      <w:pPr>
        <w:ind w:left="994" w:right="302"/>
      </w:pPr>
      <w:r>
        <w:t>В большинстве городов республики содержание пыли выше допустимых нормативов в среднем в 2 раза, что связано как с выбросами предприятий, так и песчаной почвой и</w:t>
      </w:r>
      <w:r>
        <w:t xml:space="preserve"> пыльными бурями (Хорезмская область, Каракалпакия). </w:t>
      </w:r>
    </w:p>
    <w:p w:rsidR="002C0F56" w:rsidRDefault="00E67C6E">
      <w:pPr>
        <w:spacing w:after="10"/>
        <w:ind w:left="994" w:right="302"/>
      </w:pPr>
      <w:r>
        <w:t>Особо следует отметить - загрязнение атмосферы в Сарыассийском и Денаусском  районах Сурхандарьинской области, где содержание в воздухе фтористого водорода, фторидов, соединений серы, азоты, углерода оп</w:t>
      </w:r>
      <w:r>
        <w:t xml:space="preserve">ределяют выбросы Таджикского алюминиевого завода, который использует сырье с повышенным содержанием фтора.  </w:t>
      </w:r>
    </w:p>
    <w:p w:rsidR="002C0F56" w:rsidRDefault="00E67C6E">
      <w:pPr>
        <w:spacing w:after="10"/>
        <w:ind w:left="994" w:right="302"/>
      </w:pPr>
      <w:r>
        <w:t>В результате за последние годы в Сарыассийском районе погибли ореховые рощи, сады и виноградники, с территории кишлачного совета переехали жить в д</w:t>
      </w:r>
      <w:r>
        <w:t>ругие районы 75 семей — более трехсот человек. Повышенное содержание фтора в воздухе (до 5 ПДК) сказывается на здоровье населения, урожае хлопчатника (несмотря на санитарно-защитную зону завода в 2,5 км). Сложившаяся ситуация вынудила сократить заводские м</w:t>
      </w:r>
      <w:r>
        <w:t xml:space="preserve">ощности на </w:t>
      </w:r>
    </w:p>
    <w:p w:rsidR="002C0F56" w:rsidRDefault="00E67C6E">
      <w:pPr>
        <w:spacing w:after="12"/>
        <w:ind w:left="994" w:right="302" w:firstLine="0"/>
      </w:pPr>
      <w:r>
        <w:t xml:space="preserve">1/4. </w:t>
      </w:r>
    </w:p>
    <w:p w:rsidR="002C0F56" w:rsidRDefault="00E67C6E">
      <w:pPr>
        <w:spacing w:after="10"/>
        <w:ind w:left="994" w:right="302"/>
      </w:pPr>
      <w:r>
        <w:t>Выхлопы от автотранспорта в значительной мере обусловливают загрязнение почвы и поверхностных вод городских агломераций. В пределах города, а также вблизи автодорог сельской местности содержание загрязняющих веществ в почве значительно вы</w:t>
      </w:r>
      <w:r>
        <w:t xml:space="preserve">ше: в первую очередь— высокие концентрации тяжелых металлов, особенно свинца, сажи, нефтепродуктов, а также увеличение кислотности за счет сорбции влагой кислых газов— оксидов азота и серы.  </w:t>
      </w:r>
    </w:p>
    <w:p w:rsidR="002C0F56" w:rsidRDefault="00E67C6E">
      <w:pPr>
        <w:spacing w:after="0"/>
        <w:ind w:left="994" w:right="302"/>
      </w:pPr>
      <w:r>
        <w:t>В сочетании с промышленными источниками загрязнения атмосферы вы</w:t>
      </w:r>
      <w:r>
        <w:t>бросы автотранспорта вносят вклад в появление таких неблагоприятных явлений как фотохимический туман(смог), кислотные дожди и способствуют даже изменениям планетарного масштаба —  парниковому эффекту, нарушению озонового слоя Земли и др. При рассмотрении з</w:t>
      </w:r>
      <w:r>
        <w:t xml:space="preserve">доровья населения как </w:t>
      </w:r>
      <w:r>
        <w:lastRenderedPageBreak/>
        <w:t>многофакторного показателя, в котором социальные и средовые факторы действуют не изолированно, а в сочетании с биологическими (наследственными) факторами, возникает необходимость поиска той их части, на которые возможно влиять деятель</w:t>
      </w:r>
      <w:r>
        <w:t xml:space="preserve">ностью человека.  </w:t>
      </w:r>
    </w:p>
    <w:p w:rsidR="002C0F56" w:rsidRDefault="00E67C6E">
      <w:pPr>
        <w:spacing w:after="10"/>
        <w:ind w:left="994" w:right="302"/>
      </w:pPr>
      <w:r>
        <w:t>Вопрос количественной оценки воздействия факторов окружающей среды на состояние здоровья населения является одним из ключевых в проблеме «среда— здоровье», поскольку знание роли и величины вклада тех или иных факторов в развитие неблагоп</w:t>
      </w:r>
      <w:r>
        <w:t xml:space="preserve">риятных эффектов определяет характер и объём профилактических и оздоровительных мероприятий. </w:t>
      </w:r>
    </w:p>
    <w:p w:rsidR="002C0F56" w:rsidRDefault="00E67C6E">
      <w:pPr>
        <w:spacing w:after="0"/>
        <w:ind w:left="994" w:right="302"/>
      </w:pPr>
      <w:r>
        <w:t>Между тем хотелось бы остановиться на вопросах питьевой воды в Республике. Из-за чрезмерного загрязнения вод и их нерационального использования в республике сложи</w:t>
      </w:r>
      <w:r>
        <w:t>лась чрезвычайная ситуация со снабжением и качеством питьевой воды. В результате нитратного загрязнения источников питьевого водоснабжения в республике высокий процент заболеваний печени, почек, нервной системы. Наиболее критическое положение со снабжением</w:t>
      </w:r>
      <w:r>
        <w:t xml:space="preserve"> питьевой водой и с ростом заболеваний, вызванных ее употреблением приходится на Навоийскую, Хорезмскую, Сурхандарьинскую области и на Каракалпакстан. </w:t>
      </w:r>
    </w:p>
    <w:p w:rsidR="002C0F56" w:rsidRDefault="00E67C6E">
      <w:pPr>
        <w:spacing w:after="6"/>
        <w:ind w:left="994" w:right="302"/>
      </w:pPr>
      <w:r>
        <w:t>Фактически в республике эксплуатируется 197 коммунальных водопроводов, из которых 111 - городских. Но из</w:t>
      </w:r>
      <w:r>
        <w:t>-за плохого технического состояния и недостаточной мощности поставка воды населению сильно затруднена. Часть населения вынуждена использовать воду из местных водоемов и колодцев без какой-либо очистки. В Бухарскую, Навоийскую и Самаркандскую области питьев</w:t>
      </w:r>
      <w:r>
        <w:t xml:space="preserve">ая вода поставляется из бассейна реки Зеравшан, в который с 1943 годы сбрасывали ртуть, сурьму и другие отходы производства.  </w:t>
      </w:r>
    </w:p>
    <w:p w:rsidR="002C0F56" w:rsidRDefault="00E67C6E">
      <w:pPr>
        <w:spacing w:after="0"/>
        <w:ind w:left="994" w:right="302"/>
      </w:pPr>
      <w:r>
        <w:t>Кризис водного хозяйства усиливает региональную и национальную напряженность в Аральском регионе. Постоянно возникают проблемы, связанные с количеством и качеством водных ресурсов, поступающих из государств и областей, расположенных в верхних частях водных</w:t>
      </w:r>
      <w:r>
        <w:t xml:space="preserve"> бассейнов, в регионы, расположенные ниже по течению. </w:t>
      </w:r>
    </w:p>
    <w:p w:rsidR="002C0F56" w:rsidRDefault="00E67C6E">
      <w:pPr>
        <w:ind w:left="994" w:right="302"/>
      </w:pPr>
      <w:r>
        <w:t xml:space="preserve">На сегодняшний день нет реальной программы по выходу Узбекистана из водного кризиса. Тем не менее быстрый рост населения потребует увеличения потребления воды за пять лет более чем на 20%. </w:t>
      </w:r>
    </w:p>
    <w:p w:rsidR="002C0F56" w:rsidRDefault="00E67C6E">
      <w:pPr>
        <w:spacing w:after="12"/>
        <w:ind w:left="1558" w:right="302" w:firstLine="0"/>
      </w:pPr>
      <w:r>
        <w:t xml:space="preserve">В качестве </w:t>
      </w:r>
      <w:r>
        <w:t xml:space="preserve">вывода хотелось бы изложить нижеперечисленное мнение:  </w:t>
      </w:r>
    </w:p>
    <w:p w:rsidR="002C0F56" w:rsidRDefault="00E67C6E">
      <w:pPr>
        <w:ind w:left="994" w:right="302"/>
      </w:pPr>
      <w:r>
        <w:t xml:space="preserve">−  одним из факторов загрязнения окружающей среды являются аэрогенные выбросы и атмосферные осадки, содержащие токсиканты;  </w:t>
      </w:r>
    </w:p>
    <w:p w:rsidR="002C0F56" w:rsidRDefault="00E67C6E">
      <w:pPr>
        <w:spacing w:after="10"/>
        <w:ind w:left="994" w:right="302"/>
      </w:pPr>
      <w:r>
        <w:t xml:space="preserve">−  основным источником загрязнения атмосферы остаются промышленные предприятия, а автотранспорт как источники загрязнения атмосферного воздуха, находятся на втором месте;  </w:t>
      </w:r>
    </w:p>
    <w:p w:rsidR="002C0F56" w:rsidRDefault="00E67C6E">
      <w:pPr>
        <w:ind w:left="994" w:right="302"/>
      </w:pPr>
      <w:r>
        <w:lastRenderedPageBreak/>
        <w:t xml:space="preserve">−  в ряде районов вследствие неравномерной концентрации промышленного потенциала и </w:t>
      </w:r>
      <w:r>
        <w:t xml:space="preserve">автотранспортной нагрузки ситуация является неблагополучной;  </w:t>
      </w:r>
    </w:p>
    <w:p w:rsidR="002C0F56" w:rsidRDefault="00E67C6E">
      <w:pPr>
        <w:ind w:left="994" w:right="302"/>
      </w:pPr>
      <w:r>
        <w:t xml:space="preserve">−  основными загрязнителями почвы являются тяжелые металлы— свинец, кадмий, медь, марганец (к приоритетным может быть отнесена медь) — кратность превышения норматива регистрируется на уровне в </w:t>
      </w:r>
      <w:r>
        <w:t xml:space="preserve">1,7 ПДК;  </w:t>
      </w:r>
    </w:p>
    <w:p w:rsidR="002C0F56" w:rsidRDefault="00E67C6E">
      <w:pPr>
        <w:spacing w:after="24" w:line="259" w:lineRule="auto"/>
        <w:ind w:left="1558" w:firstLine="0"/>
        <w:jc w:val="left"/>
      </w:pPr>
      <w:r>
        <w:rPr>
          <w:b/>
        </w:rP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15"/>
        </w:numPr>
        <w:ind w:right="302"/>
      </w:pPr>
      <w:r>
        <w:t xml:space="preserve">П.С.Султонов – Основы Экологии и защиты окружающей среды. Ташкент. 2007г. </w:t>
      </w:r>
    </w:p>
    <w:p w:rsidR="002C0F56" w:rsidRDefault="00E67C6E">
      <w:pPr>
        <w:numPr>
          <w:ilvl w:val="0"/>
          <w:numId w:val="215"/>
        </w:numPr>
        <w:ind w:right="302"/>
      </w:pPr>
      <w:r>
        <w:t xml:space="preserve">И.Н.Пономарева, В.П.Соломин, О.А.Корнилива – Общая экология. РОСТОВ-на-ДОНУ. 2009г. </w:t>
      </w:r>
    </w:p>
    <w:p w:rsidR="002C0F56" w:rsidRDefault="00E67C6E">
      <w:pPr>
        <w:numPr>
          <w:ilvl w:val="0"/>
          <w:numId w:val="215"/>
        </w:numPr>
        <w:spacing w:after="12"/>
        <w:ind w:right="302"/>
      </w:pPr>
      <w:hyperlink r:id="rId1247">
        <w:r>
          <w:t>http:/</w:t>
        </w:r>
        <w:r>
          <w:t>/press</w:t>
        </w:r>
      </w:hyperlink>
      <w:hyperlink r:id="rId1248">
        <w:r>
          <w:t>-</w:t>
        </w:r>
      </w:hyperlink>
      <w:hyperlink r:id="rId1249">
        <w:r>
          <w:t>service.uz/ru/news/5226/</w:t>
        </w:r>
      </w:hyperlink>
      <w:hyperlink r:id="rId1250">
        <w:r>
          <w:t xml:space="preserve"> </w:t>
        </w:r>
      </w:hyperlink>
      <w:r>
        <w:t xml:space="preserve">- Доклад Президента Республики </w:t>
      </w:r>
    </w:p>
    <w:p w:rsidR="002C0F56" w:rsidRDefault="00E67C6E">
      <w:pPr>
        <w:ind w:left="994" w:right="302" w:firstLine="0"/>
      </w:pPr>
      <w:r>
        <w:t>Узбекистан И.А.Каримо</w:t>
      </w:r>
      <w:r>
        <w:t xml:space="preserve">ва на расширенном заседании Кабинета Министров, посвященном итогам социально-экономического развития страны в 2015 году и важнейшим приоритетным направлениям экономической программы на 2016 </w:t>
      </w:r>
    </w:p>
    <w:p w:rsidR="002C0F56" w:rsidRDefault="00E67C6E">
      <w:pPr>
        <w:ind w:left="994" w:right="302" w:firstLine="0"/>
      </w:pPr>
      <w:r>
        <w:t xml:space="preserve">год </w:t>
      </w:r>
    </w:p>
    <w:p w:rsidR="002C0F56" w:rsidRDefault="00E67C6E">
      <w:pPr>
        <w:numPr>
          <w:ilvl w:val="0"/>
          <w:numId w:val="215"/>
        </w:numPr>
        <w:spacing w:after="12"/>
        <w:ind w:right="302"/>
      </w:pPr>
      <w:r>
        <w:t>http://econews.uz</w:t>
      </w:r>
      <w:r>
        <w:rPr>
          <w:b/>
        </w:rPr>
        <w:t xml:space="preserve"> –</w:t>
      </w:r>
      <w:r>
        <w:t xml:space="preserve"> Экологическая издательская компания </w:t>
      </w:r>
    </w:p>
    <w:p w:rsidR="002C0F56" w:rsidRDefault="00E67C6E">
      <w:pPr>
        <w:spacing w:after="131" w:line="259" w:lineRule="auto"/>
        <w:ind w:left="1702" w:firstLine="0"/>
        <w:jc w:val="left"/>
      </w:pPr>
      <w:r>
        <w:t xml:space="preserve"> </w:t>
      </w:r>
    </w:p>
    <w:p w:rsidR="002C0F56" w:rsidRDefault="00E67C6E">
      <w:pPr>
        <w:spacing w:after="189" w:line="259" w:lineRule="auto"/>
        <w:ind w:left="1702" w:firstLine="0"/>
        <w:jc w:val="left"/>
      </w:pPr>
      <w:r>
        <w:rPr>
          <w:b/>
        </w:rPr>
        <w:t xml:space="preserve"> </w:t>
      </w:r>
    </w:p>
    <w:p w:rsidR="002C0F56" w:rsidRDefault="00E67C6E">
      <w:pPr>
        <w:spacing w:after="0" w:line="267" w:lineRule="auto"/>
        <w:ind w:left="2328" w:right="305" w:firstLine="221"/>
        <w:jc w:val="right"/>
      </w:pPr>
      <w:r>
        <w:rPr>
          <w:b/>
        </w:rPr>
        <w:t xml:space="preserve">Рыбалкина А. А. </w:t>
      </w:r>
      <w:r>
        <w:t xml:space="preserve">Научный руководитель: Тиндова М.Г., к.э.н., доц. </w:t>
      </w:r>
      <w:r>
        <w:rPr>
          <w:i/>
        </w:rPr>
        <w:t xml:space="preserve">Саратовский социально-экономический институт (филиал) РЭУ им. </w:t>
      </w:r>
    </w:p>
    <w:p w:rsidR="002C0F56" w:rsidRDefault="00E67C6E">
      <w:pPr>
        <w:spacing w:after="0" w:line="267" w:lineRule="auto"/>
        <w:ind w:left="905" w:right="308" w:hanging="10"/>
        <w:jc w:val="right"/>
      </w:pPr>
      <w:r>
        <w:rPr>
          <w:i/>
        </w:rPr>
        <w:t xml:space="preserve">Г.В.Плеханова </w:t>
      </w:r>
    </w:p>
    <w:p w:rsidR="002C0F56" w:rsidRDefault="00E67C6E">
      <w:pPr>
        <w:spacing w:after="0" w:line="259" w:lineRule="auto"/>
        <w:ind w:left="1558" w:firstLine="0"/>
        <w:jc w:val="left"/>
      </w:pPr>
      <w:r>
        <w:t xml:space="preserve"> </w:t>
      </w:r>
    </w:p>
    <w:p w:rsidR="002C0F56" w:rsidRDefault="00E67C6E">
      <w:pPr>
        <w:pStyle w:val="1"/>
        <w:ind w:left="700" w:right="157"/>
      </w:pPr>
      <w:r>
        <w:t xml:space="preserve">МАТЕМАТИЧЕСКИЕ МОДЕЛИ ОЦЕНКИ СТОИМОСТИ НА </w:t>
      </w:r>
    </w:p>
    <w:p w:rsidR="002C0F56" w:rsidRDefault="00E67C6E">
      <w:pPr>
        <w:pStyle w:val="1"/>
        <w:ind w:left="700" w:right="157"/>
      </w:pPr>
      <w:r>
        <w:t xml:space="preserve">РЕГИОНАЛЬНЫХ РЫНКАХ БЫТОВОЙ ТЕХНИКИ </w:t>
      </w:r>
    </w:p>
    <w:p w:rsidR="002C0F56" w:rsidRDefault="00E67C6E">
      <w:pPr>
        <w:spacing w:after="0" w:line="259" w:lineRule="auto"/>
        <w:ind w:left="1558" w:firstLine="0"/>
        <w:jc w:val="left"/>
      </w:pPr>
      <w:r>
        <w:t xml:space="preserve"> </w:t>
      </w:r>
    </w:p>
    <w:p w:rsidR="002C0F56" w:rsidRDefault="00E67C6E">
      <w:pPr>
        <w:spacing w:after="0"/>
        <w:ind w:left="994" w:right="302"/>
      </w:pPr>
      <w:r>
        <w:t>Российский рынок бытовой тех</w:t>
      </w:r>
      <w:r>
        <w:t>ники по темпам роста является одним из лидеров среди товаров народного потребления. По обороту розничных продаж пылесосы являются лидирующей категорией, рынок которых в 2015 году в РФ составил приблизительно 52,63 млн штук с ежегодным приростом в 3,2 – 4,7</w:t>
      </w:r>
      <w:r>
        <w:t>% с 2010 года [1]. В силу различия характеристик, влияющих на цену горизонтальных и вертикальных пылесосов, в качестве объектов исследования выберем горизонтальные. А поскольку, как в дальнейшем покажет исследование, одним из основных факторов, влияющих на</w:t>
      </w:r>
      <w:r>
        <w:t xml:space="preserve"> стоимость, является страна-производитель, причём большую долю занимают пылесосы, произведенные в Китае, то субъектами исследования выбраны потребительские рынки Саратова и Хабаровска. Таким образом, целью работы является анализ факторов, влияющих </w:t>
      </w:r>
      <w:r>
        <w:lastRenderedPageBreak/>
        <w:t>на стоим</w:t>
      </w:r>
      <w:r>
        <w:t xml:space="preserve">ость пылесосов горизонтального исполнения на рынках Саратова и Хабаровска, а также построение модели оценки их стоимости.  </w:t>
      </w:r>
    </w:p>
    <w:p w:rsidR="002C0F56" w:rsidRDefault="00E67C6E">
      <w:pPr>
        <w:spacing w:after="8"/>
        <w:ind w:left="994" w:right="302"/>
      </w:pPr>
      <w:r>
        <w:t>Для решения поставленной задачи на основе анализа рынков продажи пылесосов были составлены базы данных по новым пылесосам, которые с</w:t>
      </w:r>
      <w:r>
        <w:t xml:space="preserve">оставили для г. Саратов 60 и для г. Хабаровск – 79 записей соответственно. В исследовании 85% базы данных будет использоваться для моделирования и 15% – для оценки погрешности. </w:t>
      </w:r>
    </w:p>
    <w:p w:rsidR="002C0F56" w:rsidRDefault="00E67C6E">
      <w:pPr>
        <w:ind w:left="994" w:right="302"/>
      </w:pPr>
      <w:r>
        <w:t>В качестве переменных модели были рассмотрены следующие показатели: y – стоимо</w:t>
      </w:r>
      <w:r>
        <w:t>сть пылесоса (руб.); х</w:t>
      </w:r>
      <w:r>
        <w:rPr>
          <w:vertAlign w:val="subscript"/>
        </w:rPr>
        <w:t xml:space="preserve">1 </w:t>
      </w:r>
      <w:r>
        <w:t>– бренд</w:t>
      </w:r>
      <w:r>
        <w:rPr>
          <w:vertAlign w:val="subscript"/>
        </w:rPr>
        <w:t>;</w:t>
      </w:r>
      <w:r>
        <w:t xml:space="preserve"> х</w:t>
      </w:r>
      <w:r>
        <w:rPr>
          <w:vertAlign w:val="subscript"/>
        </w:rPr>
        <w:t xml:space="preserve">2 </w:t>
      </w:r>
      <w:r>
        <w:t>– страна-производитель</w:t>
      </w:r>
      <w:r>
        <w:rPr>
          <w:vertAlign w:val="subscript"/>
        </w:rPr>
        <w:t>;</w:t>
      </w:r>
      <w:r>
        <w:t xml:space="preserve"> х</w:t>
      </w:r>
      <w:r>
        <w:rPr>
          <w:vertAlign w:val="subscript"/>
        </w:rPr>
        <w:t xml:space="preserve">3 </w:t>
      </w:r>
      <w:r>
        <w:t>– срок гарантии (мес.)</w:t>
      </w:r>
      <w:r>
        <w:rPr>
          <w:vertAlign w:val="subscript"/>
        </w:rPr>
        <w:t>;</w:t>
      </w:r>
      <w:r>
        <w:t xml:space="preserve"> х</w:t>
      </w:r>
      <w:r>
        <w:rPr>
          <w:vertAlign w:val="subscript"/>
        </w:rPr>
        <w:t xml:space="preserve">4 </w:t>
      </w:r>
      <w:r>
        <w:t>– потребляемая мощность (Вт)</w:t>
      </w:r>
      <w:r>
        <w:rPr>
          <w:vertAlign w:val="subscript"/>
        </w:rPr>
        <w:t>;</w:t>
      </w:r>
      <w:r>
        <w:t xml:space="preserve"> х</w:t>
      </w:r>
      <w:r>
        <w:rPr>
          <w:vertAlign w:val="subscript"/>
        </w:rPr>
        <w:t xml:space="preserve">5 </w:t>
      </w:r>
      <w:r>
        <w:t>– мощность всасывания (Вт)</w:t>
      </w:r>
      <w:r>
        <w:rPr>
          <w:vertAlign w:val="subscript"/>
        </w:rPr>
        <w:t>;</w:t>
      </w:r>
      <w:r>
        <w:t xml:space="preserve"> х</w:t>
      </w:r>
      <w:r>
        <w:rPr>
          <w:vertAlign w:val="subscript"/>
        </w:rPr>
        <w:t xml:space="preserve">6 </w:t>
      </w:r>
      <w:r>
        <w:t>– уровень шума (дБ)</w:t>
      </w:r>
      <w:r>
        <w:rPr>
          <w:vertAlign w:val="subscript"/>
        </w:rPr>
        <w:t>;</w:t>
      </w:r>
      <w:r>
        <w:t xml:space="preserve"> х</w:t>
      </w:r>
      <w:r>
        <w:rPr>
          <w:vertAlign w:val="subscript"/>
        </w:rPr>
        <w:t xml:space="preserve">7 </w:t>
      </w:r>
      <w:r>
        <w:t>– емкость пылесборника (л)</w:t>
      </w:r>
      <w:r>
        <w:rPr>
          <w:vertAlign w:val="subscript"/>
        </w:rPr>
        <w:t>;</w:t>
      </w:r>
      <w:r>
        <w:t xml:space="preserve"> х</w:t>
      </w:r>
      <w:r>
        <w:rPr>
          <w:vertAlign w:val="subscript"/>
        </w:rPr>
        <w:t xml:space="preserve">8 </w:t>
      </w:r>
      <w:r>
        <w:t>– вес (кг)</w:t>
      </w:r>
      <w:r>
        <w:rPr>
          <w:vertAlign w:val="subscript"/>
        </w:rPr>
        <w:t xml:space="preserve">; </w:t>
      </w:r>
      <w:r>
        <w:t>х</w:t>
      </w:r>
      <w:r>
        <w:rPr>
          <w:vertAlign w:val="subscript"/>
        </w:rPr>
        <w:t xml:space="preserve">9 </w:t>
      </w:r>
      <w:r>
        <w:t>– количество насадок (шт.)</w:t>
      </w:r>
      <w:r>
        <w:rPr>
          <w:vertAlign w:val="subscript"/>
        </w:rPr>
        <w:t>;</w:t>
      </w:r>
      <w:r>
        <w:t xml:space="preserve"> х</w:t>
      </w:r>
      <w:r>
        <w:rPr>
          <w:vertAlign w:val="subscript"/>
        </w:rPr>
        <w:t xml:space="preserve">10 </w:t>
      </w:r>
      <w:r>
        <w:t>– материал трубок (0 – пластик, 1 – металл, 2 – сталь)</w:t>
      </w:r>
      <w:r>
        <w:rPr>
          <w:vertAlign w:val="subscript"/>
        </w:rPr>
        <w:t>;</w:t>
      </w:r>
      <w:r>
        <w:t xml:space="preserve"> х</w:t>
      </w:r>
      <w:r>
        <w:rPr>
          <w:vertAlign w:val="subscript"/>
        </w:rPr>
        <w:t xml:space="preserve">11 </w:t>
      </w:r>
      <w:r>
        <w:t>– радиус действия (м)</w:t>
      </w:r>
      <w:r>
        <w:rPr>
          <w:vertAlign w:val="subscript"/>
        </w:rPr>
        <w:t>;</w:t>
      </w:r>
      <w:r>
        <w:t xml:space="preserve"> х</w:t>
      </w:r>
      <w:r>
        <w:rPr>
          <w:vertAlign w:val="subscript"/>
        </w:rPr>
        <w:t xml:space="preserve">12 </w:t>
      </w:r>
      <w:r>
        <w:t>– тип уборки (0 – сухая, 1 – влажная). Обращаем внимание, что для Хабаровска были выбраны 11 факторов, т.е. исключая х</w:t>
      </w:r>
      <w:r>
        <w:rPr>
          <w:vertAlign w:val="subscript"/>
        </w:rPr>
        <w:t>10</w:t>
      </w:r>
      <w:r>
        <w:t>, ввиду отсутствия информации о характеристике ма</w:t>
      </w:r>
      <w:r>
        <w:t xml:space="preserve">териала трубки на сайте магазинов данного города.  </w:t>
      </w:r>
    </w:p>
    <w:p w:rsidR="002C0F56" w:rsidRDefault="00E67C6E">
      <w:pPr>
        <w:ind w:left="994" w:right="302"/>
      </w:pPr>
      <w:r>
        <w:t>Из корреляционного анализа связи переменных (табл. 1) [2] можно сделать вывод, что переменными, имеющими наибольшее влияние на цены в Саратове, являются радиус действия пылесоса (х</w:t>
      </w:r>
      <w:r>
        <w:rPr>
          <w:vertAlign w:val="subscript"/>
        </w:rPr>
        <w:t>11</w:t>
      </w:r>
      <w:r>
        <w:t>), емкость пылесборник</w:t>
      </w:r>
      <w:r>
        <w:t>а (х</w:t>
      </w:r>
      <w:r>
        <w:rPr>
          <w:vertAlign w:val="subscript"/>
        </w:rPr>
        <w:t>7</w:t>
      </w:r>
      <w:r>
        <w:t>) и вес (х</w:t>
      </w:r>
      <w:r>
        <w:rPr>
          <w:vertAlign w:val="subscript"/>
        </w:rPr>
        <w:t>8</w:t>
      </w:r>
      <w:r>
        <w:t>). Главным фактором, снижающим цену пылесосов, является уровень шума (х</w:t>
      </w:r>
      <w:r>
        <w:rPr>
          <w:vertAlign w:val="subscript"/>
        </w:rPr>
        <w:t>6</w:t>
      </w:r>
      <w:r>
        <w:t xml:space="preserve">). Низкий уровень является конкурентным преимуществом пылесоса, и чем выше параметр, тем ниже его стоимость.  </w:t>
      </w:r>
    </w:p>
    <w:p w:rsidR="002C0F56" w:rsidRDefault="00E67C6E">
      <w:pPr>
        <w:ind w:left="994" w:right="302"/>
      </w:pPr>
      <w:r>
        <w:t xml:space="preserve">Что касается Хабаровска (табл. 1), то наиболее значимыми </w:t>
      </w:r>
      <w:r>
        <w:t>переменными были отмечены мощность всасывания (x</w:t>
      </w:r>
      <w:r>
        <w:rPr>
          <w:vertAlign w:val="subscript"/>
        </w:rPr>
        <w:t>5</w:t>
      </w:r>
      <w:r>
        <w:t>), емкость пылесборника (х</w:t>
      </w:r>
      <w:r>
        <w:rPr>
          <w:vertAlign w:val="subscript"/>
        </w:rPr>
        <w:t>7</w:t>
      </w:r>
      <w:r>
        <w:t>) и количество насадок (х</w:t>
      </w:r>
      <w:r>
        <w:rPr>
          <w:vertAlign w:val="subscript"/>
        </w:rPr>
        <w:t>9</w:t>
      </w:r>
      <w:r>
        <w:t>). Примечательно, что в Хабаровске, как и в Саратове главным фактором, снижающим цену пылесоса остается уровень шума (х</w:t>
      </w:r>
      <w:r>
        <w:rPr>
          <w:vertAlign w:val="subscript"/>
        </w:rPr>
        <w:t>6</w:t>
      </w:r>
      <w:r>
        <w:t xml:space="preserve">). </w:t>
      </w:r>
    </w:p>
    <w:p w:rsidR="002C0F56" w:rsidRDefault="00E67C6E">
      <w:pPr>
        <w:ind w:left="994" w:right="302"/>
      </w:pPr>
      <w:r>
        <w:t xml:space="preserve">Регрессионный анализ позволил построить следующие линейные уравнения оценки стоимости новых пылесосов: </w:t>
      </w:r>
    </w:p>
    <w:p w:rsidR="002C0F56" w:rsidRDefault="00E67C6E">
      <w:pPr>
        <w:numPr>
          <w:ilvl w:val="0"/>
          <w:numId w:val="216"/>
        </w:numPr>
        <w:ind w:right="302" w:hanging="163"/>
      </w:pPr>
      <w:r>
        <w:t xml:space="preserve">для Саратова: </w:t>
      </w:r>
    </w:p>
    <w:p w:rsidR="002C0F56" w:rsidRDefault="00E67C6E">
      <w:pPr>
        <w:ind w:left="994" w:right="302"/>
      </w:pPr>
      <w:r>
        <w:t>ŷ = 35167,84 – 7,89x</w:t>
      </w:r>
      <w:r>
        <w:rPr>
          <w:vertAlign w:val="subscript"/>
        </w:rPr>
        <w:t xml:space="preserve">1 </w:t>
      </w:r>
      <w:r>
        <w:t>– 109,97x</w:t>
      </w:r>
      <w:r>
        <w:rPr>
          <w:vertAlign w:val="subscript"/>
        </w:rPr>
        <w:t xml:space="preserve">2 </w:t>
      </w:r>
      <w:r>
        <w:t>+ 23,63x</w:t>
      </w:r>
      <w:r>
        <w:rPr>
          <w:vertAlign w:val="subscript"/>
        </w:rPr>
        <w:t xml:space="preserve">3 </w:t>
      </w:r>
      <w:r>
        <w:t>+ 0,3x</w:t>
      </w:r>
      <w:r>
        <w:rPr>
          <w:vertAlign w:val="subscript"/>
        </w:rPr>
        <w:t xml:space="preserve">4 </w:t>
      </w:r>
      <w:r>
        <w:t>– 24,28x</w:t>
      </w:r>
      <w:r>
        <w:rPr>
          <w:vertAlign w:val="subscript"/>
        </w:rPr>
        <w:t xml:space="preserve">5 </w:t>
      </w:r>
      <w:r>
        <w:t>– 453,71x</w:t>
      </w:r>
      <w:r>
        <w:rPr>
          <w:vertAlign w:val="subscript"/>
        </w:rPr>
        <w:t xml:space="preserve">6 </w:t>
      </w:r>
      <w:r>
        <w:t>+ 1729,98x</w:t>
      </w:r>
      <w:r>
        <w:rPr>
          <w:vertAlign w:val="subscript"/>
        </w:rPr>
        <w:t xml:space="preserve">7  </w:t>
      </w:r>
      <w:r>
        <w:t>+ 1128,45x</w:t>
      </w:r>
      <w:r>
        <w:rPr>
          <w:vertAlign w:val="subscript"/>
        </w:rPr>
        <w:t xml:space="preserve">8 </w:t>
      </w:r>
      <w:r>
        <w:t>+142,45x</w:t>
      </w:r>
      <w:r>
        <w:rPr>
          <w:vertAlign w:val="subscript"/>
        </w:rPr>
        <w:t xml:space="preserve">9 </w:t>
      </w:r>
      <w:r>
        <w:t>– 127,86x</w:t>
      </w:r>
      <w:r>
        <w:rPr>
          <w:vertAlign w:val="subscript"/>
        </w:rPr>
        <w:t xml:space="preserve">10 </w:t>
      </w:r>
      <w:r>
        <w:t>+ 683,62x</w:t>
      </w:r>
      <w:r>
        <w:rPr>
          <w:vertAlign w:val="subscript"/>
        </w:rPr>
        <w:t xml:space="preserve">11 </w:t>
      </w:r>
      <w:r>
        <w:t>+ 570,</w:t>
      </w:r>
      <w:r>
        <w:t>37x</w:t>
      </w:r>
      <w:r>
        <w:rPr>
          <w:vertAlign w:val="subscript"/>
        </w:rPr>
        <w:t xml:space="preserve">12 </w:t>
      </w:r>
      <w:r>
        <w:t xml:space="preserve">+ е </w:t>
      </w:r>
    </w:p>
    <w:p w:rsidR="002C0F56" w:rsidRDefault="00E67C6E">
      <w:pPr>
        <w:numPr>
          <w:ilvl w:val="0"/>
          <w:numId w:val="216"/>
        </w:numPr>
        <w:spacing w:after="12"/>
        <w:ind w:right="302" w:hanging="163"/>
      </w:pPr>
      <w:r>
        <w:t xml:space="preserve">для Хабаровска: </w:t>
      </w:r>
    </w:p>
    <w:p w:rsidR="002C0F56" w:rsidRDefault="00E67C6E">
      <w:pPr>
        <w:ind w:left="994" w:right="302"/>
      </w:pPr>
      <w:r>
        <w:t>ŷ = –13853,5 – 12,3x</w:t>
      </w:r>
      <w:r>
        <w:rPr>
          <w:vertAlign w:val="subscript"/>
        </w:rPr>
        <w:t>2</w:t>
      </w:r>
      <w:r>
        <w:t xml:space="preserve"> + 55,4x</w:t>
      </w:r>
      <w:r>
        <w:rPr>
          <w:vertAlign w:val="subscript"/>
        </w:rPr>
        <w:t>3</w:t>
      </w:r>
      <w:r>
        <w:t xml:space="preserve"> + 40,21x</w:t>
      </w:r>
      <w:r>
        <w:rPr>
          <w:vertAlign w:val="subscript"/>
        </w:rPr>
        <w:t>5</w:t>
      </w:r>
      <w:r>
        <w:t xml:space="preserve"> + 15,08x</w:t>
      </w:r>
      <w:r>
        <w:rPr>
          <w:vertAlign w:val="subscript"/>
        </w:rPr>
        <w:t xml:space="preserve">6 </w:t>
      </w:r>
      <w:r>
        <w:t>+ 67,19x</w:t>
      </w:r>
      <w:r>
        <w:rPr>
          <w:vertAlign w:val="subscript"/>
        </w:rPr>
        <w:t>7</w:t>
      </w:r>
      <w:r>
        <w:t xml:space="preserve"> – 190,32x</w:t>
      </w:r>
      <w:r>
        <w:rPr>
          <w:vertAlign w:val="subscript"/>
        </w:rPr>
        <w:t xml:space="preserve">8 </w:t>
      </w:r>
      <w:r>
        <w:t>+ 2555,68x</w:t>
      </w:r>
      <w:r>
        <w:rPr>
          <w:vertAlign w:val="subscript"/>
        </w:rPr>
        <w:t>9</w:t>
      </w:r>
      <w:r>
        <w:t xml:space="preserve"> + 270,41x</w:t>
      </w:r>
      <w:r>
        <w:rPr>
          <w:vertAlign w:val="subscript"/>
        </w:rPr>
        <w:t>11</w:t>
      </w:r>
      <w:r>
        <w:t>+ 2808,45x</w:t>
      </w:r>
      <w:r>
        <w:rPr>
          <w:vertAlign w:val="subscript"/>
        </w:rPr>
        <w:t>12</w:t>
      </w:r>
      <w:r>
        <w:t>+ е</w:t>
      </w:r>
      <w:r>
        <w:rPr>
          <w:vertAlign w:val="subscript"/>
        </w:rPr>
        <w:t xml:space="preserve"> </w:t>
      </w:r>
    </w:p>
    <w:p w:rsidR="002C0F56" w:rsidRDefault="00E67C6E">
      <w:pPr>
        <w:spacing w:after="5" w:line="271" w:lineRule="auto"/>
        <w:ind w:left="2096" w:right="396" w:hanging="10"/>
        <w:jc w:val="left"/>
      </w:pPr>
      <w:r>
        <w:rPr>
          <w:i/>
          <w:sz w:val="24"/>
        </w:rPr>
        <w:t>Таблица 1</w:t>
      </w:r>
      <w:r>
        <w:rPr>
          <w:sz w:val="24"/>
        </w:rPr>
        <w:t xml:space="preserve"> – </w:t>
      </w:r>
      <w:r>
        <w:rPr>
          <w:b/>
          <w:sz w:val="24"/>
        </w:rPr>
        <w:t>Корреляционное влияние факторов на стоимость по городам</w:t>
      </w:r>
      <w:r>
        <w:rPr>
          <w:sz w:val="24"/>
        </w:rPr>
        <w:t xml:space="preserve"> </w:t>
      </w:r>
    </w:p>
    <w:tbl>
      <w:tblPr>
        <w:tblStyle w:val="TableGrid"/>
        <w:tblW w:w="5475" w:type="dxa"/>
        <w:tblInd w:w="3075" w:type="dxa"/>
        <w:tblCellMar>
          <w:top w:w="21" w:type="dxa"/>
          <w:left w:w="223" w:type="dxa"/>
          <w:bottom w:w="0" w:type="dxa"/>
          <w:right w:w="115" w:type="dxa"/>
        </w:tblCellMar>
        <w:tblLook w:val="04A0" w:firstRow="1" w:lastRow="0" w:firstColumn="1" w:lastColumn="0" w:noHBand="0" w:noVBand="1"/>
      </w:tblPr>
      <w:tblGrid>
        <w:gridCol w:w="1421"/>
        <w:gridCol w:w="1901"/>
        <w:gridCol w:w="2153"/>
      </w:tblGrid>
      <w:tr w:rsidR="002C0F56">
        <w:trPr>
          <w:trHeight w:val="305"/>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i/>
                <w:sz w:val="24"/>
              </w:rPr>
              <w:t xml:space="preserve">факторы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2" w:firstLine="0"/>
              <w:jc w:val="center"/>
            </w:pPr>
            <w:r>
              <w:rPr>
                <w:i/>
                <w:sz w:val="24"/>
              </w:rPr>
              <w:t xml:space="preserve">Саратов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8" w:firstLine="0"/>
              <w:jc w:val="center"/>
            </w:pPr>
            <w:r>
              <w:rPr>
                <w:i/>
                <w:sz w:val="24"/>
              </w:rPr>
              <w:t xml:space="preserve">Хабаровск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x1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-0,47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0,03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x2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0,49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0,14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x3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0,56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0,45 </w:t>
            </w:r>
          </w:p>
        </w:tc>
      </w:tr>
      <w:tr w:rsidR="002C0F56">
        <w:trPr>
          <w:trHeight w:val="305"/>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x4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0,22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5" w:firstLine="0"/>
              <w:jc w:val="center"/>
            </w:pPr>
            <w:r>
              <w:rPr>
                <w:sz w:val="24"/>
              </w:rPr>
              <w:t xml:space="preserve">-0,01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lastRenderedPageBreak/>
              <w:t xml:space="preserve">x5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0,83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0,81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x6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-0,78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5" w:firstLine="0"/>
              <w:jc w:val="center"/>
            </w:pPr>
            <w:r>
              <w:rPr>
                <w:sz w:val="24"/>
              </w:rPr>
              <w:t xml:space="preserve">-0,14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x7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0,94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0,77 </w:t>
            </w:r>
          </w:p>
        </w:tc>
      </w:tr>
      <w:tr w:rsidR="002C0F56">
        <w:trPr>
          <w:trHeight w:val="305"/>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x8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0,95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0,58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1" w:firstLine="0"/>
              <w:jc w:val="center"/>
            </w:pPr>
            <w:r>
              <w:rPr>
                <w:sz w:val="24"/>
              </w:rPr>
              <w:t xml:space="preserve">x9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0,87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0,82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2" w:firstLine="0"/>
              <w:jc w:val="center"/>
            </w:pPr>
            <w:r>
              <w:rPr>
                <w:sz w:val="24"/>
              </w:rPr>
              <w:t xml:space="preserve">x10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0,50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45" w:firstLine="0"/>
              <w:jc w:val="center"/>
            </w:pPr>
            <w:r>
              <w:rPr>
                <w:sz w:val="24"/>
              </w:rPr>
              <w:t xml:space="preserve"> </w:t>
            </w:r>
          </w:p>
        </w:tc>
      </w:tr>
      <w:tr w:rsidR="002C0F56">
        <w:trPr>
          <w:trHeight w:val="302"/>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2" w:firstLine="0"/>
              <w:jc w:val="center"/>
            </w:pPr>
            <w:r>
              <w:rPr>
                <w:sz w:val="24"/>
              </w:rPr>
              <w:t xml:space="preserve">x11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0,91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0,64 </w:t>
            </w:r>
          </w:p>
        </w:tc>
      </w:tr>
      <w:tr w:rsidR="002C0F56">
        <w:trPr>
          <w:trHeight w:val="305"/>
        </w:trPr>
        <w:tc>
          <w:tcPr>
            <w:tcW w:w="142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2" w:firstLine="0"/>
              <w:jc w:val="center"/>
            </w:pPr>
            <w:r>
              <w:rPr>
                <w:sz w:val="24"/>
              </w:rPr>
              <w:t xml:space="preserve">x12 </w:t>
            </w:r>
          </w:p>
        </w:tc>
        <w:tc>
          <w:tcPr>
            <w:tcW w:w="1901"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6" w:firstLine="0"/>
              <w:jc w:val="center"/>
            </w:pPr>
            <w:r>
              <w:rPr>
                <w:sz w:val="24"/>
              </w:rPr>
              <w:t xml:space="preserve">0,54 </w:t>
            </w:r>
          </w:p>
        </w:tc>
        <w:tc>
          <w:tcPr>
            <w:tcW w:w="2153"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3" w:firstLine="0"/>
              <w:jc w:val="center"/>
            </w:pPr>
            <w:r>
              <w:rPr>
                <w:sz w:val="24"/>
              </w:rPr>
              <w:t xml:space="preserve">0,61 </w:t>
            </w:r>
          </w:p>
        </w:tc>
      </w:tr>
    </w:tbl>
    <w:p w:rsidR="002C0F56" w:rsidRDefault="00E67C6E">
      <w:pPr>
        <w:spacing w:after="18" w:line="259" w:lineRule="auto"/>
        <w:ind w:left="1558" w:firstLine="0"/>
        <w:jc w:val="left"/>
      </w:pPr>
      <w:r>
        <w:t xml:space="preserve"> </w:t>
      </w:r>
    </w:p>
    <w:p w:rsidR="002C0F56" w:rsidRDefault="00E67C6E">
      <w:pPr>
        <w:ind w:left="994" w:right="302"/>
      </w:pPr>
      <w:r>
        <w:t>По критерию Стьюдента (t</w:t>
      </w:r>
      <w:r>
        <w:rPr>
          <w:vertAlign w:val="subscript"/>
        </w:rPr>
        <w:t>кр</w:t>
      </w:r>
      <w:r>
        <w:t xml:space="preserve">=2,0106, при m=47, p=0,95) </w:t>
      </w:r>
      <w:r>
        <w:t>значимыми параметрами в первой модели являются уровень шума (х</w:t>
      </w:r>
      <w:r>
        <w:rPr>
          <w:vertAlign w:val="subscript"/>
        </w:rPr>
        <w:t>6</w:t>
      </w:r>
      <w:r>
        <w:t>), емкость пылесборника (х</w:t>
      </w:r>
      <w:r>
        <w:rPr>
          <w:vertAlign w:val="subscript"/>
        </w:rPr>
        <w:t>7</w:t>
      </w:r>
      <w:r>
        <w:t>) и вес (х</w:t>
      </w:r>
      <w:r>
        <w:rPr>
          <w:vertAlign w:val="subscript"/>
        </w:rPr>
        <w:t>8</w:t>
      </w:r>
      <w:r>
        <w:t>), а во второй – мощность всасывания (х</w:t>
      </w:r>
      <w:r>
        <w:rPr>
          <w:vertAlign w:val="subscript"/>
        </w:rPr>
        <w:t>5</w:t>
      </w:r>
      <w:r>
        <w:t>), количество насадок (х</w:t>
      </w:r>
      <w:r>
        <w:rPr>
          <w:vertAlign w:val="subscript"/>
        </w:rPr>
        <w:t>9</w:t>
      </w:r>
      <w:r>
        <w:t>) и тип уборки (х</w:t>
      </w:r>
      <w:r>
        <w:rPr>
          <w:vertAlign w:val="subscript"/>
        </w:rPr>
        <w:t>12</w:t>
      </w:r>
      <w:r>
        <w:t>). Коэффициенты детерминации соответственно составили R</w:t>
      </w:r>
      <w:r>
        <w:rPr>
          <w:vertAlign w:val="superscript"/>
        </w:rPr>
        <w:t>2</w:t>
      </w:r>
      <w:r>
        <w:t>=0,98 для Саратова и он является значимым по критерию Фишера (F</w:t>
      </w:r>
      <w:r>
        <w:rPr>
          <w:vertAlign w:val="subscript"/>
        </w:rPr>
        <w:t>факт</w:t>
      </w:r>
      <w:r>
        <w:t>=318,313&gt;F</w:t>
      </w:r>
      <w:r>
        <w:rPr>
          <w:vertAlign w:val="subscript"/>
        </w:rPr>
        <w:t>табл</w:t>
      </w:r>
      <w:r>
        <w:t>=1,95) и R</w:t>
      </w:r>
      <w:r>
        <w:rPr>
          <w:vertAlign w:val="superscript"/>
        </w:rPr>
        <w:t>2</w:t>
      </w:r>
      <w:r>
        <w:t>=0,79 для Хабаровска и он также значим (F</w:t>
      </w:r>
      <w:r>
        <w:rPr>
          <w:vertAlign w:val="subscript"/>
        </w:rPr>
        <w:t>факт</w:t>
      </w:r>
      <w:r>
        <w:t>=30,22&gt; F</w:t>
      </w:r>
      <w:r>
        <w:rPr>
          <w:vertAlign w:val="subscript"/>
        </w:rPr>
        <w:t>табл</w:t>
      </w:r>
      <w:r>
        <w:t xml:space="preserve">=2,07) [3]. </w:t>
      </w:r>
    </w:p>
    <w:p w:rsidR="002C0F56" w:rsidRDefault="00E67C6E">
      <w:pPr>
        <w:ind w:left="994" w:right="302"/>
      </w:pPr>
      <w:r>
        <w:t>В соответствии с полученным уравнением регрессии можно сказать, что увеличение уровня шума на</w:t>
      </w:r>
      <w:r>
        <w:t xml:space="preserve"> 1дБ снижает цену пылесоса на ранке Саратова на 453,71 руб.;  увеличение веса пылесоса на 1 кг увеличивает цену на 1128,45 руб.; если пылесос поддерживает функции влажной уборки, то его стоимость возрастает на 570,37 руб. Для Хабаровска же данные факторы и</w:t>
      </w:r>
      <w:r>
        <w:t xml:space="preserve">меют другую направленность. Так, например, увеличение веса пылесоса на 1 кг уменьшает его стоимость 190,32 руб.  </w:t>
      </w:r>
    </w:p>
    <w:p w:rsidR="002C0F56" w:rsidRDefault="00E67C6E">
      <w:pPr>
        <w:spacing w:after="15" w:line="268" w:lineRule="auto"/>
        <w:ind w:left="1262" w:right="536" w:hanging="10"/>
        <w:jc w:val="center"/>
      </w:pPr>
      <w:r>
        <w:t xml:space="preserve">Проверим ошибки моделей на соответствие условиям Гаусса-Маркова: </w:t>
      </w:r>
    </w:p>
    <w:p w:rsidR="002C0F56" w:rsidRDefault="00E67C6E">
      <w:pPr>
        <w:numPr>
          <w:ilvl w:val="0"/>
          <w:numId w:val="217"/>
        </w:numPr>
        <w:spacing w:after="0" w:line="311" w:lineRule="auto"/>
        <w:ind w:right="302"/>
      </w:pPr>
      <w:r>
        <w:t>так как М(Е)</w:t>
      </w:r>
      <w:r>
        <w:rPr>
          <w:vertAlign w:val="subscript"/>
        </w:rPr>
        <w:t>С</w:t>
      </w:r>
      <w:r>
        <w:t>=1,44*10</w:t>
      </w:r>
      <w:r>
        <w:rPr>
          <w:vertAlign w:val="superscript"/>
        </w:rPr>
        <w:t>-11</w:t>
      </w:r>
      <w:r>
        <w:t>, М(Е)</w:t>
      </w:r>
      <w:r>
        <w:rPr>
          <w:vertAlign w:val="subscript"/>
        </w:rPr>
        <w:t>Х</w:t>
      </w:r>
      <w:r>
        <w:t>=4,13*10</w:t>
      </w:r>
      <w:r>
        <w:rPr>
          <w:vertAlign w:val="superscript"/>
        </w:rPr>
        <w:t>-12</w:t>
      </w:r>
      <w:r>
        <w:t xml:space="preserve">, то первое условие выполняется; </w:t>
      </w:r>
    </w:p>
    <w:p w:rsidR="002C0F56" w:rsidRDefault="00E67C6E">
      <w:pPr>
        <w:numPr>
          <w:ilvl w:val="0"/>
          <w:numId w:val="217"/>
        </w:numPr>
        <w:ind w:right="302"/>
      </w:pPr>
      <w:r>
        <w:t>второе условие заключается в постоянстве дисперсий ошибок, что можно проверить критерием Голдфелда-Квандта [4]: поскольку GQ</w:t>
      </w:r>
      <w:r>
        <w:rPr>
          <w:vertAlign w:val="subscript"/>
        </w:rPr>
        <w:t>С</w:t>
      </w:r>
      <w:r>
        <w:t>=-50,64&lt;F</w:t>
      </w:r>
      <w:r>
        <w:rPr>
          <w:vertAlign w:val="subscript"/>
        </w:rPr>
        <w:t>табл</w:t>
      </w:r>
      <w:r>
        <w:t>=1,95 и GQ</w:t>
      </w:r>
      <w:r>
        <w:rPr>
          <w:vertAlign w:val="superscript"/>
        </w:rPr>
        <w:t>-1</w:t>
      </w:r>
      <w:r>
        <w:rPr>
          <w:vertAlign w:val="subscript"/>
        </w:rPr>
        <w:t>С</w:t>
      </w:r>
      <w:r>
        <w:t>=0,002&lt;F</w:t>
      </w:r>
      <w:r>
        <w:rPr>
          <w:vertAlign w:val="subscript"/>
        </w:rPr>
        <w:t>табл</w:t>
      </w:r>
      <w:r>
        <w:t>=1,95, а также GQ</w:t>
      </w:r>
      <w:r>
        <w:rPr>
          <w:vertAlign w:val="subscript"/>
        </w:rPr>
        <w:t>Х</w:t>
      </w:r>
      <w:r>
        <w:t>=1,12&lt;F</w:t>
      </w:r>
      <w:r>
        <w:rPr>
          <w:vertAlign w:val="subscript"/>
        </w:rPr>
        <w:t>табл</w:t>
      </w:r>
      <w:r>
        <w:t>=2,07, GQ</w:t>
      </w:r>
      <w:r>
        <w:rPr>
          <w:vertAlign w:val="superscript"/>
        </w:rPr>
        <w:t>-1</w:t>
      </w:r>
      <w:r>
        <w:rPr>
          <w:vertAlign w:val="subscript"/>
        </w:rPr>
        <w:t>Х</w:t>
      </w:r>
      <w:r>
        <w:t>=0,89&lt;F</w:t>
      </w:r>
      <w:r>
        <w:rPr>
          <w:vertAlign w:val="subscript"/>
        </w:rPr>
        <w:t>табл</w:t>
      </w:r>
      <w:r>
        <w:t>=2,07, то гипотеза о гомоскедастичности о</w:t>
      </w:r>
      <w:r>
        <w:t xml:space="preserve">статков принимается; </w:t>
      </w:r>
    </w:p>
    <w:p w:rsidR="002C0F56" w:rsidRDefault="00E67C6E">
      <w:pPr>
        <w:numPr>
          <w:ilvl w:val="0"/>
          <w:numId w:val="217"/>
        </w:numPr>
        <w:ind w:right="302"/>
      </w:pPr>
      <w:r>
        <w:t>третье условие заключается в отсутствии автокорреляции остатков, которое проверяется тестом Дарбина-Уотсона [5]: DW</w:t>
      </w:r>
      <w:r>
        <w:rPr>
          <w:vertAlign w:val="subscript"/>
        </w:rPr>
        <w:t>С</w:t>
      </w:r>
      <w:r>
        <w:t>=1,68 принадлежит отрезку [d</w:t>
      </w:r>
      <w:r>
        <w:rPr>
          <w:vertAlign w:val="subscript"/>
        </w:rPr>
        <w:t>U</w:t>
      </w:r>
      <w:r>
        <w:t>=1,6;</w:t>
      </w:r>
      <w:r>
        <w:rPr>
          <w:vertAlign w:val="subscript"/>
        </w:rPr>
        <w:t xml:space="preserve"> </w:t>
      </w:r>
      <w:r>
        <w:t>4–d</w:t>
      </w:r>
      <w:r>
        <w:rPr>
          <w:vertAlign w:val="subscript"/>
        </w:rPr>
        <w:t>U</w:t>
      </w:r>
      <w:r>
        <w:t>=2,4] и DW</w:t>
      </w:r>
      <w:r>
        <w:rPr>
          <w:vertAlign w:val="subscript"/>
        </w:rPr>
        <w:t>Х</w:t>
      </w:r>
      <w:r>
        <w:t>=1,82 – отрезку [d</w:t>
      </w:r>
      <w:r>
        <w:rPr>
          <w:vertAlign w:val="subscript"/>
        </w:rPr>
        <w:t>U</w:t>
      </w:r>
      <w:r>
        <w:t>=1,62; 4–d</w:t>
      </w:r>
      <w:r>
        <w:rPr>
          <w:vertAlign w:val="subscript"/>
        </w:rPr>
        <w:t>U</w:t>
      </w:r>
      <w:r>
        <w:t>=2,38], что свидетельствует об отсутст</w:t>
      </w:r>
      <w:r>
        <w:t xml:space="preserve">вии автокорреляции; </w:t>
      </w:r>
    </w:p>
    <w:p w:rsidR="002C0F56" w:rsidRDefault="00E67C6E">
      <w:pPr>
        <w:numPr>
          <w:ilvl w:val="0"/>
          <w:numId w:val="217"/>
        </w:numPr>
        <w:spacing w:after="167"/>
        <w:ind w:right="302"/>
      </w:pPr>
      <w:r>
        <w:rPr>
          <w:rFonts w:ascii="Calibri" w:eastAsia="Calibri" w:hAnsi="Calibri" w:cs="Calibri"/>
          <w:noProof/>
          <w:sz w:val="22"/>
        </w:rPr>
        <mc:AlternateContent>
          <mc:Choice Requires="wpg">
            <w:drawing>
              <wp:anchor distT="0" distB="0" distL="114300" distR="114300" simplePos="0" relativeHeight="251674624" behindDoc="1" locked="0" layoutInCell="1" allowOverlap="1">
                <wp:simplePos x="0" y="0"/>
                <wp:positionH relativeFrom="column">
                  <wp:posOffset>1527274</wp:posOffset>
                </wp:positionH>
                <wp:positionV relativeFrom="paragraph">
                  <wp:posOffset>457407</wp:posOffset>
                </wp:positionV>
                <wp:extent cx="141534" cy="249385"/>
                <wp:effectExtent l="0" t="0" r="0" b="0"/>
                <wp:wrapNone/>
                <wp:docPr id="664837" name="Group 664837"/>
                <wp:cNvGraphicFramePr/>
                <a:graphic xmlns:a="http://schemas.openxmlformats.org/drawingml/2006/main">
                  <a:graphicData uri="http://schemas.microsoft.com/office/word/2010/wordprocessingGroup">
                    <wpg:wgp>
                      <wpg:cNvGrpSpPr/>
                      <wpg:grpSpPr>
                        <a:xfrm>
                          <a:off x="0" y="0"/>
                          <a:ext cx="141534" cy="249385"/>
                          <a:chOff x="0" y="0"/>
                          <a:chExt cx="141534" cy="249385"/>
                        </a:xfrm>
                      </wpg:grpSpPr>
                      <wps:wsp>
                        <wps:cNvPr id="71222" name="Shape 71222"/>
                        <wps:cNvSpPr/>
                        <wps:spPr>
                          <a:xfrm>
                            <a:off x="0" y="0"/>
                            <a:ext cx="0" cy="249385"/>
                          </a:xfrm>
                          <a:custGeom>
                            <a:avLst/>
                            <a:gdLst/>
                            <a:ahLst/>
                            <a:cxnLst/>
                            <a:rect l="0" t="0" r="0" b="0"/>
                            <a:pathLst>
                              <a:path h="249385">
                                <a:moveTo>
                                  <a:pt x="0" y="0"/>
                                </a:moveTo>
                                <a:lnTo>
                                  <a:pt x="0" y="249385"/>
                                </a:lnTo>
                              </a:path>
                            </a:pathLst>
                          </a:custGeom>
                          <a:ln w="6265" cap="flat">
                            <a:round/>
                          </a:ln>
                        </wps:spPr>
                        <wps:style>
                          <a:lnRef idx="1">
                            <a:srgbClr val="000000"/>
                          </a:lnRef>
                          <a:fillRef idx="0">
                            <a:srgbClr val="000000">
                              <a:alpha val="0"/>
                            </a:srgbClr>
                          </a:fillRef>
                          <a:effectRef idx="0">
                            <a:scrgbClr r="0" g="0" b="0"/>
                          </a:effectRef>
                          <a:fontRef idx="none"/>
                        </wps:style>
                        <wps:bodyPr/>
                      </wps:wsp>
                      <wps:wsp>
                        <wps:cNvPr id="71223" name="Shape 71223"/>
                        <wps:cNvSpPr/>
                        <wps:spPr>
                          <a:xfrm>
                            <a:off x="141534" y="0"/>
                            <a:ext cx="0" cy="249385"/>
                          </a:xfrm>
                          <a:custGeom>
                            <a:avLst/>
                            <a:gdLst/>
                            <a:ahLst/>
                            <a:cxnLst/>
                            <a:rect l="0" t="0" r="0" b="0"/>
                            <a:pathLst>
                              <a:path h="249385">
                                <a:moveTo>
                                  <a:pt x="0" y="0"/>
                                </a:moveTo>
                                <a:lnTo>
                                  <a:pt x="0" y="249385"/>
                                </a:lnTo>
                              </a:path>
                            </a:pathLst>
                          </a:custGeom>
                          <a:ln w="626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4837" style="width:11.1444pt;height:19.6366pt;position:absolute;z-index:-2147483234;mso-position-horizontal-relative:text;mso-position-horizontal:absolute;margin-left:120.258pt;mso-position-vertical-relative:text;margin-top:36.0163pt;" coordsize="1415,2493">
                <v:shape id="Shape 71222" style="position:absolute;width:0;height:2493;left:0;top:0;" coordsize="0,249385" path="m0,0l0,249385">
                  <v:stroke weight="0.493278pt" endcap="flat" joinstyle="round" on="true" color="#000000"/>
                  <v:fill on="false" color="#000000" opacity="0"/>
                </v:shape>
                <v:shape id="Shape 71223" style="position:absolute;width:0;height:2493;left:1415;top:0;" coordsize="0,249385" path="m0,0l0,249385">
                  <v:stroke weight="0.493278pt" endcap="flat"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675648" behindDoc="1" locked="0" layoutInCell="1" allowOverlap="1">
                <wp:simplePos x="0" y="0"/>
                <wp:positionH relativeFrom="column">
                  <wp:posOffset>3454945</wp:posOffset>
                </wp:positionH>
                <wp:positionV relativeFrom="paragraph">
                  <wp:posOffset>393446</wp:posOffset>
                </wp:positionV>
                <wp:extent cx="573372" cy="374319"/>
                <wp:effectExtent l="0" t="0" r="0" b="0"/>
                <wp:wrapNone/>
                <wp:docPr id="664838" name="Group 664838"/>
                <wp:cNvGraphicFramePr/>
                <a:graphic xmlns:a="http://schemas.openxmlformats.org/drawingml/2006/main">
                  <a:graphicData uri="http://schemas.microsoft.com/office/word/2010/wordprocessingGroup">
                    <wpg:wgp>
                      <wpg:cNvGrpSpPr/>
                      <wpg:grpSpPr>
                        <a:xfrm>
                          <a:off x="0" y="0"/>
                          <a:ext cx="573372" cy="374319"/>
                          <a:chOff x="0" y="0"/>
                          <a:chExt cx="573372" cy="374319"/>
                        </a:xfrm>
                      </wpg:grpSpPr>
                      <wps:wsp>
                        <wps:cNvPr id="71241" name="Shape 71241"/>
                        <wps:cNvSpPr/>
                        <wps:spPr>
                          <a:xfrm>
                            <a:off x="266469" y="187159"/>
                            <a:ext cx="291588" cy="0"/>
                          </a:xfrm>
                          <a:custGeom>
                            <a:avLst/>
                            <a:gdLst/>
                            <a:ahLst/>
                            <a:cxnLst/>
                            <a:rect l="0" t="0" r="0" b="0"/>
                            <a:pathLst>
                              <a:path w="291588">
                                <a:moveTo>
                                  <a:pt x="0" y="0"/>
                                </a:moveTo>
                                <a:lnTo>
                                  <a:pt x="291588" y="0"/>
                                </a:lnTo>
                              </a:path>
                            </a:pathLst>
                          </a:custGeom>
                          <a:ln w="6357" cap="flat">
                            <a:round/>
                          </a:ln>
                        </wps:spPr>
                        <wps:style>
                          <a:lnRef idx="1">
                            <a:srgbClr val="000000"/>
                          </a:lnRef>
                          <a:fillRef idx="0">
                            <a:srgbClr val="000000">
                              <a:alpha val="0"/>
                            </a:srgbClr>
                          </a:fillRef>
                          <a:effectRef idx="0">
                            <a:scrgbClr r="0" g="0" b="0"/>
                          </a:effectRef>
                          <a:fontRef idx="none"/>
                        </wps:style>
                        <wps:bodyPr/>
                      </wps:wsp>
                      <wps:wsp>
                        <wps:cNvPr id="71242" name="Shape 71242"/>
                        <wps:cNvSpPr/>
                        <wps:spPr>
                          <a:xfrm>
                            <a:off x="0" y="0"/>
                            <a:ext cx="0" cy="374319"/>
                          </a:xfrm>
                          <a:custGeom>
                            <a:avLst/>
                            <a:gdLst/>
                            <a:ahLst/>
                            <a:cxnLst/>
                            <a:rect l="0" t="0" r="0" b="0"/>
                            <a:pathLst>
                              <a:path h="374319">
                                <a:moveTo>
                                  <a:pt x="0" y="0"/>
                                </a:moveTo>
                                <a:lnTo>
                                  <a:pt x="0" y="374319"/>
                                </a:lnTo>
                              </a:path>
                            </a:pathLst>
                          </a:custGeom>
                          <a:ln w="6357" cap="flat">
                            <a:round/>
                          </a:ln>
                        </wps:spPr>
                        <wps:style>
                          <a:lnRef idx="1">
                            <a:srgbClr val="000000"/>
                          </a:lnRef>
                          <a:fillRef idx="0">
                            <a:srgbClr val="000000">
                              <a:alpha val="0"/>
                            </a:srgbClr>
                          </a:fillRef>
                          <a:effectRef idx="0">
                            <a:scrgbClr r="0" g="0" b="0"/>
                          </a:effectRef>
                          <a:fontRef idx="none"/>
                        </wps:style>
                        <wps:bodyPr/>
                      </wps:wsp>
                      <wps:wsp>
                        <wps:cNvPr id="71243" name="Shape 71243"/>
                        <wps:cNvSpPr/>
                        <wps:spPr>
                          <a:xfrm>
                            <a:off x="573371" y="0"/>
                            <a:ext cx="0" cy="374319"/>
                          </a:xfrm>
                          <a:custGeom>
                            <a:avLst/>
                            <a:gdLst/>
                            <a:ahLst/>
                            <a:cxnLst/>
                            <a:rect l="0" t="0" r="0" b="0"/>
                            <a:pathLst>
                              <a:path h="374319">
                                <a:moveTo>
                                  <a:pt x="0" y="0"/>
                                </a:moveTo>
                                <a:lnTo>
                                  <a:pt x="0" y="374319"/>
                                </a:lnTo>
                              </a:path>
                            </a:pathLst>
                          </a:custGeom>
                          <a:ln w="6357"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4838" style="width:45.1474pt;height:29.4739pt;position:absolute;z-index:-2147483214;mso-position-horizontal-relative:text;mso-position-horizontal:absolute;margin-left:272.043pt;mso-position-vertical-relative:text;margin-top:30.98pt;" coordsize="5733,3743">
                <v:shape id="Shape 71241" style="position:absolute;width:2915;height:0;left:2664;top:1871;" coordsize="291588,0" path="m0,0l291588,0">
                  <v:stroke weight="0.50058pt" endcap="flat" joinstyle="round" on="true" color="#000000"/>
                  <v:fill on="false" color="#000000" opacity="0"/>
                </v:shape>
                <v:shape id="Shape 71242" style="position:absolute;width:0;height:3743;left:0;top:0;" coordsize="0,374319" path="m0,0l0,374319">
                  <v:stroke weight="0.50058pt" endcap="flat" joinstyle="round" on="true" color="#000000"/>
                  <v:fill on="false" color="#000000" opacity="0"/>
                </v:shape>
                <v:shape id="Shape 71243" style="position:absolute;width:0;height:3743;left:5733;top:0;" coordsize="0,374319" path="m0,0l0,374319">
                  <v:stroke weight="0.50058pt" endcap="flat"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676672" behindDoc="1" locked="0" layoutInCell="1" allowOverlap="1">
                <wp:simplePos x="0" y="0"/>
                <wp:positionH relativeFrom="column">
                  <wp:posOffset>1198328</wp:posOffset>
                </wp:positionH>
                <wp:positionV relativeFrom="paragraph">
                  <wp:posOffset>660390</wp:posOffset>
                </wp:positionV>
                <wp:extent cx="141454" cy="249385"/>
                <wp:effectExtent l="0" t="0" r="0" b="0"/>
                <wp:wrapNone/>
                <wp:docPr id="662663" name="Group 662663"/>
                <wp:cNvGraphicFramePr/>
                <a:graphic xmlns:a="http://schemas.openxmlformats.org/drawingml/2006/main">
                  <a:graphicData uri="http://schemas.microsoft.com/office/word/2010/wordprocessingGroup">
                    <wpg:wgp>
                      <wpg:cNvGrpSpPr/>
                      <wpg:grpSpPr>
                        <a:xfrm>
                          <a:off x="0" y="0"/>
                          <a:ext cx="141454" cy="249385"/>
                          <a:chOff x="0" y="0"/>
                          <a:chExt cx="141454" cy="249385"/>
                        </a:xfrm>
                      </wpg:grpSpPr>
                      <wps:wsp>
                        <wps:cNvPr id="71395" name="Shape 71395"/>
                        <wps:cNvSpPr/>
                        <wps:spPr>
                          <a:xfrm>
                            <a:off x="0" y="0"/>
                            <a:ext cx="0" cy="249385"/>
                          </a:xfrm>
                          <a:custGeom>
                            <a:avLst/>
                            <a:gdLst/>
                            <a:ahLst/>
                            <a:cxnLst/>
                            <a:rect l="0" t="0" r="0" b="0"/>
                            <a:pathLst>
                              <a:path h="249385">
                                <a:moveTo>
                                  <a:pt x="0" y="0"/>
                                </a:moveTo>
                                <a:lnTo>
                                  <a:pt x="0" y="249385"/>
                                </a:lnTo>
                              </a:path>
                            </a:pathLst>
                          </a:custGeom>
                          <a:ln w="6265" cap="flat">
                            <a:round/>
                          </a:ln>
                        </wps:spPr>
                        <wps:style>
                          <a:lnRef idx="1">
                            <a:srgbClr val="000000"/>
                          </a:lnRef>
                          <a:fillRef idx="0">
                            <a:srgbClr val="000000">
                              <a:alpha val="0"/>
                            </a:srgbClr>
                          </a:fillRef>
                          <a:effectRef idx="0">
                            <a:scrgbClr r="0" g="0" b="0"/>
                          </a:effectRef>
                          <a:fontRef idx="none"/>
                        </wps:style>
                        <wps:bodyPr/>
                      </wps:wsp>
                      <wps:wsp>
                        <wps:cNvPr id="71396" name="Shape 71396"/>
                        <wps:cNvSpPr/>
                        <wps:spPr>
                          <a:xfrm>
                            <a:off x="141454" y="0"/>
                            <a:ext cx="0" cy="249385"/>
                          </a:xfrm>
                          <a:custGeom>
                            <a:avLst/>
                            <a:gdLst/>
                            <a:ahLst/>
                            <a:cxnLst/>
                            <a:rect l="0" t="0" r="0" b="0"/>
                            <a:pathLst>
                              <a:path h="249385">
                                <a:moveTo>
                                  <a:pt x="0" y="0"/>
                                </a:moveTo>
                                <a:lnTo>
                                  <a:pt x="0" y="249385"/>
                                </a:lnTo>
                              </a:path>
                            </a:pathLst>
                          </a:custGeom>
                          <a:ln w="626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2663" style="width:11.1381pt;height:19.6366pt;position:absolute;z-index:-2147483638;mso-position-horizontal-relative:text;mso-position-horizontal:absolute;margin-left:94.3565pt;mso-position-vertical-relative:text;margin-top:51.9992pt;" coordsize="1414,2493">
                <v:shape id="Shape 71395" style="position:absolute;width:0;height:2493;left:0;top:0;" coordsize="0,249385" path="m0,0l0,249385">
                  <v:stroke weight="0.493278pt" endcap="flat" joinstyle="round" on="true" color="#000000"/>
                  <v:fill on="false" color="#000000" opacity="0"/>
                </v:shape>
                <v:shape id="Shape 71396" style="position:absolute;width:0;height:2493;left:1414;top:0;" coordsize="0,249385" path="m0,0l0,249385">
                  <v:stroke weight="0.493278pt" endcap="flat"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677696" behindDoc="1" locked="0" layoutInCell="1" allowOverlap="1">
                <wp:simplePos x="0" y="0"/>
                <wp:positionH relativeFrom="column">
                  <wp:posOffset>2699464</wp:posOffset>
                </wp:positionH>
                <wp:positionV relativeFrom="paragraph">
                  <wp:posOffset>660390</wp:posOffset>
                </wp:positionV>
                <wp:extent cx="575512" cy="374867"/>
                <wp:effectExtent l="0" t="0" r="0" b="0"/>
                <wp:wrapNone/>
                <wp:docPr id="662664" name="Group 662664"/>
                <wp:cNvGraphicFramePr/>
                <a:graphic xmlns:a="http://schemas.openxmlformats.org/drawingml/2006/main">
                  <a:graphicData uri="http://schemas.microsoft.com/office/word/2010/wordprocessingGroup">
                    <wpg:wgp>
                      <wpg:cNvGrpSpPr/>
                      <wpg:grpSpPr>
                        <a:xfrm>
                          <a:off x="0" y="0"/>
                          <a:ext cx="575512" cy="374867"/>
                          <a:chOff x="0" y="0"/>
                          <a:chExt cx="575512" cy="374867"/>
                        </a:xfrm>
                      </wpg:grpSpPr>
                      <wps:wsp>
                        <wps:cNvPr id="71409" name="Shape 71409"/>
                        <wps:cNvSpPr/>
                        <wps:spPr>
                          <a:xfrm>
                            <a:off x="267339" y="187434"/>
                            <a:ext cx="292932" cy="0"/>
                          </a:xfrm>
                          <a:custGeom>
                            <a:avLst/>
                            <a:gdLst/>
                            <a:ahLst/>
                            <a:cxnLst/>
                            <a:rect l="0" t="0" r="0" b="0"/>
                            <a:pathLst>
                              <a:path w="292932">
                                <a:moveTo>
                                  <a:pt x="0" y="0"/>
                                </a:moveTo>
                                <a:lnTo>
                                  <a:pt x="292932" y="0"/>
                                </a:lnTo>
                              </a:path>
                            </a:pathLst>
                          </a:custGeom>
                          <a:ln w="6367" cap="flat">
                            <a:round/>
                          </a:ln>
                        </wps:spPr>
                        <wps:style>
                          <a:lnRef idx="1">
                            <a:srgbClr val="000000"/>
                          </a:lnRef>
                          <a:fillRef idx="0">
                            <a:srgbClr val="000000">
                              <a:alpha val="0"/>
                            </a:srgbClr>
                          </a:fillRef>
                          <a:effectRef idx="0">
                            <a:scrgbClr r="0" g="0" b="0"/>
                          </a:effectRef>
                          <a:fontRef idx="none"/>
                        </wps:style>
                        <wps:bodyPr/>
                      </wps:wsp>
                      <wps:wsp>
                        <wps:cNvPr id="71410" name="Shape 71410"/>
                        <wps:cNvSpPr/>
                        <wps:spPr>
                          <a:xfrm>
                            <a:off x="0" y="0"/>
                            <a:ext cx="0" cy="374867"/>
                          </a:xfrm>
                          <a:custGeom>
                            <a:avLst/>
                            <a:gdLst/>
                            <a:ahLst/>
                            <a:cxnLst/>
                            <a:rect l="0" t="0" r="0" b="0"/>
                            <a:pathLst>
                              <a:path h="374867">
                                <a:moveTo>
                                  <a:pt x="0" y="0"/>
                                </a:moveTo>
                                <a:lnTo>
                                  <a:pt x="0" y="374867"/>
                                </a:lnTo>
                              </a:path>
                            </a:pathLst>
                          </a:custGeom>
                          <a:ln w="6367" cap="flat">
                            <a:round/>
                          </a:ln>
                        </wps:spPr>
                        <wps:style>
                          <a:lnRef idx="1">
                            <a:srgbClr val="000000"/>
                          </a:lnRef>
                          <a:fillRef idx="0">
                            <a:srgbClr val="000000">
                              <a:alpha val="0"/>
                            </a:srgbClr>
                          </a:fillRef>
                          <a:effectRef idx="0">
                            <a:scrgbClr r="0" g="0" b="0"/>
                          </a:effectRef>
                          <a:fontRef idx="none"/>
                        </wps:style>
                        <wps:bodyPr/>
                      </wps:wsp>
                      <wps:wsp>
                        <wps:cNvPr id="71411" name="Shape 71411"/>
                        <wps:cNvSpPr/>
                        <wps:spPr>
                          <a:xfrm>
                            <a:off x="575512" y="0"/>
                            <a:ext cx="0" cy="374867"/>
                          </a:xfrm>
                          <a:custGeom>
                            <a:avLst/>
                            <a:gdLst/>
                            <a:ahLst/>
                            <a:cxnLst/>
                            <a:rect l="0" t="0" r="0" b="0"/>
                            <a:pathLst>
                              <a:path h="374867">
                                <a:moveTo>
                                  <a:pt x="0" y="0"/>
                                </a:moveTo>
                                <a:lnTo>
                                  <a:pt x="0" y="374867"/>
                                </a:lnTo>
                              </a:path>
                            </a:pathLst>
                          </a:custGeom>
                          <a:ln w="6367"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2664" style="width:45.3159pt;height:29.5171pt;position:absolute;z-index:-2147483623;mso-position-horizontal-relative:text;mso-position-horizontal:absolute;margin-left:212.556pt;mso-position-vertical-relative:text;margin-top:51.9992pt;" coordsize="5755,3748">
                <v:shape id="Shape 71409" style="position:absolute;width:2929;height:0;left:2673;top:1874;" coordsize="292932,0" path="m0,0l292932,0">
                  <v:stroke weight="0.501313pt" endcap="flat" joinstyle="round" on="true" color="#000000"/>
                  <v:fill on="false" color="#000000" opacity="0"/>
                </v:shape>
                <v:shape id="Shape 71410" style="position:absolute;width:0;height:3748;left:0;top:0;" coordsize="0,374867" path="m0,0l0,374867">
                  <v:stroke weight="0.501313pt" endcap="flat" joinstyle="round" on="true" color="#000000"/>
                  <v:fill on="false" color="#000000" opacity="0"/>
                </v:shape>
                <v:shape id="Shape 71411" style="position:absolute;width:0;height:3748;left:5755;top:0;" coordsize="0,374867" path="m0,0l0,374867">
                  <v:stroke weight="0.501313pt" endcap="flat" joinstyle="round" on="true" color="#000000"/>
                  <v:fill on="false" color="#000000" opacity="0"/>
                </v:shape>
              </v:group>
            </w:pict>
          </mc:Fallback>
        </mc:AlternateContent>
      </w:r>
      <w:r>
        <w:t xml:space="preserve">четвертое условие состоит в нормальности распределения остатков, что можно проверить на основе анализа коэффициентов асимметрии и эксцесса: поскольку </w:t>
      </w:r>
      <w:r>
        <w:rPr>
          <w:sz w:val="24"/>
        </w:rPr>
        <w:t>А</w:t>
      </w:r>
      <w:r>
        <w:rPr>
          <w:sz w:val="37"/>
          <w:vertAlign w:val="superscript"/>
        </w:rPr>
        <w:t xml:space="preserve">ˆ </w:t>
      </w:r>
      <w:r>
        <w:rPr>
          <w:rFonts w:ascii="Segoe UI Symbol" w:eastAsia="Segoe UI Symbol" w:hAnsi="Segoe UI Symbol" w:cs="Segoe UI Symbol"/>
          <w:sz w:val="24"/>
        </w:rPr>
        <w:t xml:space="preserve"> </w:t>
      </w:r>
      <w:r>
        <w:rPr>
          <w:sz w:val="24"/>
        </w:rPr>
        <w:t>0,431</w:t>
      </w:r>
      <w:r>
        <w:rPr>
          <w:rFonts w:ascii="Segoe UI Symbol" w:eastAsia="Segoe UI Symbol" w:hAnsi="Segoe UI Symbol" w:cs="Segoe UI Symbol"/>
          <w:sz w:val="24"/>
        </w:rPr>
        <w:t xml:space="preserve"> </w:t>
      </w:r>
      <w:r>
        <w:rPr>
          <w:sz w:val="24"/>
        </w:rPr>
        <w:t>2</w:t>
      </w:r>
      <w:r>
        <w:rPr>
          <w:rFonts w:ascii="Segoe UI Symbol" w:eastAsia="Segoe UI Symbol" w:hAnsi="Segoe UI Symbol" w:cs="Segoe UI Symbol"/>
          <w:sz w:val="24"/>
        </w:rPr>
        <w:t></w:t>
      </w:r>
      <w:r>
        <w:rPr>
          <w:vertAlign w:val="subscript"/>
        </w:rPr>
        <w:t>А</w:t>
      </w:r>
      <w:r>
        <w:rPr>
          <w:sz w:val="20"/>
        </w:rPr>
        <w:t xml:space="preserve">ˆ </w:t>
      </w:r>
      <w:r>
        <w:rPr>
          <w:rFonts w:ascii="Segoe UI Symbol" w:eastAsia="Segoe UI Symbol" w:hAnsi="Segoe UI Symbol" w:cs="Segoe UI Symbol"/>
          <w:sz w:val="24"/>
        </w:rPr>
        <w:t xml:space="preserve"> </w:t>
      </w:r>
      <w:r>
        <w:rPr>
          <w:sz w:val="24"/>
        </w:rPr>
        <w:t>0,734</w:t>
      </w:r>
      <w:r>
        <w:t xml:space="preserve"> и </w:t>
      </w:r>
      <w:r>
        <w:rPr>
          <w:sz w:val="24"/>
        </w:rPr>
        <w:t>Э</w:t>
      </w:r>
      <w:r>
        <w:rPr>
          <w:sz w:val="37"/>
          <w:vertAlign w:val="superscript"/>
        </w:rPr>
        <w:t xml:space="preserve">ˆ </w:t>
      </w:r>
      <w:r>
        <w:rPr>
          <w:rFonts w:ascii="Segoe UI Symbol" w:eastAsia="Segoe UI Symbol" w:hAnsi="Segoe UI Symbol" w:cs="Segoe UI Symbol"/>
          <w:sz w:val="24"/>
        </w:rPr>
        <w:t xml:space="preserve"> </w:t>
      </w:r>
      <w:r>
        <w:rPr>
          <w:sz w:val="37"/>
          <w:vertAlign w:val="subscript"/>
        </w:rPr>
        <w:t>n</w:t>
      </w:r>
      <w:r>
        <w:rPr>
          <w:sz w:val="37"/>
          <w:vertAlign w:val="superscript"/>
        </w:rPr>
        <w:t>6</w:t>
      </w:r>
      <w:r>
        <w:rPr>
          <w:rFonts w:ascii="Segoe UI Symbol" w:eastAsia="Segoe UI Symbol" w:hAnsi="Segoe UI Symbol" w:cs="Segoe UI Symbol"/>
          <w:sz w:val="37"/>
          <w:vertAlign w:val="subscript"/>
        </w:rPr>
        <w:t></w:t>
      </w:r>
      <w:r>
        <w:rPr>
          <w:sz w:val="37"/>
          <w:vertAlign w:val="subscript"/>
        </w:rPr>
        <w:t xml:space="preserve">1 </w:t>
      </w:r>
      <w:r>
        <w:rPr>
          <w:rFonts w:ascii="Segoe UI Symbol" w:eastAsia="Segoe UI Symbol" w:hAnsi="Segoe UI Symbol" w:cs="Segoe UI Symbol"/>
          <w:sz w:val="24"/>
        </w:rPr>
        <w:t xml:space="preserve"> </w:t>
      </w:r>
      <w:r>
        <w:rPr>
          <w:sz w:val="24"/>
        </w:rPr>
        <w:t xml:space="preserve">2,576 </w:t>
      </w:r>
      <w:r>
        <w:rPr>
          <w:rFonts w:ascii="Segoe UI Symbol" w:eastAsia="Segoe UI Symbol" w:hAnsi="Segoe UI Symbol" w:cs="Segoe UI Symbol"/>
          <w:sz w:val="24"/>
        </w:rPr>
        <w:t xml:space="preserve"> </w:t>
      </w:r>
      <w:r>
        <w:rPr>
          <w:sz w:val="24"/>
        </w:rPr>
        <w:t>2</w:t>
      </w:r>
      <w:r>
        <w:rPr>
          <w:rFonts w:ascii="Segoe UI Symbol" w:eastAsia="Segoe UI Symbol" w:hAnsi="Segoe UI Symbol" w:cs="Segoe UI Symbol"/>
          <w:sz w:val="24"/>
        </w:rPr>
        <w:t></w:t>
      </w:r>
      <w:r>
        <w:rPr>
          <w:vertAlign w:val="subscript"/>
        </w:rPr>
        <w:t>Э</w:t>
      </w:r>
      <w:r>
        <w:rPr>
          <w:sz w:val="20"/>
        </w:rPr>
        <w:t xml:space="preserve">ˆ </w:t>
      </w:r>
      <w:r>
        <w:rPr>
          <w:rFonts w:ascii="Segoe UI Symbol" w:eastAsia="Segoe UI Symbol" w:hAnsi="Segoe UI Symbol" w:cs="Segoe UI Symbol"/>
          <w:sz w:val="24"/>
        </w:rPr>
        <w:t></w:t>
      </w:r>
      <w:r>
        <w:rPr>
          <w:sz w:val="24"/>
        </w:rPr>
        <w:t>13,9</w:t>
      </w:r>
      <w:r>
        <w:t xml:space="preserve"> для Саратова, а также </w:t>
      </w:r>
      <w:r>
        <w:rPr>
          <w:sz w:val="24"/>
        </w:rPr>
        <w:t>А</w:t>
      </w:r>
      <w:r>
        <w:rPr>
          <w:sz w:val="37"/>
          <w:vertAlign w:val="superscript"/>
        </w:rPr>
        <w:t xml:space="preserve">ˆ </w:t>
      </w:r>
      <w:r>
        <w:rPr>
          <w:rFonts w:ascii="Segoe UI Symbol" w:eastAsia="Segoe UI Symbol" w:hAnsi="Segoe UI Symbol" w:cs="Segoe UI Symbol"/>
          <w:sz w:val="24"/>
        </w:rPr>
        <w:t xml:space="preserve"> </w:t>
      </w:r>
      <w:r>
        <w:rPr>
          <w:sz w:val="24"/>
        </w:rPr>
        <w:t xml:space="preserve">0,654 </w:t>
      </w:r>
      <w:r>
        <w:rPr>
          <w:rFonts w:ascii="Segoe UI Symbol" w:eastAsia="Segoe UI Symbol" w:hAnsi="Segoe UI Symbol" w:cs="Segoe UI Symbol"/>
          <w:sz w:val="24"/>
        </w:rPr>
        <w:t xml:space="preserve"> </w:t>
      </w:r>
      <w:r>
        <w:rPr>
          <w:sz w:val="24"/>
        </w:rPr>
        <w:t>0,834</w:t>
      </w:r>
      <w:r>
        <w:t xml:space="preserve"> и </w:t>
      </w:r>
      <w:r>
        <w:rPr>
          <w:sz w:val="24"/>
        </w:rPr>
        <w:t>Э</w:t>
      </w:r>
      <w:r>
        <w:rPr>
          <w:sz w:val="37"/>
          <w:vertAlign w:val="superscript"/>
        </w:rPr>
        <w:t xml:space="preserve">ˆ </w:t>
      </w:r>
      <w:r>
        <w:rPr>
          <w:rFonts w:ascii="Segoe UI Symbol" w:eastAsia="Segoe UI Symbol" w:hAnsi="Segoe UI Symbol" w:cs="Segoe UI Symbol"/>
          <w:sz w:val="24"/>
        </w:rPr>
        <w:t xml:space="preserve"> </w:t>
      </w:r>
      <w:r>
        <w:rPr>
          <w:sz w:val="37"/>
          <w:vertAlign w:val="superscript"/>
        </w:rPr>
        <w:t xml:space="preserve">6 </w:t>
      </w:r>
      <w:r>
        <w:rPr>
          <w:rFonts w:ascii="Segoe UI Symbol" w:eastAsia="Segoe UI Symbol" w:hAnsi="Segoe UI Symbol" w:cs="Segoe UI Symbol"/>
          <w:sz w:val="24"/>
        </w:rPr>
        <w:t xml:space="preserve"> </w:t>
      </w:r>
      <w:r>
        <w:rPr>
          <w:sz w:val="24"/>
        </w:rPr>
        <w:t xml:space="preserve">1,956 </w:t>
      </w:r>
      <w:r>
        <w:rPr>
          <w:rFonts w:ascii="Segoe UI Symbol" w:eastAsia="Segoe UI Symbol" w:hAnsi="Segoe UI Symbol" w:cs="Segoe UI Symbol"/>
          <w:sz w:val="24"/>
        </w:rPr>
        <w:t xml:space="preserve"> </w:t>
      </w:r>
      <w:r>
        <w:rPr>
          <w:sz w:val="24"/>
        </w:rPr>
        <w:t>11,3</w:t>
      </w:r>
      <w:r>
        <w:t xml:space="preserve"> для Хабаровска, то гипотеза о </w:t>
      </w:r>
      <w:r>
        <w:rPr>
          <w:sz w:val="24"/>
        </w:rPr>
        <w:t xml:space="preserve">n </w:t>
      </w:r>
      <w:r>
        <w:rPr>
          <w:rFonts w:ascii="Segoe UI Symbol" w:eastAsia="Segoe UI Symbol" w:hAnsi="Segoe UI Symbol" w:cs="Segoe UI Symbol"/>
          <w:sz w:val="24"/>
        </w:rPr>
        <w:t></w:t>
      </w:r>
      <w:r>
        <w:rPr>
          <w:sz w:val="24"/>
        </w:rPr>
        <w:t>1</w:t>
      </w:r>
    </w:p>
    <w:p w:rsidR="002C0F56" w:rsidRDefault="00E67C6E">
      <w:pPr>
        <w:ind w:left="994" w:right="302" w:firstLine="0"/>
      </w:pPr>
      <w:r>
        <w:lastRenderedPageBreak/>
        <w:t xml:space="preserve">нормальном распределении остатков принимается. </w:t>
      </w:r>
    </w:p>
    <w:p w:rsidR="002C0F56" w:rsidRDefault="00E67C6E">
      <w:pPr>
        <w:spacing w:after="10"/>
        <w:ind w:left="994" w:right="302"/>
      </w:pPr>
      <w:r>
        <w:t xml:space="preserve"> </w:t>
      </w:r>
      <w:r>
        <w:t xml:space="preserve">Таким образом, все построенные модели могут быть использованы в процессе оценки стоимости пылесосов. Ошибки аппроксимации полученных моделей составили 8,9% и 10,2% для Саратова и Хабаровска соответственно.  </w:t>
      </w:r>
    </w:p>
    <w:p w:rsidR="002C0F56" w:rsidRDefault="00E67C6E">
      <w:pPr>
        <w:spacing w:after="0"/>
        <w:ind w:left="994" w:right="302"/>
      </w:pPr>
      <w:r>
        <w:t>В качестве заключения можно отметить, что провед</w:t>
      </w:r>
      <w:r>
        <w:t>енный анализ позволил выделить основные ценообразующие факторы на рынке пылесосов горизонтального исполнения в Саратове и Хабаровске и определить главные требования к ним в каждом регионе, выделить классы пылесосов, наиболее популярных у потребителей в каж</w:t>
      </w:r>
      <w:r>
        <w:t xml:space="preserve">дом городе.  </w:t>
      </w:r>
    </w:p>
    <w:p w:rsidR="002C0F56" w:rsidRDefault="00E67C6E">
      <w:pPr>
        <w:spacing w:after="25"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18"/>
        </w:numPr>
        <w:spacing w:after="12"/>
        <w:ind w:right="302"/>
      </w:pPr>
      <w:r>
        <w:t xml:space="preserve">Регионы России. Социально-экономические показатели (режим доступа: </w:t>
      </w:r>
    </w:p>
    <w:p w:rsidR="002C0F56" w:rsidRDefault="00E67C6E">
      <w:pPr>
        <w:ind w:left="994" w:right="302" w:firstLine="0"/>
      </w:pPr>
      <w:hyperlink r:id="rId1251">
        <w:r>
          <w:t>http://www.gks.ru/wps/wcm/connect/rosst</w:t>
        </w:r>
        <w:r>
          <w:t xml:space="preserve">at_main/rosstat/ru/statistics/publications/ca </w:t>
        </w:r>
      </w:hyperlink>
      <w:hyperlink r:id="rId1252">
        <w:r>
          <w:t>talog/doc</w:t>
        </w:r>
      </w:hyperlink>
      <w:hyperlink r:id="rId1253">
        <w:r>
          <w:t>)</w:t>
        </w:r>
      </w:hyperlink>
      <w:r>
        <w:t xml:space="preserve"> </w:t>
      </w:r>
    </w:p>
    <w:p w:rsidR="002C0F56" w:rsidRDefault="00E67C6E">
      <w:pPr>
        <w:numPr>
          <w:ilvl w:val="0"/>
          <w:numId w:val="218"/>
        </w:numPr>
        <w:ind w:right="302"/>
      </w:pPr>
      <w:r>
        <w:t xml:space="preserve">Тиндова М.Г. Многомерный статистический анализ // Вестник Саратовского государственного социально-экономического университета. 2011. № 1. С. 98. </w:t>
      </w:r>
    </w:p>
    <w:p w:rsidR="002C0F56" w:rsidRDefault="00E67C6E">
      <w:pPr>
        <w:numPr>
          <w:ilvl w:val="0"/>
          <w:numId w:val="218"/>
        </w:numPr>
        <w:ind w:right="302"/>
      </w:pPr>
      <w:r>
        <w:t>Тиндова М.Г. Нечёткая модель экономической оценки экологического ущерба // Экономи</w:t>
      </w:r>
      <w:r>
        <w:t xml:space="preserve">ка: вчера, сегодня, завтра. 2012. №3-4. С. 129-139. </w:t>
      </w:r>
    </w:p>
    <w:p w:rsidR="002C0F56" w:rsidRDefault="00E67C6E">
      <w:pPr>
        <w:numPr>
          <w:ilvl w:val="0"/>
          <w:numId w:val="218"/>
        </w:numPr>
        <w:ind w:right="302"/>
      </w:pPr>
      <w:r>
        <w:t xml:space="preserve">Мендель А.В., Фадеева Н.П. Эконометрика практикум / Саратов, 2014. </w:t>
      </w:r>
    </w:p>
    <w:p w:rsidR="002C0F56" w:rsidRDefault="00E67C6E">
      <w:pPr>
        <w:numPr>
          <w:ilvl w:val="0"/>
          <w:numId w:val="218"/>
        </w:numPr>
        <w:spacing w:after="10"/>
        <w:ind w:right="302"/>
      </w:pPr>
      <w:r>
        <w:t>Тиндова М.Г. Динамический анализ ввода нового жилья в РФ // Модели, системы, сети в экономике, технике, природе и обществе. 2016. №1(17</w:t>
      </w:r>
      <w:r>
        <w:t xml:space="preserve">). С. 135141. </w:t>
      </w:r>
    </w:p>
    <w:p w:rsidR="002C0F56" w:rsidRDefault="00E67C6E">
      <w:pPr>
        <w:spacing w:after="0" w:line="259" w:lineRule="auto"/>
        <w:ind w:left="1558" w:firstLine="0"/>
        <w:jc w:val="left"/>
      </w:pPr>
      <w:r>
        <w:rPr>
          <w:b/>
        </w:rPr>
        <w:t xml:space="preserve"> </w:t>
      </w:r>
    </w:p>
    <w:p w:rsidR="002C0F56" w:rsidRDefault="00E67C6E">
      <w:pPr>
        <w:spacing w:after="30" w:line="259" w:lineRule="auto"/>
        <w:ind w:left="1558" w:firstLine="0"/>
        <w:jc w:val="left"/>
      </w:pPr>
      <w:r>
        <w:rPr>
          <w:b/>
        </w:rPr>
        <w:t xml:space="preserve"> </w:t>
      </w:r>
    </w:p>
    <w:p w:rsidR="002C0F56" w:rsidRDefault="00E67C6E">
      <w:pPr>
        <w:pStyle w:val="1"/>
        <w:spacing w:after="25" w:line="259" w:lineRule="auto"/>
        <w:ind w:right="309"/>
        <w:jc w:val="right"/>
      </w:pPr>
      <w:r>
        <w:t xml:space="preserve">Садовая А.М. </w:t>
      </w:r>
      <w:r>
        <w:rPr>
          <w:b w:val="0"/>
        </w:rPr>
        <w:t xml:space="preserve">Научный руководитель: Крылова Е.В., к.э.н., доц.  </w:t>
      </w:r>
    </w:p>
    <w:p w:rsidR="002C0F56" w:rsidRDefault="00E67C6E">
      <w:pPr>
        <w:spacing w:after="0" w:line="267" w:lineRule="auto"/>
        <w:ind w:left="905" w:right="312" w:hanging="10"/>
        <w:jc w:val="right"/>
      </w:pPr>
      <w:r>
        <w:rPr>
          <w:i/>
        </w:rPr>
        <w:t xml:space="preserve">Вологодский государственный университет </w:t>
      </w:r>
    </w:p>
    <w:p w:rsidR="002C0F56" w:rsidRDefault="00E67C6E">
      <w:pPr>
        <w:spacing w:after="30" w:line="259" w:lineRule="auto"/>
        <w:ind w:left="1558" w:firstLine="0"/>
        <w:jc w:val="left"/>
      </w:pPr>
      <w:r>
        <w:rPr>
          <w:i/>
        </w:rPr>
        <w:t xml:space="preserve"> </w:t>
      </w:r>
    </w:p>
    <w:p w:rsidR="002C0F56" w:rsidRDefault="00E67C6E">
      <w:pPr>
        <w:pStyle w:val="1"/>
        <w:spacing w:after="15" w:line="271" w:lineRule="auto"/>
        <w:ind w:left="1037" w:right="0"/>
        <w:jc w:val="left"/>
      </w:pPr>
      <w:r>
        <w:t xml:space="preserve">ПРОБЛЕМЫ ЗАНЯТОСТИ НАСЕЛЕНИЯ В ВОЛОГОДСКОЙ ОБЛАСТИ  </w:t>
      </w:r>
    </w:p>
    <w:p w:rsidR="002C0F56" w:rsidRDefault="00E67C6E">
      <w:pPr>
        <w:spacing w:after="0" w:line="259" w:lineRule="auto"/>
        <w:ind w:left="1558" w:firstLine="0"/>
        <w:jc w:val="left"/>
      </w:pPr>
      <w:r>
        <w:t xml:space="preserve"> </w:t>
      </w:r>
    </w:p>
    <w:p w:rsidR="002C0F56" w:rsidRDefault="00E67C6E">
      <w:pPr>
        <w:spacing w:after="2"/>
        <w:ind w:left="994" w:right="302"/>
      </w:pPr>
      <w:r>
        <w:t>В настоящих условиях рыночной экономики одной из главных актуальных проблем является занятость населения. Актуальность данной темы заключается в том, что проблема занятости и безработицы как одна из коренных социальноэкономических проблем современного этап</w:t>
      </w:r>
      <w:r>
        <w:t xml:space="preserve">а развития российского общества в наши дни становится неотъемлемым элементом российской действительности, оказывающим существенное влияние на все сферы жизнедеятельности страны, включая экономическую, социальную и политическую.  </w:t>
      </w:r>
    </w:p>
    <w:p w:rsidR="002C0F56" w:rsidRDefault="00E67C6E">
      <w:pPr>
        <w:spacing w:after="0"/>
        <w:ind w:left="994" w:right="302"/>
      </w:pPr>
      <w:r>
        <w:lastRenderedPageBreak/>
        <w:t>Основным механизмом формир</w:t>
      </w:r>
      <w:r>
        <w:t>ования уровня занятости населения является рынок труда. С точки зрения микроэкономики рынок труда следует рассматривать как экономическую среду, в которой формируется спрос и предложение на рабочую силу и через соответствующие механизмы устанавливается опр</w:t>
      </w:r>
      <w:r>
        <w:t>еделенный объем</w:t>
      </w:r>
      <w:hyperlink r:id="rId1254">
        <w:r>
          <w:t xml:space="preserve"> </w:t>
        </w:r>
      </w:hyperlink>
      <w:hyperlink r:id="rId1255">
        <w:r>
          <w:t>занятости</w:t>
        </w:r>
      </w:hyperlink>
      <w:hyperlink r:id="rId1256">
        <w:r>
          <w:t xml:space="preserve"> </w:t>
        </w:r>
      </w:hyperlink>
      <w:r>
        <w:t>и уровень</w:t>
      </w:r>
      <w:hyperlink r:id="rId1257">
        <w:r>
          <w:t xml:space="preserve"> </w:t>
        </w:r>
      </w:hyperlink>
      <w:hyperlink r:id="rId1258">
        <w:r>
          <w:t>оплаты труда</w:t>
        </w:r>
      </w:hyperlink>
      <w:hyperlink r:id="rId1259">
        <w:r>
          <w:t>.</w:t>
        </w:r>
      </w:hyperlink>
      <w:r>
        <w:t xml:space="preserve"> </w:t>
      </w:r>
    </w:p>
    <w:p w:rsidR="002C0F56" w:rsidRDefault="00E67C6E">
      <w:pPr>
        <w:spacing w:after="4"/>
        <w:ind w:left="994" w:right="531"/>
      </w:pPr>
      <w:r>
        <w:t>Важнейшим параметром функционирования труда является занятость. В соответствии с законом «О занятости населения в Российской Федерации» занятость – это деятельность граждан, связанная с удовлетворен</w:t>
      </w:r>
      <w:r>
        <w:t xml:space="preserve">ием личных и общественных потребностей, не противоречащая действующему законодательству и приносящая, как правило, заработок (трудовой доход). </w:t>
      </w:r>
    </w:p>
    <w:p w:rsidR="002C0F56" w:rsidRDefault="00E67C6E">
      <w:pPr>
        <w:ind w:left="994" w:right="533"/>
      </w:pPr>
      <w:r>
        <w:t>В результате несоответствия спроса и предложения на рынке труда имеет место такое явление как безработица – соци</w:t>
      </w:r>
      <w:r>
        <w:t xml:space="preserve">ально-экономическое явление, при котором часть экономически активного населения (рабочей силы) не занята в производстве товаров и услуг вследствие превышения предложения рабочей силы над спросом. </w:t>
      </w:r>
    </w:p>
    <w:p w:rsidR="002C0F56" w:rsidRDefault="00E67C6E">
      <w:pPr>
        <w:ind w:left="994" w:right="302"/>
      </w:pPr>
      <w:r>
        <w:t>Согласно определению</w:t>
      </w:r>
      <w:hyperlink r:id="rId1260">
        <w:r>
          <w:t xml:space="preserve"> </w:t>
        </w:r>
      </w:hyperlink>
      <w:hyperlink r:id="rId1261">
        <w:r>
          <w:t>Международной организации труда,</w:t>
        </w:r>
      </w:hyperlink>
      <w:r>
        <w:t xml:space="preserve"> человек в возрасте 10-72 лет (в</w:t>
      </w:r>
      <w:hyperlink r:id="rId1262">
        <w:r>
          <w:t xml:space="preserve"> </w:t>
        </w:r>
      </w:hyperlink>
      <w:hyperlink r:id="rId1263">
        <w:r>
          <w:t>России,</w:t>
        </w:r>
      </w:hyperlink>
      <w:r>
        <w:t xml:space="preserve"> по</w:t>
      </w:r>
      <w:hyperlink r:id="rId1264" w:anchor=".D0.A0.D0.BE.D1.81.D1.81.D0.B8.D1.8F">
        <w:r>
          <w:t xml:space="preserve"> </w:t>
        </w:r>
      </w:hyperlink>
      <w:hyperlink r:id="rId1265" w:anchor=".D0.A0.D0.BE.D1.81.D1.81.D0.B8.D1.8F">
        <w:r>
          <w:t>методологии Росстата</w:t>
        </w:r>
      </w:hyperlink>
      <w:hyperlink r:id="rId1266" w:anchor=".D0.A0.D0.BE.D1.81.D1.81.D0.B8.D1.8F">
        <w:r>
          <w:t>,</w:t>
        </w:r>
      </w:hyperlink>
      <w:r>
        <w:t xml:space="preserve"> – 15-72 лет[2]) признаётся безработным, если на критическую неделю</w:t>
      </w:r>
      <w:hyperlink r:id="rId1267">
        <w:r>
          <w:t xml:space="preserve"> </w:t>
        </w:r>
      </w:hyperlink>
      <w:hyperlink r:id="rId1268">
        <w:r>
          <w:t xml:space="preserve">обследования населения </w:t>
        </w:r>
      </w:hyperlink>
      <w:hyperlink r:id="rId1269">
        <w:r>
          <w:t>по проблемам занятости</w:t>
        </w:r>
      </w:hyperlink>
      <w:hyperlink r:id="rId1270">
        <w:r>
          <w:t xml:space="preserve"> </w:t>
        </w:r>
      </w:hyperlink>
      <w:r>
        <w:t xml:space="preserve">он одновременно: </w:t>
      </w:r>
    </w:p>
    <w:p w:rsidR="002C0F56" w:rsidRDefault="00E67C6E">
      <w:pPr>
        <w:numPr>
          <w:ilvl w:val="0"/>
          <w:numId w:val="219"/>
        </w:numPr>
        <w:ind w:right="302"/>
      </w:pPr>
      <w:r>
        <w:t>не имел</w:t>
      </w:r>
      <w:hyperlink r:id="rId1271">
        <w:r>
          <w:t xml:space="preserve"> </w:t>
        </w:r>
      </w:hyperlink>
      <w:hyperlink r:id="rId1272">
        <w:r>
          <w:t>работы</w:t>
        </w:r>
      </w:hyperlink>
      <w:hyperlink r:id="rId1273">
        <w:r>
          <w:t xml:space="preserve"> </w:t>
        </w:r>
      </w:hyperlink>
    </w:p>
    <w:p w:rsidR="002C0F56" w:rsidRDefault="00E67C6E">
      <w:pPr>
        <w:numPr>
          <w:ilvl w:val="0"/>
          <w:numId w:val="219"/>
        </w:numPr>
        <w:ind w:right="302"/>
      </w:pPr>
      <w:r>
        <w:t xml:space="preserve">искал работу </w:t>
      </w:r>
    </w:p>
    <w:p w:rsidR="002C0F56" w:rsidRDefault="00E67C6E">
      <w:pPr>
        <w:numPr>
          <w:ilvl w:val="0"/>
          <w:numId w:val="219"/>
        </w:numPr>
        <w:spacing w:after="12"/>
        <w:ind w:right="302"/>
      </w:pPr>
      <w:r>
        <w:t xml:space="preserve">был готов приступить к работе </w:t>
      </w:r>
    </w:p>
    <w:p w:rsidR="002C0F56" w:rsidRDefault="00E67C6E">
      <w:pPr>
        <w:ind w:left="994" w:right="655"/>
      </w:pPr>
      <w:r>
        <w:t>Причины безработицы в мировой экономике разнообразны, однако не все из них являются актуальными для Вологодской области. Основной же прич</w:t>
      </w:r>
      <w:r>
        <w:t>иной этого явления в нашем регионе считается экономический спад или депрессия, которые вынуждают работодателей снижать потребность во всех ресурсах, в том числе и трудовых. Среди других причин, способствующих росту безработицы в Вологодской области в насто</w:t>
      </w:r>
      <w:r>
        <w:t xml:space="preserve">ящий момент можно выделить следующие: </w:t>
      </w:r>
    </w:p>
    <w:p w:rsidR="002C0F56" w:rsidRDefault="00E67C6E">
      <w:pPr>
        <w:numPr>
          <w:ilvl w:val="0"/>
          <w:numId w:val="219"/>
        </w:numPr>
        <w:ind w:right="302"/>
      </w:pPr>
      <w:r>
        <w:t>политика правительства и профсоюзов в области оплаты труда: повышение минимального размера заработной платы увеличивает издержки производства и тем самым снижает спрос на рабочую силу, что иллюстрирует классическая мо</w:t>
      </w:r>
      <w:r>
        <w:t xml:space="preserve">дель рынка труда; </w:t>
      </w:r>
    </w:p>
    <w:p w:rsidR="002C0F56" w:rsidRDefault="00E67C6E">
      <w:pPr>
        <w:numPr>
          <w:ilvl w:val="0"/>
          <w:numId w:val="219"/>
        </w:numPr>
        <w:ind w:right="302"/>
      </w:pPr>
      <w:r>
        <w:t xml:space="preserve">сезонные изменения в уровне производства в отдельных отраслях экономики; </w:t>
      </w:r>
    </w:p>
    <w:p w:rsidR="002C0F56" w:rsidRDefault="00E67C6E">
      <w:pPr>
        <w:numPr>
          <w:ilvl w:val="0"/>
          <w:numId w:val="219"/>
        </w:numPr>
        <w:spacing w:after="10"/>
        <w:ind w:right="302"/>
      </w:pPr>
      <w:r>
        <w:t xml:space="preserve">изменения в демографической структуре населения, в частности, рост численности населения в трудоспособном возрасте увеличивает предложение труда и, следовательно, </w:t>
      </w:r>
      <w:r>
        <w:t xml:space="preserve">возрастает вероятность безработицы.  </w:t>
      </w:r>
    </w:p>
    <w:p w:rsidR="002C0F56" w:rsidRDefault="00E67C6E">
      <w:pPr>
        <w:ind w:left="994" w:right="650"/>
      </w:pPr>
      <w:r>
        <w:t xml:space="preserve">Особенно подвержены риску стать безработными представители в данный момент невостребованных в Вологодской области профессий. К ним </w:t>
      </w:r>
      <w:r>
        <w:lastRenderedPageBreak/>
        <w:t>относятся юристы, экономисты, журналисты и выпускники гуманитарных направлений, что свя</w:t>
      </w:r>
      <w:r>
        <w:t xml:space="preserve">зано, в большей степени, с переизбытком кадров. Напротив, большим спросом среди вологодских работодателей пользуются инженеры, строители, IT-специалисты, медики, педагоги, специалисты в области сервиса и т.д. </w:t>
      </w:r>
    </w:p>
    <w:p w:rsidR="002C0F56" w:rsidRDefault="00E67C6E">
      <w:pPr>
        <w:ind w:left="994" w:right="302"/>
      </w:pPr>
      <w:r>
        <w:t xml:space="preserve">Согласно данным </w:t>
      </w:r>
      <w:hyperlink r:id="rId1274">
        <w:r>
          <w:t xml:space="preserve">Департамента труда и занятости населения Вологодской </w:t>
        </w:r>
      </w:hyperlink>
      <w:hyperlink r:id="rId1275">
        <w:r>
          <w:t>области,</w:t>
        </w:r>
      </w:hyperlink>
      <w:r>
        <w:t xml:space="preserve"> в регионе наблюдается следующая ситуация. </w:t>
      </w:r>
    </w:p>
    <w:p w:rsidR="002C0F56" w:rsidRDefault="00E67C6E">
      <w:pPr>
        <w:ind w:left="994" w:right="302"/>
      </w:pPr>
      <w:r>
        <w:t>По итогам мониторинга состояния областного рынк</w:t>
      </w:r>
      <w:r>
        <w:t>а труда по состоянию на   11 января  2017 года численность безработных граждан, зарегистрированных  в  службе занятости области – 8634 человека,  что на 130 человек  меньше, чем на начало года. Из них 2470 человек проживают в городе Вологда (уровень регист</w:t>
      </w:r>
      <w:r>
        <w:t>рируемой безработицы – 1,3 %), в городе Череповец – 1834 человек (уровень регистрируемой безработицы – 1,0 %). В муниципальных районах Вологодской области проживает 4330 безработных граждан. Потребность в  работниках, заявленная  работодателями в органы сл</w:t>
      </w:r>
      <w:r>
        <w:t xml:space="preserve">ужбы занятости, составляет  15002 единицы, что на  5 единиц меньше, чем на начало года. Нагрузка незанятого населения на одну заявленную вакансию составляет 0,6. </w:t>
      </w:r>
    </w:p>
    <w:p w:rsidR="002C0F56" w:rsidRDefault="00E67C6E">
      <w:pPr>
        <w:ind w:left="994" w:right="302"/>
      </w:pPr>
      <w:r>
        <w:t>С начала 2017 года за содействием в поиске подходящей работы в службу занятости населения обл</w:t>
      </w:r>
      <w:r>
        <w:t>асти обратилось 248 человек, из них 30 человек признано безработными в установленном законодательством порядке, уволено по собственному желанию – 10 человек, уволено в связи с ликвидацией либо сокращением численности или штата работников – 7 человек. В рез</w:t>
      </w:r>
      <w:r>
        <w:t xml:space="preserve">ультате было трудоустроено 68 обратившихся граждан, в том числе, 53 человека на постоянную работу. </w:t>
      </w:r>
    </w:p>
    <w:p w:rsidR="002C0F56" w:rsidRDefault="00E67C6E">
      <w:pPr>
        <w:spacing w:after="9"/>
        <w:ind w:left="994" w:right="302"/>
      </w:pPr>
      <w:r>
        <w:t>Уровень зарегистрированной безработицы, наблюдаемый по Вологодской области, равен  1,4%, этот показатель меньше по сравнению с двумя предыдущим годами, когд</w:t>
      </w:r>
      <w:r>
        <w:t xml:space="preserve">а он достигал 1,8%. Этот показатель можно считать удовлетворительным, учитывая, что средний уровень безработицы по России составляет 1,5%[2].    </w:t>
      </w:r>
    </w:p>
    <w:p w:rsidR="002C0F56" w:rsidRDefault="00E67C6E">
      <w:pPr>
        <w:ind w:left="994" w:right="302"/>
      </w:pPr>
      <w:r>
        <w:t>Повышение уровня безработицы имеет свои отрицательные последствия, среди них можно выделить следующие, актуаль</w:t>
      </w:r>
      <w:r>
        <w:t xml:space="preserve">ные для Вологодской области: </w:t>
      </w:r>
    </w:p>
    <w:p w:rsidR="002C0F56" w:rsidRDefault="00E67C6E">
      <w:pPr>
        <w:numPr>
          <w:ilvl w:val="0"/>
          <w:numId w:val="220"/>
        </w:numPr>
        <w:ind w:right="302" w:firstLine="0"/>
      </w:pPr>
      <w:r>
        <w:t xml:space="preserve">снижение доходов населения; </w:t>
      </w:r>
    </w:p>
    <w:p w:rsidR="002C0F56" w:rsidRDefault="00E67C6E">
      <w:pPr>
        <w:numPr>
          <w:ilvl w:val="0"/>
          <w:numId w:val="220"/>
        </w:numPr>
        <w:ind w:right="302" w:firstLine="0"/>
      </w:pPr>
      <w:r>
        <w:t xml:space="preserve">потеря квалификации работников; </w:t>
      </w:r>
    </w:p>
    <w:p w:rsidR="002C0F56" w:rsidRDefault="00E67C6E">
      <w:pPr>
        <w:numPr>
          <w:ilvl w:val="0"/>
          <w:numId w:val="220"/>
        </w:numPr>
        <w:ind w:right="302" w:firstLine="0"/>
      </w:pPr>
      <w:r>
        <w:t xml:space="preserve">ухудшение динамики роста интереса населения к труду; - снижение уровня обеспеченности домохозяйств; </w:t>
      </w:r>
    </w:p>
    <w:p w:rsidR="002C0F56" w:rsidRDefault="00E67C6E">
      <w:pPr>
        <w:numPr>
          <w:ilvl w:val="0"/>
          <w:numId w:val="220"/>
        </w:numPr>
        <w:spacing w:after="12"/>
        <w:ind w:right="302" w:firstLine="0"/>
      </w:pPr>
      <w:r>
        <w:t xml:space="preserve">стрессовая нагрузка на общество.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21"/>
        </w:numPr>
        <w:spacing w:after="5" w:line="268" w:lineRule="auto"/>
        <w:ind w:right="297" w:firstLine="556"/>
        <w:jc w:val="left"/>
      </w:pPr>
      <w:r>
        <w:t xml:space="preserve">. </w:t>
      </w:r>
      <w:r>
        <w:tab/>
      </w:r>
      <w:r>
        <w:t xml:space="preserve">Методологические </w:t>
      </w:r>
      <w:r>
        <w:tab/>
        <w:t xml:space="preserve">положения </w:t>
      </w:r>
      <w:r>
        <w:tab/>
        <w:t xml:space="preserve">по </w:t>
      </w:r>
      <w:r>
        <w:tab/>
        <w:t xml:space="preserve">проведению </w:t>
      </w:r>
      <w:r>
        <w:tab/>
        <w:t>выборочных</w:t>
      </w:r>
      <w:hyperlink r:id="rId1276">
        <w:r>
          <w:t xml:space="preserve"> </w:t>
        </w:r>
      </w:hyperlink>
      <w:hyperlink r:id="rId1277">
        <w:r>
          <w:t>обследований населен</w:t>
        </w:r>
        <w:r>
          <w:t xml:space="preserve">ия по проблемам занятости </w:t>
        </w:r>
        <w:r>
          <w:lastRenderedPageBreak/>
          <w:t xml:space="preserve">(обследований рабочей силы), </w:t>
        </w:r>
      </w:hyperlink>
      <w:hyperlink r:id="rId1278">
        <w:r>
          <w:t>утверждённые приказом Росстата от 21.12.10г. №</w:t>
        </w:r>
      </w:hyperlink>
      <w:hyperlink r:id="rId1279">
        <w:r>
          <w:t xml:space="preserve"> </w:t>
        </w:r>
      </w:hyperlink>
      <w:hyperlink r:id="rId1280">
        <w:r>
          <w:t>452</w:t>
        </w:r>
      </w:hyperlink>
      <w:hyperlink r:id="rId1281">
        <w:r>
          <w:t xml:space="preserve"> </w:t>
        </w:r>
      </w:hyperlink>
    </w:p>
    <w:p w:rsidR="002C0F56" w:rsidRDefault="00E67C6E">
      <w:pPr>
        <w:numPr>
          <w:ilvl w:val="0"/>
          <w:numId w:val="221"/>
        </w:numPr>
        <w:spacing w:after="10"/>
        <w:ind w:right="297" w:firstLine="556"/>
        <w:jc w:val="left"/>
      </w:pPr>
      <w:r>
        <w:t>. В Вологодской области растет уровень безраб</w:t>
      </w:r>
      <w:r>
        <w:t xml:space="preserve">отицы [Электронный ресурс] // ИА REGNUM. – Режим доступа: </w:t>
      </w:r>
      <w:hyperlink r:id="rId1282">
        <w:r>
          <w:t>https://regnum.ru/news/economy/1926548.html</w:t>
        </w:r>
      </w:hyperlink>
      <w:hyperlink r:id="rId1283">
        <w:r>
          <w:t>.</w:t>
        </w:r>
      </w:hyperlink>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pStyle w:val="1"/>
        <w:spacing w:after="25" w:line="259" w:lineRule="auto"/>
        <w:ind w:right="308"/>
        <w:jc w:val="right"/>
      </w:pPr>
      <w:r>
        <w:t xml:space="preserve">Саркисян Ж.Р. </w:t>
      </w:r>
      <w:r>
        <w:rPr>
          <w:b w:val="0"/>
        </w:rPr>
        <w:t xml:space="preserve">Научный руководитель: Е.В. Товстик </w:t>
      </w:r>
    </w:p>
    <w:p w:rsidR="002C0F56" w:rsidRDefault="00E67C6E">
      <w:pPr>
        <w:spacing w:after="0" w:line="267" w:lineRule="auto"/>
        <w:ind w:left="905" w:right="306" w:hanging="10"/>
        <w:jc w:val="right"/>
      </w:pPr>
      <w:r>
        <w:rPr>
          <w:i/>
        </w:rPr>
        <w:t xml:space="preserve">Макеевский экономико-гуманитарный институт </w:t>
      </w:r>
    </w:p>
    <w:p w:rsidR="002C0F56" w:rsidRDefault="00E67C6E">
      <w:pPr>
        <w:spacing w:after="0" w:line="259" w:lineRule="auto"/>
        <w:ind w:left="1558" w:firstLine="0"/>
        <w:jc w:val="left"/>
      </w:pPr>
      <w:r>
        <w:rPr>
          <w:i/>
        </w:rPr>
        <w:t xml:space="preserve"> </w:t>
      </w:r>
    </w:p>
    <w:p w:rsidR="002C0F56" w:rsidRDefault="00E67C6E">
      <w:pPr>
        <w:pStyle w:val="1"/>
        <w:ind w:left="700" w:right="5"/>
      </w:pPr>
      <w:r>
        <w:t xml:space="preserve">ЗНАЧЕНИЕ ТРАНСНАЦИОНАЛЬНЫХ КОРПОРАЦИЙ В МИРОВОЙ ЭКОНОМИКЕ  </w:t>
      </w:r>
    </w:p>
    <w:p w:rsidR="002C0F56" w:rsidRDefault="00E67C6E">
      <w:pPr>
        <w:spacing w:after="0" w:line="259" w:lineRule="auto"/>
        <w:ind w:left="1558" w:firstLine="0"/>
        <w:jc w:val="left"/>
      </w:pPr>
      <w:r>
        <w:t xml:space="preserve"> </w:t>
      </w:r>
    </w:p>
    <w:p w:rsidR="002C0F56" w:rsidRDefault="00E67C6E">
      <w:pPr>
        <w:spacing w:after="0"/>
        <w:ind w:left="994" w:right="302"/>
      </w:pPr>
      <w:r>
        <w:t>В современных условиях усиливается влияние транснациональных корпораций на мировую экономику. Они диктуют свои условия не только конкурентам по бизнесу, но и государствам. Это стало возможным благодаря их возросшему финансовому могуществу и политической пр</w:t>
      </w:r>
      <w:r>
        <w:t>отекции на самом высоком уровне. Около половины мирового промышленного производства, свыше двух третей внешней торговли приходится на транснациональные корпорации. Они контролируют примерно 80 процентов рынка технологических нововведений и ноу-хау. Общий о</w:t>
      </w:r>
      <w:r>
        <w:t>бъем накопленных прямых иностранных инвестиций превышает 4 трлн.долл., а объем продаж составляет двадцать пять процентов от мирового оборота. Объем продаж заграничных структур транснациональных корпораций превышает весь мировой экспорт. Например, восемьдес</w:t>
      </w:r>
      <w:r>
        <w:t>ят процентов экспортных операций Великобритании выполняется зарубежными ТНК, в США – половина, а в Сингапуре додевяносто процентов. Транснациональные корпорации обеспечили мировой экономике миллионы рабочих мест. В промышленных компаниях ТНК работает более</w:t>
      </w:r>
      <w:r>
        <w:t xml:space="preserve"> 73 млн. человек. В финансовой сфере влияние корпораций не менее велико. Господствуя на международных и национальных рынках капитала, транснациональные банки имеют возможность влиять на взаимный паритет любых национальных валют и на мировой валютный рынок </w:t>
      </w:r>
      <w:r>
        <w:t>в целом. Под контролем транснациональных корпораций находятся и отдельные товарные рынки - девяносто процентов мирового рынка пшеницы, леса, кукурузы, кофе, табака и железной руды; восемьдесят пять процентов рынка металлов и бокситов; восемьдесят процентов</w:t>
      </w:r>
      <w:r>
        <w:t xml:space="preserve"> рынка чая; семьдесят пять процентов рынка нефти - сырца, бананов и каучука. Крупные транснациональные корпорации по основным экономическим показателям, таким как доход, товарооборот, количество персонала превосходят многие развивающиеся государства. </w:t>
      </w:r>
    </w:p>
    <w:p w:rsidR="002C0F56" w:rsidRDefault="00E67C6E">
      <w:pPr>
        <w:spacing w:after="0"/>
        <w:ind w:left="994" w:right="302"/>
      </w:pPr>
      <w:r>
        <w:lastRenderedPageBreak/>
        <w:t>Трев</w:t>
      </w:r>
      <w:r>
        <w:t>огу аналитиков и экспертов вызывает возможность негативного давления не только экономического, но и политического на небольшие страны со стороны ТНК. ТНК, представленные во многих государствах мира, способны влиять на все сферы общественной жизни. А некото</w:t>
      </w:r>
      <w:r>
        <w:t>рые, самые могущественные, способны уклониться от контроля как экономического, так и политического. Известны случаи, когда иностранные инвесторы добивались лоббирования своих интересов от политического руководства, несмотря на возможные негативные последст</w:t>
      </w:r>
      <w:r>
        <w:t xml:space="preserve">вия для местной экологии и благосостояния населения страны в целом. Международные потоки капитала на 96-97 процентов обращаются в развитых странах. На развивающиеся страны приходится лишь 3-4 процента. </w:t>
      </w:r>
    </w:p>
    <w:p w:rsidR="002C0F56" w:rsidRDefault="00E67C6E">
      <w:pPr>
        <w:ind w:left="994" w:right="302"/>
      </w:pPr>
      <w:r>
        <w:t>Среди самых известных влиятельных корпораций можно вы</w:t>
      </w:r>
      <w:r>
        <w:t xml:space="preserve">делить следующие: </w:t>
      </w:r>
    </w:p>
    <w:p w:rsidR="002C0F56" w:rsidRDefault="00E67C6E">
      <w:pPr>
        <w:ind w:left="994" w:right="302"/>
      </w:pPr>
      <w:r>
        <w:rPr>
          <w:i/>
        </w:rPr>
        <w:t xml:space="preserve">Nestlé S.A. </w:t>
      </w:r>
      <w:r>
        <w:rPr>
          <w:b/>
        </w:rPr>
        <w:t xml:space="preserve"> </w:t>
      </w:r>
      <w:r>
        <w:t>Главный мировой производитель продуктов питания. Компания может похвастаться одним из самых больших годовых оборотов. В России выпускает широкий спектр пищевой продукции под торговыми марками Nescafé, KitKat, Nesquik, EXTREM</w:t>
      </w:r>
      <w:r>
        <w:t xml:space="preserve">E, «Россия — щедрая душа», «Бон Пари», Nuts, «Золотая марка», Maggi, , Friskies, Felix, Purina ONE, Gourmet, Darling. </w:t>
      </w:r>
    </w:p>
    <w:p w:rsidR="002C0F56" w:rsidRDefault="00E67C6E">
      <w:pPr>
        <w:ind w:left="994" w:right="302"/>
      </w:pPr>
      <w:r>
        <w:rPr>
          <w:i/>
        </w:rPr>
        <w:t>KraftFoods.</w:t>
      </w:r>
      <w:r>
        <w:rPr>
          <w:b/>
        </w:rPr>
        <w:t xml:space="preserve"> </w:t>
      </w:r>
      <w:r>
        <w:rPr>
          <w:b/>
          <w:i/>
        </w:rPr>
        <w:t xml:space="preserve"> </w:t>
      </w:r>
      <w:r>
        <w:t>Компания была основана в 1903 году Джеймсом Крафтом. В настоящее время — вторая по величине корпорация по выпуску упакованны</w:t>
      </w:r>
      <w:r>
        <w:t>х пищевых продуктов. Продает продукцию в 155 странах мира. В России компания выпускает шоколад под торговыми марками AlpenGold, Milka, «Воздушный», Toblerone; шоколадные конфеты «Чудный вечер» и Coted’Or; кофе CarteNoire, Jacobs и MaxwellHouse; картофельны</w:t>
      </w:r>
      <w:r>
        <w:t xml:space="preserve">е чипсы Estrella. </w:t>
      </w:r>
    </w:p>
    <w:p w:rsidR="002C0F56" w:rsidRDefault="00E67C6E">
      <w:pPr>
        <w:ind w:left="994" w:right="302"/>
      </w:pPr>
      <w:r>
        <w:rPr>
          <w:i/>
        </w:rPr>
        <w:t>Procter&amp;Gamble.</w:t>
      </w:r>
      <w:r>
        <w:rPr>
          <w:b/>
        </w:rPr>
        <w:t xml:space="preserve"> </w:t>
      </w:r>
      <w:r>
        <w:t>Лидер мирового рынка потребительских товаров и крупнейший в мире рекламодатель — затраты на рекламу которого превышают $8 млрд в год. Основные бренды компании: моющие и чистящие средства Fairy, Tide, Ariel, «Миф», Ace, Le</w:t>
      </w:r>
      <w:r>
        <w:t xml:space="preserve">nor, Comet, Mr. Proper; подгузники Pampers; средства для ухода за волосами Wash&amp;Go, Head&amp;Shoulders, Pantene, Shamtu; средства для ухода за телом и парфюмерия Camay, OldSpice, HugoBoss, Dolce&amp;Gabbana, Gucci и многое другое. </w:t>
      </w:r>
    </w:p>
    <w:p w:rsidR="002C0F56" w:rsidRDefault="00E67C6E">
      <w:pPr>
        <w:ind w:left="994" w:right="302"/>
      </w:pPr>
      <w:r>
        <w:rPr>
          <w:i/>
        </w:rPr>
        <w:t>Johnson&amp;Johnson.</w:t>
      </w:r>
      <w:r>
        <w:t xml:space="preserve"> Производит косм</w:t>
      </w:r>
      <w:r>
        <w:t xml:space="preserve">етику, санитарно-гигиенические товары, медицинское оборудование. В составе корпорации — более 230 дочерних компаний. Johnson&amp;Johnson выпускает широкий спектр лекарственных средств, товаров по уходу за телом под такими марками, как «Доктор Мом», «Имодиум», </w:t>
      </w:r>
      <w:r>
        <w:t xml:space="preserve">O.B., Penaten, «Визин» и многое другое. </w:t>
      </w:r>
    </w:p>
    <w:p w:rsidR="002C0F56" w:rsidRDefault="00E67C6E">
      <w:pPr>
        <w:spacing w:after="2"/>
        <w:ind w:left="994" w:right="302"/>
      </w:pPr>
      <w:r>
        <w:rPr>
          <w:i/>
        </w:rPr>
        <w:t>PepsiCo.</w:t>
      </w:r>
      <w:r>
        <w:rPr>
          <w:b/>
        </w:rPr>
        <w:t xml:space="preserve"> </w:t>
      </w:r>
      <w:r>
        <w:t xml:space="preserve"> Формально корпорация основана не так давно, в 1965 году, путем слияния компаний The PepsiCola Company и Frito Lay. В России компания продает продукцию под следующими торговыми марками: «7up», Mountain Dew,</w:t>
      </w:r>
      <w:r>
        <w:t xml:space="preserve"> Mirinda, AquaMinerale, «Русский Дар», «Я», «J-7», «Тонус», «Фруктовый </w:t>
      </w:r>
    </w:p>
    <w:p w:rsidR="002C0F56" w:rsidRDefault="00E67C6E">
      <w:pPr>
        <w:ind w:left="994" w:right="302" w:firstLine="0"/>
      </w:pPr>
      <w:r>
        <w:lastRenderedPageBreak/>
        <w:t xml:space="preserve">Сад», «Любимый», «Tropicana», Lay’s, Cheetos, «Xpycteam», AdrenalineRush, «Домик в деревне», «Агуша», «Имунеле», «Чудо» и «Ессентуки». </w:t>
      </w:r>
    </w:p>
    <w:p w:rsidR="002C0F56" w:rsidRDefault="00E67C6E">
      <w:pPr>
        <w:spacing w:after="0"/>
        <w:ind w:left="994" w:right="302"/>
      </w:pPr>
      <w:r>
        <w:rPr>
          <w:i/>
        </w:rPr>
        <w:t xml:space="preserve">Coca-Cola. </w:t>
      </w:r>
      <w:r>
        <w:t>Крупнейший в мире производитель сироп</w:t>
      </w:r>
      <w:r>
        <w:t xml:space="preserve">ов, концентратов и безалкогольных напитков. Одна из самых крупных компаний в США. Продает свои товары более чем в 200 странах. В России представлена следующими торговыми марками: Coca-Cola, Fanta, Sprite, Schweppes, «Добрый», Rich, BonAqua, Burn. </w:t>
      </w:r>
    </w:p>
    <w:p w:rsidR="002C0F56" w:rsidRDefault="00E67C6E">
      <w:pPr>
        <w:ind w:left="994" w:right="302"/>
      </w:pPr>
      <w:r>
        <w:t>Среди те</w:t>
      </w:r>
      <w:r>
        <w:t xml:space="preserve">лекоммуникационных технологий ведущее место занимает корпорация Аpple. Во время традиционной конференции компания  </w:t>
      </w:r>
      <w:hyperlink r:id="rId1284">
        <w:r>
          <w:t>отчиталась</w:t>
        </w:r>
      </w:hyperlink>
      <w:hyperlink r:id="rId1285">
        <w:r>
          <w:t xml:space="preserve"> </w:t>
        </w:r>
      </w:hyperlink>
      <w:r>
        <w:t>о достигнутых резуль</w:t>
      </w:r>
      <w:r>
        <w:t xml:space="preserve">татах в 4 финансовом квартале 2015 года. Помимо роста продаж техники CEO Apple Тим Кук отдельно отметил, что был достигнут самый высокий показатель выручки за всю историю Apple – $234 млрд. </w:t>
      </w:r>
    </w:p>
    <w:p w:rsidR="002C0F56" w:rsidRDefault="00E67C6E">
      <w:pPr>
        <w:ind w:left="994" w:right="302" w:firstLine="0"/>
      </w:pPr>
      <w:r>
        <w:t>Очевидно, что такая сумма превышает доход целых государств. Это у</w:t>
      </w:r>
      <w:r>
        <w:t xml:space="preserve">тверждение, как оказалось, справедливо даже для крупных стран мира. Для сравнения были использованы официальные данные, содержащиеся в проектах бюджета перечисленных ниже стран. Приведённые суммы являются доходом в бюджет на 2015 финансовый год.  </w:t>
      </w:r>
    </w:p>
    <w:p w:rsidR="002C0F56" w:rsidRDefault="00E67C6E">
      <w:pPr>
        <w:spacing w:after="10"/>
        <w:ind w:left="994" w:right="302"/>
      </w:pPr>
      <w:r>
        <w:t>Так годо</w:t>
      </w:r>
      <w:r>
        <w:t xml:space="preserve">вой доход бюджета Российской федерации равен доходу Аpple, доход Китая в 4,64 раза больше, Германии в 5,9 раза, США в 13,8 раза больше, а вот бюджет Украины в 11,1 раза меньше бюджета данной корпорации. </w:t>
      </w:r>
    </w:p>
    <w:p w:rsidR="002C0F56" w:rsidRDefault="00E67C6E">
      <w:pPr>
        <w:spacing w:after="0"/>
        <w:ind w:left="994" w:right="302"/>
      </w:pPr>
      <w:r>
        <w:t>Среди явных последствия влияния ТНК на развитие экон</w:t>
      </w:r>
      <w:r>
        <w:t xml:space="preserve">омики можно назвать глобальный продовольственный кризис 2008 года, который привлек внимание еще к одной форме участия транснациональных компаний в политике — они становятся крупнейшими землевладельцами. По оценкам ООН, рост населения и изменение структуры </w:t>
      </w:r>
      <w:r>
        <w:t>потребления увеличат спрос на продовольствие до 2050 года на 70-100%, делая сельское хозяйство одним из самых растущих секторов экономики. По оценкам Всемирного банка, к 20082009 годам в наименее развитых странах было арендовано или куплено (в основном кит</w:t>
      </w:r>
      <w:r>
        <w:t>айскими, индийскими и арабскими компаниями) около 570 тыс.кв.км сельскохозяйственных площадей (больше территории Испании). Скупка аграрных земель в странах с недоедающим населением не может проходить без политики. В 2008 году корейская корпорация Daewoo за</w:t>
      </w:r>
      <w:r>
        <w:t>ключила с правительством Мадагаскара сделку по аренде половины всех сельскохозяйственных земель страны на 99 лет. Соглашение стало одной из причин переворота в Мадагаскаре, и первое, что сделало новое правительство,— это отменило сделку. Еще более яркий пр</w:t>
      </w:r>
      <w:r>
        <w:t xml:space="preserve">имер — события "арабской весны" 2011 года, за которыми среди прочих факторов стоит рост цен на продовольствие (особенно в Египте), отчасти вызванный действиями глобальных сырьевых трейдеров вроде Louis Dreyfus и Glencore. </w:t>
      </w:r>
    </w:p>
    <w:p w:rsidR="002C0F56" w:rsidRDefault="00E67C6E">
      <w:pPr>
        <w:ind w:left="994" w:right="302"/>
      </w:pPr>
      <w:r>
        <w:lastRenderedPageBreak/>
        <w:t>Еще одним фактором, усилившим вли</w:t>
      </w:r>
      <w:r>
        <w:t>яние частных компаний в мировой политике, стало стремительное распространение информационных технологий. Там, где спецслужбы тратили десятилетия, чтобы собрать о человеке полную информацию, частные компании справились за двадцать с небольшим лет, создав но</w:t>
      </w:r>
      <w:r>
        <w:t>вые сервисы — от электронной почты до соцсетей. Доступ одновременно к содержанию почты, информации о посещенных интернет - страницах и физических перемещениях человека — самый тотальный контроль людей в истории. Власти большинства стран рассудили одинаково</w:t>
      </w:r>
      <w:r>
        <w:t xml:space="preserve">, позволив компаниям иметь всю информацию, но гарантировав себе доступ к ней в нужный момент. Правда, тут правительства оказались неравны, ведь большинство мировых IT-компаний происходят из США и размещают свои серверы в Калифорнии. </w:t>
      </w:r>
    </w:p>
    <w:p w:rsidR="002C0F56" w:rsidRDefault="00E67C6E">
      <w:pPr>
        <w:spacing w:after="0"/>
        <w:ind w:left="994" w:right="302"/>
      </w:pPr>
      <w:r>
        <w:t>Разные страны решают э</w:t>
      </w:r>
      <w:r>
        <w:t>ту проблему по-разному в зависимости от ресурсов и степени авторитарности режима. Китайские власти создали особый фильтр для нежелательной информации, а также заставляют глобальные компании соглашаться действовать в китайском сегменте сети на основе законо</w:t>
      </w:r>
      <w:r>
        <w:t xml:space="preserve">в КНР (это стало одной из причин конфликта с Google). Другие ограничиваются подозрениями компаний вроде Facebook и Twitter в проведении национальных интересов США во время "арабской весны". </w:t>
      </w:r>
    </w:p>
    <w:p w:rsidR="002C0F56" w:rsidRDefault="00E67C6E">
      <w:pPr>
        <w:spacing w:after="2"/>
        <w:ind w:left="994" w:right="302"/>
      </w:pPr>
      <w:r>
        <w:t>Таким образом, многомиллионные прибыли, доходы превышающие объемы</w:t>
      </w:r>
      <w:r>
        <w:t xml:space="preserve"> национального дохода многих государств мира, создание миллионов рабочих мест в разных странах, все это позволяет назвать некоторые корпорации экономическими «государствами». </w:t>
      </w:r>
      <w:r>
        <w:rPr>
          <w:b/>
        </w:rPr>
        <w:t xml:space="preserve"> </w:t>
      </w:r>
    </w:p>
    <w:p w:rsidR="002C0F56" w:rsidRDefault="00E67C6E">
      <w:pPr>
        <w:spacing w:after="25" w:line="259" w:lineRule="auto"/>
        <w:ind w:left="1558" w:firstLine="0"/>
        <w:jc w:val="left"/>
      </w:pPr>
      <w:r>
        <w:t xml:space="preserve"> </w:t>
      </w:r>
    </w:p>
    <w:p w:rsidR="002C0F56" w:rsidRDefault="00E67C6E">
      <w:pPr>
        <w:spacing w:after="15" w:line="268" w:lineRule="auto"/>
        <w:ind w:left="1262" w:hanging="10"/>
        <w:jc w:val="center"/>
      </w:pPr>
      <w:r>
        <w:t xml:space="preserve">Список литературы: </w:t>
      </w:r>
    </w:p>
    <w:p w:rsidR="002C0F56" w:rsidRDefault="00E67C6E">
      <w:pPr>
        <w:spacing w:after="5"/>
        <w:ind w:left="994" w:right="302"/>
      </w:pPr>
      <w:r>
        <w:t xml:space="preserve">1.Бархатов, В.И. Особенности капитализации корпораций в условиях финансового кризиса [Текст]/ В.И. Бархатов // Вестник Челябинского государственного университета. –2011. – № 34. – С. 195-201.  </w:t>
      </w:r>
    </w:p>
    <w:p w:rsidR="002C0F56" w:rsidRDefault="00E67C6E">
      <w:pPr>
        <w:numPr>
          <w:ilvl w:val="0"/>
          <w:numId w:val="222"/>
        </w:numPr>
        <w:ind w:right="302"/>
      </w:pPr>
      <w:r>
        <w:t xml:space="preserve">Брейли, Р. Принципы корпоративных финансов[Текст] / Р. Брейли, С. Майерс. – 2-е изд. – М. : Олимп-Бизнес, 2008. – 1008 с.  </w:t>
      </w:r>
    </w:p>
    <w:p w:rsidR="002C0F56" w:rsidRDefault="00E67C6E">
      <w:pPr>
        <w:numPr>
          <w:ilvl w:val="0"/>
          <w:numId w:val="222"/>
        </w:numPr>
        <w:spacing w:after="5"/>
        <w:ind w:right="302"/>
      </w:pPr>
      <w:r>
        <w:t>Дасковский, В.Б. О кризисе процесса воспроизводства основных фондов и хозяйственной деятельности в экономике России [Текст]/ В. Б. Д</w:t>
      </w:r>
      <w:r>
        <w:t xml:space="preserve">асковский, В. Б. Киселёв // Инвестиции в России. – 2012. – № 1. – С. 42-56.  </w:t>
      </w:r>
    </w:p>
    <w:p w:rsidR="002C0F56" w:rsidRDefault="00E67C6E">
      <w:pPr>
        <w:numPr>
          <w:ilvl w:val="0"/>
          <w:numId w:val="222"/>
        </w:numPr>
        <w:spacing w:after="7"/>
        <w:ind w:right="302"/>
      </w:pPr>
      <w:r>
        <w:t xml:space="preserve">Малова, Т. А. Капитализация: предпосылки национального прорыва[Текст]/ Т. А. Малова // Финансовый бизнес. – 2013. – Янв.-февр. – С. 39-46.  </w:t>
      </w:r>
    </w:p>
    <w:p w:rsidR="002C0F56" w:rsidRDefault="00E67C6E">
      <w:pPr>
        <w:numPr>
          <w:ilvl w:val="0"/>
          <w:numId w:val="222"/>
        </w:numPr>
        <w:ind w:right="302"/>
      </w:pPr>
      <w:r>
        <w:t>ЦЭФИР Центр экономических и финансовы</w:t>
      </w:r>
      <w:r>
        <w:t xml:space="preserve">х исследований и разработок в Российской экономической школе [Электронный ресурс]. – Режим доступа:http://www.cefir.ru/. </w:t>
      </w:r>
    </w:p>
    <w:p w:rsidR="002C0F56" w:rsidRDefault="00E67C6E">
      <w:pPr>
        <w:spacing w:after="0" w:line="259" w:lineRule="auto"/>
        <w:ind w:left="1558" w:firstLine="0"/>
        <w:jc w:val="left"/>
      </w:pPr>
      <w:r>
        <w:t xml:space="preserve"> </w:t>
      </w:r>
    </w:p>
    <w:p w:rsidR="002C0F56" w:rsidRDefault="00E67C6E">
      <w:pPr>
        <w:spacing w:after="13" w:line="259" w:lineRule="auto"/>
        <w:ind w:left="1558" w:firstLine="0"/>
        <w:jc w:val="left"/>
      </w:pPr>
      <w:r>
        <w:lastRenderedPageBreak/>
        <w:t xml:space="preserve"> </w:t>
      </w:r>
    </w:p>
    <w:p w:rsidR="002C0F56" w:rsidRDefault="00E67C6E">
      <w:pPr>
        <w:pStyle w:val="1"/>
        <w:spacing w:after="11"/>
        <w:ind w:left="5778" w:right="308"/>
        <w:jc w:val="right"/>
      </w:pPr>
      <w:r>
        <w:rPr>
          <w:rFonts w:ascii="Calibri" w:eastAsia="Calibri" w:hAnsi="Calibri" w:cs="Calibri"/>
          <w:sz w:val="32"/>
        </w:rPr>
        <w:t xml:space="preserve">Серищев И.Р. </w:t>
      </w:r>
      <w:r>
        <w:rPr>
          <w:b w:val="0"/>
        </w:rPr>
        <w:t xml:space="preserve">Научный руководитель: Мителкина Г.А. </w:t>
      </w:r>
    </w:p>
    <w:p w:rsidR="002C0F56" w:rsidRDefault="00E67C6E">
      <w:pPr>
        <w:spacing w:after="0" w:line="267" w:lineRule="auto"/>
        <w:ind w:left="905" w:right="304" w:hanging="10"/>
        <w:jc w:val="right"/>
      </w:pPr>
      <w:r>
        <w:rPr>
          <w:i/>
        </w:rPr>
        <w:t xml:space="preserve">Луганский колледж строительства, экономики и права </w:t>
      </w:r>
    </w:p>
    <w:p w:rsidR="002C0F56" w:rsidRDefault="00E67C6E">
      <w:pPr>
        <w:spacing w:after="30" w:line="259" w:lineRule="auto"/>
        <w:ind w:left="1558" w:firstLine="0"/>
        <w:jc w:val="left"/>
      </w:pPr>
      <w:r>
        <w:rPr>
          <w:b/>
          <w:i/>
        </w:rPr>
        <w:t xml:space="preserve"> </w:t>
      </w:r>
    </w:p>
    <w:p w:rsidR="002C0F56" w:rsidRDefault="00E67C6E">
      <w:pPr>
        <w:pStyle w:val="1"/>
        <w:spacing w:after="15" w:line="271" w:lineRule="auto"/>
        <w:ind w:left="1566" w:right="0"/>
        <w:jc w:val="left"/>
      </w:pPr>
      <w:r>
        <w:t xml:space="preserve">УТИЛИЗАЦИЯ ТВЕРДЫХ БЫТОВЫХ ОТХОДОВ В ЛУГАНСКЕ </w:t>
      </w:r>
    </w:p>
    <w:p w:rsidR="002C0F56" w:rsidRDefault="00E67C6E">
      <w:pPr>
        <w:spacing w:after="0" w:line="259" w:lineRule="auto"/>
        <w:ind w:left="1558" w:firstLine="0"/>
        <w:jc w:val="left"/>
      </w:pPr>
      <w:r>
        <w:rPr>
          <w:i/>
        </w:rPr>
        <w:t xml:space="preserve"> </w:t>
      </w:r>
    </w:p>
    <w:p w:rsidR="002C0F56" w:rsidRDefault="00E67C6E">
      <w:pPr>
        <w:spacing w:after="1"/>
        <w:ind w:left="994" w:right="302"/>
      </w:pPr>
      <w:r>
        <w:t>Для современного этапа развития мировой экономики характерно усиление глобализационных процессов. Особое внимание уделяется экологическим вопросам в связи с загрязнением окружающей среды твердыми бытовыми от</w:t>
      </w:r>
      <w:r>
        <w:t xml:space="preserve">ходами (ТБО). </w:t>
      </w:r>
    </w:p>
    <w:p w:rsidR="002C0F56" w:rsidRDefault="00E67C6E">
      <w:pPr>
        <w:ind w:left="994" w:right="302"/>
      </w:pPr>
      <w:r>
        <w:t>Актуальность данной проблемы связана с необходимостью обеспечения жизнедеятельности и здоровья населения, санитарной очистки населенных пунктов, охраны окружающей природной среды. Благодаря тому, что численность населения постоянно увеличива</w:t>
      </w:r>
      <w:r>
        <w:t xml:space="preserve">ется, потребление ресурсов также неуклонно растет, что сопровождается увеличением количества отходов. Мусорные свалки, загрязнение водоемов – это все то, к чему приводит жизнедеятельность человека. </w:t>
      </w:r>
    </w:p>
    <w:p w:rsidR="002C0F56" w:rsidRDefault="00E67C6E">
      <w:pPr>
        <w:ind w:left="994" w:right="302"/>
      </w:pPr>
      <w:r>
        <w:t>По данным национального института стратегических исследов</w:t>
      </w:r>
      <w:r>
        <w:t xml:space="preserve">аний, наш регион является европейским лидером по количеству отходов на душу населения. При этом обеспеченность услугами по вывозу ТБО составляет 70% </w:t>
      </w:r>
    </w:p>
    <w:p w:rsidR="002C0F56" w:rsidRDefault="00E67C6E">
      <w:pPr>
        <w:spacing w:after="12"/>
        <w:ind w:left="994" w:right="302" w:firstLine="0"/>
      </w:pPr>
      <w:r>
        <w:t xml:space="preserve">[1, с. 15]. </w:t>
      </w:r>
    </w:p>
    <w:p w:rsidR="002C0F56" w:rsidRDefault="00E67C6E">
      <w:pPr>
        <w:spacing w:after="0"/>
        <w:ind w:left="994" w:right="302"/>
      </w:pPr>
      <w:r>
        <w:t>Большинство санкционированных мусоросвалок перегружены, не соответствуют нормам экологической</w:t>
      </w:r>
      <w:r>
        <w:t xml:space="preserve"> безопасности, нуждаются в санации. В результате легальные свалки опасны для здоровья людей [2, с. 431]. По статистическим данным ежегодно образуется 24 тыс. несанкционированных свалок, которые занимают площадь 750 га. </w:t>
      </w:r>
    </w:p>
    <w:p w:rsidR="002C0F56" w:rsidRDefault="00E67C6E">
      <w:pPr>
        <w:spacing w:after="0"/>
        <w:ind w:left="994" w:right="302"/>
      </w:pPr>
      <w:r>
        <w:t>Луганщина является одной из областей</w:t>
      </w:r>
      <w:r>
        <w:t xml:space="preserve"> лидеров по показателю площади полигонов ТБО. Города нашей области не обеспечены достаточным количеством автотранспорта, горючего, а как следствие, происходит образование несанкционированных свалок. Всего на Луганщине можно насчитать 29 свалок, относящихся</w:t>
      </w:r>
      <w:r>
        <w:t xml:space="preserve"> к районным центрам и городам, а также более 160 – в сёлах. Их общая площадь – около 450 га. Луганский полигон твёрдобытовых отходов, расположенный в Александровске, занимает особое место в теме экологии областного центра.  Проведенный специалистами анализ</w:t>
      </w:r>
      <w:r>
        <w:t xml:space="preserve"> показал, что наибольшее количество свалочного метана (биогаза), образующегося в результате разложения отходов, выбрасывается в атмосферу именно Александровским полигоном твердых бытовых отходов. Безусловно, данный факт отражается на общей экологической оц</w:t>
      </w:r>
      <w:r>
        <w:t xml:space="preserve">енке территории нашего края. Основной мусор вывозится на городские свалки, многие из которых подлежат </w:t>
      </w:r>
      <w:r>
        <w:lastRenderedPageBreak/>
        <w:t>закрытию. Мусор собирается у дорог, на территориях предприятий, в лесопосадках. В настоящее время бытовые отходы все меньше отличаются от промышленных отх</w:t>
      </w:r>
      <w:r>
        <w:t>одов. В быту используются такие вещества, которые, вступая на мусорных свалках в химические реакции, приводят к выбросу токсичных веществ, в том числе и диоксидов. Схемы очистки территории городов от многочисленных свалок нет, так как нет специального тран</w:t>
      </w:r>
      <w:r>
        <w:t xml:space="preserve">спорта, средств, да и некуда вывозить накопившиеся тонны отходов. </w:t>
      </w:r>
    </w:p>
    <w:p w:rsidR="002C0F56" w:rsidRDefault="00E67C6E">
      <w:pPr>
        <w:spacing w:after="2"/>
        <w:ind w:left="994" w:right="302"/>
      </w:pPr>
      <w:r>
        <w:t>Среди методов, решающих проблемы утилизации ТБО наиболее распространены в мировой практике следующие: захоронение на полигонах, сжигание, компостирование, плазменная переработка, переработк</w:t>
      </w:r>
      <w:r>
        <w:t xml:space="preserve">а с предварительным раздельным сбором ТБО. </w:t>
      </w:r>
    </w:p>
    <w:p w:rsidR="002C0F56" w:rsidRDefault="00E67C6E">
      <w:pPr>
        <w:spacing w:after="10"/>
        <w:ind w:left="994" w:right="302"/>
      </w:pPr>
      <w:r>
        <w:t xml:space="preserve">Учитывая преимущества и недостатки данных методов наиболее приемлемым, как с экономической, так и экологической точки зрения является переработка с предварительным раздельным сбором отходов. </w:t>
      </w:r>
    </w:p>
    <w:p w:rsidR="002C0F56" w:rsidRDefault="00E67C6E">
      <w:pPr>
        <w:spacing w:after="10"/>
        <w:ind w:left="994" w:right="302"/>
      </w:pPr>
      <w:r>
        <w:t>В нашем регионе, вви</w:t>
      </w:r>
      <w:r>
        <w:t xml:space="preserve">ду отсутствия комплексной системы управления отходами, они утилизируются на полигонах, в европейских странах доля вторичной переработки составляет до 42% [2, с.36]. </w:t>
      </w:r>
    </w:p>
    <w:p w:rsidR="002C0F56" w:rsidRDefault="00E67C6E">
      <w:pPr>
        <w:ind w:left="994" w:right="302"/>
      </w:pPr>
      <w:r>
        <w:t>При этом до 40% массы бытовых отходов содержит ресурсоценные компоненты, которые потенциал</w:t>
      </w:r>
      <w:r>
        <w:t xml:space="preserve">ьно могут быть использованы в качестве вторсырья. Таким образом, крайне нерационально закапывать в землю готовое сырье, пригодное для использования.  </w:t>
      </w:r>
    </w:p>
    <w:p w:rsidR="002C0F56" w:rsidRDefault="00E67C6E">
      <w:pPr>
        <w:spacing w:after="0"/>
        <w:ind w:left="994" w:right="302"/>
      </w:pPr>
      <w:r>
        <w:t>Главной проблемой использования ТБО в качестве сырья становится его отделение от мусорной массы, поскольк</w:t>
      </w:r>
      <w:r>
        <w:t xml:space="preserve">у в смеси отходы не пригодны для переработки. Учитывая невозможность технической сортировки бытовых отходов, приоритетным в системе управления ТБО является раздельный сбор отходов на этапе возникновения. </w:t>
      </w:r>
    </w:p>
    <w:p w:rsidR="002C0F56" w:rsidRDefault="00E67C6E">
      <w:pPr>
        <w:spacing w:after="0"/>
        <w:ind w:left="994" w:right="302"/>
      </w:pPr>
      <w:r>
        <w:t>Вместе с тем важным преимуществом раздельного сбора</w:t>
      </w:r>
      <w:r>
        <w:t xml:space="preserve"> ТБО является возможность выделения из них тех компонентов, которые в процессе дальнейшей переработки (например, методом сжигания или компостирования) могут угрожать здоровью людей или не удовлетворяют требованиям процессов дальнейшей обработки. </w:t>
      </w:r>
    </w:p>
    <w:p w:rsidR="002C0F56" w:rsidRDefault="00E67C6E">
      <w:pPr>
        <w:spacing w:after="0"/>
        <w:ind w:left="994" w:right="302"/>
      </w:pPr>
      <w:r>
        <w:t>Существую</w:t>
      </w:r>
      <w:r>
        <w:t>щая в западных странах конкуренция за право работать с отходами говорит о рентабельности данной отрасли экономики. Это объясняется значительными размерами плат за размещение и утилизацию ТБО. К примеру, общая плата за вывоз и утилизацию отходов для жителей</w:t>
      </w:r>
      <w:r>
        <w:t xml:space="preserve"> Европы превышает 200 дол/т [3, с.15]. В условиях Луганщины для достижения данного показателя необходимо увеличить ежемесячную плату за вывоз ТБО с одного жителя, не учитывая возможности вторичной переработки сырья и энергозатрат. Высокая цена за утилизаци</w:t>
      </w:r>
      <w:r>
        <w:t xml:space="preserve">ю отходов создаёт стимул для оперативного решения проблемы загрязнения окружающей среды ТБО. С другой стороны повышение цен создаёт риск увеличения несанкционированных свалок.  </w:t>
      </w:r>
    </w:p>
    <w:p w:rsidR="002C0F56" w:rsidRDefault="00E67C6E">
      <w:pPr>
        <w:spacing w:after="13"/>
        <w:ind w:left="994" w:right="302"/>
      </w:pPr>
      <w:r>
        <w:lastRenderedPageBreak/>
        <w:t>Луганщина имеет и положительный опыт в решении проблемы сбора и переработки твердых бытовых отходов. Так, в 2012 году была запущена конвейерная линия на Ровеньковском мусоросортировочном комплексе. Частное предприятие «Заря Донбасса» заключило договор с ис</w:t>
      </w:r>
      <w:r>
        <w:t>полнительной властью города о транспортировки ТБО, а задачей мусоросортировочного комплекса стало уменьшение отходов к захоронению. Был изучен опыт многих городов - Мариуполя, Павлограда, Обухова. Завод сортирует мусор по 12 фракциям, а в городе и поселках</w:t>
      </w:r>
      <w:r>
        <w:t xml:space="preserve"> установлено около трехсот контейнеровпирамидок для ПЭТ-тары. Вопрос утилизации ТБО на Луганщине может решиться, если для бизнесменов будут найдены пути заработка. </w:t>
      </w:r>
    </w:p>
    <w:p w:rsidR="002C0F56" w:rsidRDefault="00E67C6E">
      <w:pPr>
        <w:spacing w:after="10"/>
        <w:ind w:left="994" w:right="302"/>
      </w:pPr>
      <w:r>
        <w:t>Для эффективного решения этих проблем необходимы новые подходы в области природоохранной по</w:t>
      </w:r>
      <w:r>
        <w:t xml:space="preserve">литики, внедрения комплекса мероприятий на региональном уровне, а также на уровне отдельных предприятий.  </w:t>
      </w:r>
    </w:p>
    <w:p w:rsidR="002C0F56" w:rsidRDefault="00E67C6E">
      <w:pPr>
        <w:ind w:left="994" w:right="302"/>
      </w:pPr>
      <w:r>
        <w:t xml:space="preserve">В частности со стороны государственных органов необходим ряд мероприятий: </w:t>
      </w:r>
    </w:p>
    <w:p w:rsidR="002C0F56" w:rsidRDefault="00E67C6E">
      <w:pPr>
        <w:numPr>
          <w:ilvl w:val="0"/>
          <w:numId w:val="223"/>
        </w:numPr>
        <w:ind w:right="302"/>
      </w:pPr>
      <w:r>
        <w:t>разработка комплексных областных и местных программ по переработке и утили</w:t>
      </w:r>
      <w:r>
        <w:t xml:space="preserve">зации отходов с учетом местных особенностей; </w:t>
      </w:r>
    </w:p>
    <w:p w:rsidR="002C0F56" w:rsidRDefault="00E67C6E">
      <w:pPr>
        <w:numPr>
          <w:ilvl w:val="0"/>
          <w:numId w:val="223"/>
        </w:numPr>
        <w:spacing w:after="10"/>
        <w:ind w:right="302"/>
      </w:pPr>
      <w:r>
        <w:t xml:space="preserve">содействие сокращению количества отходов, захороняемых на полигонах, за счёт разработки финансовых стимулов для тех предприятий, которые принимают на себя обязательства по сбору и утилизации ТБО; </w:t>
      </w:r>
    </w:p>
    <w:p w:rsidR="002C0F56" w:rsidRDefault="00E67C6E">
      <w:pPr>
        <w:numPr>
          <w:ilvl w:val="0"/>
          <w:numId w:val="223"/>
        </w:numPr>
        <w:spacing w:after="10"/>
        <w:ind w:right="302"/>
      </w:pPr>
      <w:r>
        <w:t>усовершенство</w:t>
      </w:r>
      <w:r>
        <w:t xml:space="preserve">вание системы мониторинга за полигонами, выведение из эксплуатации перегруженных полигонов ТБО, корректировка деятельности полигонов, которые не соответствуют нормам экологической безопасности; </w:t>
      </w:r>
    </w:p>
    <w:p w:rsidR="002C0F56" w:rsidRDefault="00E67C6E">
      <w:pPr>
        <w:numPr>
          <w:ilvl w:val="0"/>
          <w:numId w:val="223"/>
        </w:numPr>
        <w:ind w:right="302"/>
      </w:pPr>
      <w:r>
        <w:t>повышение существующего уровня нормативов оплаты за размещени</w:t>
      </w:r>
      <w:r>
        <w:t xml:space="preserve">е отходов до оптимального уровня; </w:t>
      </w:r>
    </w:p>
    <w:p w:rsidR="002C0F56" w:rsidRDefault="00E67C6E">
      <w:pPr>
        <w:numPr>
          <w:ilvl w:val="0"/>
          <w:numId w:val="223"/>
        </w:numPr>
        <w:spacing w:after="12"/>
        <w:ind w:right="302"/>
      </w:pPr>
      <w:r>
        <w:t xml:space="preserve">создание раздельного сбора, утилизации и переработки отходов; </w:t>
      </w:r>
    </w:p>
    <w:p w:rsidR="002C0F56" w:rsidRDefault="00E67C6E">
      <w:pPr>
        <w:numPr>
          <w:ilvl w:val="0"/>
          <w:numId w:val="223"/>
        </w:numPr>
        <w:ind w:right="302"/>
      </w:pPr>
      <w:r>
        <w:t xml:space="preserve">инициирование строительства современных мусоросортировочных, мусоросжигающих и мусороперерабатывающих заводов. </w:t>
      </w:r>
    </w:p>
    <w:p w:rsidR="002C0F56" w:rsidRDefault="00E67C6E">
      <w:pPr>
        <w:spacing w:after="4"/>
        <w:ind w:left="994" w:right="302"/>
      </w:pPr>
      <w:r>
        <w:t>Однако решающее значение в данных преобразован</w:t>
      </w:r>
      <w:r>
        <w:t>иях отводится личностному фактору. Именно экологическое сознание граждан, их активная позиция - необходимое требование успешной деятельности, тогда как безразличие сведет на нет любые усилия. Экологическое воспитание предполагает привитие высокой экологиче</w:t>
      </w:r>
      <w:r>
        <w:t>ской культуры, способности бережного отношения к природным богатствам. Иными словами, должно сформироваться новое экологическое сознание и мышление, суть которого в том, что человек — часть природы и сохранение природы — это сохранение полноценной жизни че</w:t>
      </w:r>
      <w:r>
        <w:t xml:space="preserve">ловека.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24"/>
        </w:numPr>
        <w:ind w:right="302"/>
      </w:pPr>
      <w:r>
        <w:lastRenderedPageBreak/>
        <w:t xml:space="preserve">Збірник матеріалів до регіональної наукової конференції аспіратів і студентів "Екологічні проблеми топливно-енергетичного комплексу", 26 - 27 квітня. - Донецьк, ДонНТу, 2011. -145 с. </w:t>
      </w:r>
    </w:p>
    <w:p w:rsidR="002C0F56" w:rsidRDefault="00E67C6E">
      <w:pPr>
        <w:numPr>
          <w:ilvl w:val="0"/>
          <w:numId w:val="224"/>
        </w:numPr>
        <w:ind w:right="302"/>
      </w:pPr>
      <w:r>
        <w:t>Сміття - важлива екологічна проблема. Шл</w:t>
      </w:r>
      <w:r>
        <w:t xml:space="preserve">яхи її вирішення / ред. М. </w:t>
      </w:r>
    </w:p>
    <w:p w:rsidR="002C0F56" w:rsidRDefault="00E67C6E">
      <w:pPr>
        <w:ind w:left="994" w:right="302" w:firstLine="0"/>
      </w:pPr>
      <w:r>
        <w:t xml:space="preserve">М. Скиданюк, Т. Р. Рогів. – Манява, 2010. - 59 с. </w:t>
      </w:r>
    </w:p>
    <w:p w:rsidR="002C0F56" w:rsidRDefault="00E67C6E">
      <w:pPr>
        <w:numPr>
          <w:ilvl w:val="0"/>
          <w:numId w:val="224"/>
        </w:numPr>
        <w:ind w:right="302"/>
      </w:pPr>
      <w:r>
        <w:t xml:space="preserve">Боронос В.М. Еколого-економічна ефективність утилізації відходів промислових підприємств / В.М. Боронос, І.В. Мамчук // Вісник СумДУ, 2009. - </w:t>
      </w:r>
    </w:p>
    <w:p w:rsidR="002C0F56" w:rsidRDefault="00E67C6E">
      <w:pPr>
        <w:spacing w:after="12"/>
        <w:ind w:left="994" w:right="302" w:firstLine="0"/>
      </w:pPr>
      <w:r>
        <w:t xml:space="preserve">№ 2. - С. 5-17. – </w:t>
      </w:r>
      <w:r>
        <w:t xml:space="preserve">(Серія Економіка).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11"/>
        <w:ind w:left="4165" w:right="308"/>
        <w:jc w:val="right"/>
      </w:pPr>
      <w:r>
        <w:t xml:space="preserve">Сидорова О.В.  </w:t>
      </w:r>
      <w:r>
        <w:rPr>
          <w:b w:val="0"/>
        </w:rPr>
        <w:t xml:space="preserve">Научный руководитель: Капацинская Е. Н., к.э.н, доц.  </w:t>
      </w:r>
    </w:p>
    <w:p w:rsidR="002C0F56" w:rsidRDefault="00E67C6E">
      <w:pPr>
        <w:spacing w:after="0" w:line="267" w:lineRule="auto"/>
        <w:ind w:left="905" w:right="310" w:hanging="10"/>
        <w:jc w:val="right"/>
      </w:pPr>
      <w:r>
        <w:rPr>
          <w:i/>
        </w:rPr>
        <w:t xml:space="preserve">Рязанский Государственный Радиотехнический Университет  </w:t>
      </w:r>
    </w:p>
    <w:p w:rsidR="002C0F56" w:rsidRDefault="00E67C6E">
      <w:pPr>
        <w:spacing w:after="30" w:line="259" w:lineRule="auto"/>
        <w:ind w:left="1558" w:firstLine="0"/>
        <w:jc w:val="left"/>
      </w:pPr>
      <w:r>
        <w:rPr>
          <w:b/>
        </w:rPr>
        <w:t xml:space="preserve"> </w:t>
      </w:r>
    </w:p>
    <w:p w:rsidR="002C0F56" w:rsidRDefault="00E67C6E">
      <w:pPr>
        <w:pStyle w:val="1"/>
        <w:ind w:left="700" w:right="2"/>
      </w:pPr>
      <w:r>
        <w:t xml:space="preserve">ОРГАНИЗАЦИЯ ТРУДА ПЕРСОНАЛА, ЕЕ СОДЕРЖАНИЕ </w:t>
      </w:r>
    </w:p>
    <w:p w:rsidR="002C0F56" w:rsidRDefault="00E67C6E">
      <w:pPr>
        <w:spacing w:after="25" w:line="259" w:lineRule="auto"/>
        <w:ind w:left="1558" w:firstLine="0"/>
        <w:jc w:val="left"/>
      </w:pPr>
      <w:r>
        <w:t xml:space="preserve"> </w:t>
      </w:r>
    </w:p>
    <w:p w:rsidR="002C0F56" w:rsidRDefault="00E67C6E">
      <w:pPr>
        <w:spacing w:after="0"/>
        <w:ind w:left="994" w:right="302"/>
      </w:pPr>
      <w:r>
        <w:t xml:space="preserve">Организация труда — </w:t>
      </w:r>
      <w:r>
        <w:t>это система научно обоснованных мероприятий, направленных на обеспечение условий для рационального функционирования рабочей силы в процессе производства, способствующих достижению наивысшей результативности трудовой деятельности, развитию производства инте</w:t>
      </w:r>
      <w:r>
        <w:t>нсивным методом. В широком значении содержание организации труда охватывает также нормирование труда, формирование подходящих условий труда, вырабатывание у работника дисциплины труда, трудовой активности и творческой инициативы. Сущность организации труда</w:t>
      </w:r>
      <w:r>
        <w:t xml:space="preserve"> содержится в установлении определенного порядка построения и воплощения трудового процесса. При этом, это в одинаковой ступени вероятно не только для отдельных членов какой-либо организации, но и коллектива в целом, равным образом для людей, работающих на</w:t>
      </w:r>
      <w:r>
        <w:t xml:space="preserve"> «вольных хлебах», как к примеру работа репетитором, фрилансером, писателем и т. д. </w:t>
      </w:r>
    </w:p>
    <w:p w:rsidR="002C0F56" w:rsidRDefault="00E67C6E">
      <w:pPr>
        <w:ind w:left="1558" w:right="302" w:firstLine="0"/>
      </w:pPr>
      <w:r>
        <w:t xml:space="preserve">К элементам организации труда в коллективе относятся: </w:t>
      </w:r>
    </w:p>
    <w:p w:rsidR="002C0F56" w:rsidRDefault="00E67C6E">
      <w:pPr>
        <w:numPr>
          <w:ilvl w:val="0"/>
          <w:numId w:val="225"/>
        </w:numPr>
        <w:ind w:right="302"/>
      </w:pPr>
      <w:r>
        <w:t xml:space="preserve">разделение и объединение труда — отделение видов трудовой деятельности и налаженность производственных взаимосвязей </w:t>
      </w:r>
      <w:r>
        <w:t xml:space="preserve">работников; </w:t>
      </w:r>
    </w:p>
    <w:p w:rsidR="002C0F56" w:rsidRDefault="00E67C6E">
      <w:pPr>
        <w:numPr>
          <w:ilvl w:val="0"/>
          <w:numId w:val="225"/>
        </w:numPr>
        <w:ind w:right="302"/>
      </w:pPr>
      <w:r>
        <w:t xml:space="preserve">оптимальные приемы и способы труда, вследствие которых обеспечивается более экономное исполнение операций (с позиции издержек времени и усилий работника); </w:t>
      </w:r>
    </w:p>
    <w:p w:rsidR="002C0F56" w:rsidRDefault="00E67C6E">
      <w:pPr>
        <w:numPr>
          <w:ilvl w:val="0"/>
          <w:numId w:val="225"/>
        </w:numPr>
        <w:ind w:right="302"/>
      </w:pPr>
      <w:r>
        <w:t xml:space="preserve">организация рабочего места, т. е. обеспечение его необходимыми средствами производства </w:t>
      </w:r>
      <w:r>
        <w:t xml:space="preserve">и их разумное размещение на площади (планировка); </w:t>
      </w:r>
    </w:p>
    <w:p w:rsidR="002C0F56" w:rsidRDefault="00E67C6E">
      <w:pPr>
        <w:numPr>
          <w:ilvl w:val="0"/>
          <w:numId w:val="225"/>
        </w:numPr>
        <w:ind w:right="302"/>
      </w:pPr>
      <w:r>
        <w:t xml:space="preserve">организация обслуживания рабочего места — виды обслуживания, формы его предоставления, выбор исполнителя. </w:t>
      </w:r>
    </w:p>
    <w:p w:rsidR="002C0F56" w:rsidRDefault="00E67C6E">
      <w:pPr>
        <w:ind w:left="994" w:right="302"/>
      </w:pPr>
      <w:r>
        <w:lastRenderedPageBreak/>
        <w:t>Разделение труда сформировывает содержание труда работника. В свою очередность, содержание труда о</w:t>
      </w:r>
      <w:r>
        <w:t xml:space="preserve">бязано отвечать уровню квалификации, образования работника, т. е. его трудовому потенциалу. </w:t>
      </w:r>
    </w:p>
    <w:p w:rsidR="002C0F56" w:rsidRDefault="00E67C6E">
      <w:pPr>
        <w:spacing w:after="57"/>
        <w:ind w:left="1558" w:right="302" w:firstLine="0"/>
      </w:pPr>
      <w:r>
        <w:t xml:space="preserve">Различаются такие виды разделения труда, как:  </w:t>
      </w:r>
    </w:p>
    <w:p w:rsidR="002C0F56" w:rsidRDefault="00E67C6E">
      <w:pPr>
        <w:numPr>
          <w:ilvl w:val="0"/>
          <w:numId w:val="226"/>
        </w:numPr>
        <w:spacing w:after="12"/>
        <w:ind w:right="302" w:hanging="144"/>
      </w:pPr>
      <w:r>
        <w:t xml:space="preserve">технологическое </w:t>
      </w:r>
    </w:p>
    <w:p w:rsidR="002C0F56" w:rsidRDefault="00E67C6E">
      <w:pPr>
        <w:numPr>
          <w:ilvl w:val="0"/>
          <w:numId w:val="226"/>
        </w:numPr>
        <w:spacing w:after="12"/>
        <w:ind w:right="302" w:hanging="144"/>
      </w:pPr>
      <w:r>
        <w:t xml:space="preserve">функциональное  </w:t>
      </w:r>
    </w:p>
    <w:p w:rsidR="002C0F56" w:rsidRDefault="00E67C6E">
      <w:pPr>
        <w:numPr>
          <w:ilvl w:val="0"/>
          <w:numId w:val="226"/>
        </w:numPr>
        <w:spacing w:after="12"/>
        <w:ind w:right="302" w:hanging="144"/>
      </w:pPr>
      <w:r>
        <w:t xml:space="preserve">квалификационное </w:t>
      </w:r>
    </w:p>
    <w:p w:rsidR="002C0F56" w:rsidRDefault="00E67C6E">
      <w:pPr>
        <w:ind w:left="994" w:right="302"/>
      </w:pPr>
      <w:r>
        <w:t>Применение коллективных форм организации труда и демократизация</w:t>
      </w:r>
      <w:r>
        <w:t xml:space="preserve"> управления положительно сказываются на производственных результатах и значительно повышают качество трудовой жизни, принося дополнительный экономический и социальный результат. Важным направлением работ по созданию возможностей для реализации трудового по</w:t>
      </w:r>
      <w:r>
        <w:t>тенциала является усовершенствование условий труда. Немалое значение для применения трудового потенциала имеет установление норм времени на выполнение работы. Нормирование труда обеспечивает экономию издержек труда и содействует наиболее высочайшему уровню</w:t>
      </w:r>
      <w:r>
        <w:t xml:space="preserve"> управления производством. На базе норм издержек труда строятся составление плана, организация производства и управления, обеспечиваются мотивация труда, функция учета издержек живого труда, контролирование за загрузкой персонала.  </w:t>
      </w:r>
    </w:p>
    <w:p w:rsidR="002C0F56" w:rsidRDefault="00E67C6E">
      <w:pPr>
        <w:ind w:left="994" w:right="302"/>
      </w:pPr>
      <w:r>
        <w:t>Организация рабочего ме</w:t>
      </w:r>
      <w:r>
        <w:t xml:space="preserve">ста – это порядок мероприятий в соответствии с его квалификацией, оснащению необходимыми средствами и предметами труда, их размещению на рабочем месте, его внешнему оформлению и созданию соответствующих условий труда. </w:t>
      </w:r>
    </w:p>
    <w:p w:rsidR="002C0F56" w:rsidRDefault="00E67C6E">
      <w:pPr>
        <w:spacing w:after="10"/>
        <w:ind w:left="994" w:right="302"/>
      </w:pPr>
      <w:r>
        <w:t>Рабочее место – это закрепленная за о</w:t>
      </w:r>
      <w:r>
        <w:t xml:space="preserve">тдельным работником пространственная зона, оснащенная средствами труда, важными для исполнения требуемой работы. </w:t>
      </w:r>
    </w:p>
    <w:p w:rsidR="002C0F56" w:rsidRDefault="00E67C6E">
      <w:pPr>
        <w:ind w:left="994" w:right="302"/>
      </w:pPr>
      <w:r>
        <w:t>Рабочее место характеризует первичное звено организации труда, где объединяются основы процесса труда: содержание труда, средства труда и живо</w:t>
      </w:r>
      <w:r>
        <w:t xml:space="preserve">й труд самого работника. Задачей организации труда является подтверждение целесообразного функционального размещения элементов процесса труда для снижения трудозатрат, в особенности потерь времени. </w:t>
      </w:r>
    </w:p>
    <w:p w:rsidR="002C0F56" w:rsidRDefault="00E67C6E">
      <w:pPr>
        <w:spacing w:after="0"/>
        <w:ind w:left="994" w:right="302" w:firstLine="0"/>
      </w:pPr>
      <w:r>
        <w:t>Организация рабочего места должна содействовать наибольше</w:t>
      </w:r>
      <w:r>
        <w:t xml:space="preserve">й эффективности процесса труда и оставаться достойной человека. Она во многом станет предопределять производительность и качество труда работника. Помимо того, существенное значение имеет обеспечение безопасности размещения и оснащения рабочего места. </w:t>
      </w:r>
    </w:p>
    <w:p w:rsidR="002C0F56" w:rsidRDefault="00E67C6E">
      <w:pPr>
        <w:ind w:left="994" w:right="302"/>
      </w:pPr>
      <w:r>
        <w:t>Сод</w:t>
      </w:r>
      <w:r>
        <w:t>ержание рабочего места предусматривает своевременное обеспечение его всем нужным, в том числе техническое обслуживание (наладку, регулирование, уход); регулярную подачу нужных видов энергии, информации и затратных материалов; контролирование качества работ</w:t>
      </w:r>
      <w:r>
        <w:t xml:space="preserve">ы оборудования, </w:t>
      </w:r>
      <w:r>
        <w:lastRenderedPageBreak/>
        <w:t xml:space="preserve">транспортное и хозяйственное обслуживание (уборка, чистка оборудования, и т. п.). </w:t>
      </w:r>
    </w:p>
    <w:p w:rsidR="002C0F56" w:rsidRDefault="00E67C6E">
      <w:pPr>
        <w:spacing w:after="9"/>
        <w:ind w:left="1558" w:right="1212" w:firstLine="0"/>
      </w:pPr>
      <w:r>
        <w:t xml:space="preserve">Обслуживание рабочих мест осуществляется по таким функциям:  </w:t>
      </w:r>
      <w:r>
        <w:rPr>
          <w:rFonts w:ascii="Segoe UI Symbol" w:eastAsia="Segoe UI Symbol" w:hAnsi="Segoe UI Symbol" w:cs="Segoe UI Symbol"/>
        </w:rPr>
        <w:t>•</w:t>
      </w:r>
      <w:r>
        <w:rPr>
          <w:rFonts w:ascii="Arial" w:eastAsia="Arial" w:hAnsi="Arial" w:cs="Arial"/>
        </w:rPr>
        <w:t xml:space="preserve"> </w:t>
      </w:r>
      <w:r>
        <w:t xml:space="preserve">подготовительная </w:t>
      </w:r>
    </w:p>
    <w:p w:rsidR="002C0F56" w:rsidRDefault="00E67C6E">
      <w:pPr>
        <w:numPr>
          <w:ilvl w:val="0"/>
          <w:numId w:val="227"/>
        </w:numPr>
        <w:spacing w:after="12"/>
        <w:ind w:right="302" w:firstLine="0"/>
      </w:pPr>
      <w:r>
        <w:t xml:space="preserve">информационная </w:t>
      </w:r>
    </w:p>
    <w:p w:rsidR="002C0F56" w:rsidRDefault="00E67C6E">
      <w:pPr>
        <w:numPr>
          <w:ilvl w:val="0"/>
          <w:numId w:val="227"/>
        </w:numPr>
        <w:spacing w:after="12"/>
        <w:ind w:right="302" w:firstLine="0"/>
      </w:pPr>
      <w:r>
        <w:t xml:space="preserve">производственная </w:t>
      </w:r>
    </w:p>
    <w:p w:rsidR="002C0F56" w:rsidRDefault="00E67C6E">
      <w:pPr>
        <w:numPr>
          <w:ilvl w:val="0"/>
          <w:numId w:val="227"/>
        </w:numPr>
        <w:spacing w:after="12"/>
        <w:ind w:right="302" w:firstLine="0"/>
      </w:pPr>
      <w:r>
        <w:t xml:space="preserve">инструментальная  </w:t>
      </w:r>
    </w:p>
    <w:p w:rsidR="002C0F56" w:rsidRDefault="00E67C6E">
      <w:pPr>
        <w:numPr>
          <w:ilvl w:val="0"/>
          <w:numId w:val="227"/>
        </w:numPr>
        <w:spacing w:after="12"/>
        <w:ind w:right="302" w:firstLine="0"/>
      </w:pPr>
      <w:r>
        <w:t xml:space="preserve">наладочная  </w:t>
      </w:r>
    </w:p>
    <w:p w:rsidR="002C0F56" w:rsidRDefault="00E67C6E">
      <w:pPr>
        <w:numPr>
          <w:ilvl w:val="0"/>
          <w:numId w:val="227"/>
        </w:numPr>
        <w:spacing w:after="9"/>
        <w:ind w:right="302" w:firstLine="0"/>
      </w:pPr>
      <w:r>
        <w:t xml:space="preserve">энергетическая </w:t>
      </w:r>
      <w:r>
        <w:rPr>
          <w:rFonts w:ascii="Segoe UI Symbol" w:eastAsia="Segoe UI Symbol" w:hAnsi="Segoe UI Symbol" w:cs="Segoe UI Symbol"/>
        </w:rPr>
        <w:t>•</w:t>
      </w:r>
      <w:r>
        <w:rPr>
          <w:rFonts w:ascii="Arial" w:eastAsia="Arial" w:hAnsi="Arial" w:cs="Arial"/>
        </w:rPr>
        <w:t xml:space="preserve"> </w:t>
      </w:r>
      <w:r>
        <w:t xml:space="preserve">контрольная и т. п.  </w:t>
      </w:r>
    </w:p>
    <w:p w:rsidR="002C0F56" w:rsidRDefault="00E67C6E">
      <w:pPr>
        <w:ind w:left="994" w:right="302"/>
      </w:pPr>
      <w:r>
        <w:t>Прогресс в системах обслуживания рабочих мест состоит в переходе от очередного обслуживания, то есть обслуживание по вызовам из мест приостановки производства, к научно обоснованному стандартному плановопредупреждающе</w:t>
      </w:r>
      <w:r>
        <w:t xml:space="preserve">му обслуживанию. </w:t>
      </w:r>
    </w:p>
    <w:p w:rsidR="002C0F56" w:rsidRDefault="00E67C6E">
      <w:pPr>
        <w:spacing w:after="5"/>
        <w:ind w:left="994" w:right="302"/>
      </w:pPr>
      <w:r>
        <w:t>В организации труда находят применение специальные нормативные документы, содержащие описание всех видов операций, более оптимальные способы их исполнения (трудовой процесс) с указанием издержек времени на операцию. В данном случае огромн</w:t>
      </w:r>
      <w:r>
        <w:t xml:space="preserve">ую роль имеет планирование организации труда. Чем лучше организация труда в коллективе, тем полнее реализуется трудовой потенциал работников и тем больше эффективность их труда. </w:t>
      </w:r>
    </w:p>
    <w:p w:rsidR="002C0F56" w:rsidRDefault="00E67C6E">
      <w:pPr>
        <w:ind w:left="994" w:right="302"/>
      </w:pPr>
      <w:r>
        <w:t>Трудовой процесс протекает на конкретном рабочем месте в определенном социаль</w:t>
      </w:r>
      <w:r>
        <w:t xml:space="preserve">ном окружении. Причем влияние окружающей среды во многом зависит от характера самого производственного процесса — от наличия конкретных трудовых связей и трудового взаимодействия работников. </w:t>
      </w:r>
    </w:p>
    <w:p w:rsidR="002C0F56" w:rsidRDefault="00E67C6E">
      <w:pPr>
        <w:spacing w:after="58"/>
        <w:ind w:left="994" w:right="302"/>
      </w:pPr>
      <w:r>
        <w:t>На внедрение трудового потенциала работника оказывают воздействи</w:t>
      </w:r>
      <w:r>
        <w:t xml:space="preserve">е и социально-психологические условия: </w:t>
      </w:r>
    </w:p>
    <w:p w:rsidR="002C0F56" w:rsidRDefault="00E67C6E">
      <w:pPr>
        <w:numPr>
          <w:ilvl w:val="0"/>
          <w:numId w:val="228"/>
        </w:numPr>
        <w:spacing w:after="12"/>
        <w:ind w:right="302" w:hanging="144"/>
      </w:pPr>
      <w:r>
        <w:t xml:space="preserve">социально-демографическая структура коллектива </w:t>
      </w:r>
    </w:p>
    <w:p w:rsidR="002C0F56" w:rsidRDefault="00E67C6E">
      <w:pPr>
        <w:numPr>
          <w:ilvl w:val="0"/>
          <w:numId w:val="228"/>
        </w:numPr>
        <w:spacing w:after="12"/>
        <w:ind w:right="302" w:hanging="144"/>
      </w:pPr>
      <w:r>
        <w:t xml:space="preserve">совокупность интересов </w:t>
      </w:r>
    </w:p>
    <w:p w:rsidR="002C0F56" w:rsidRDefault="00E67C6E">
      <w:pPr>
        <w:numPr>
          <w:ilvl w:val="0"/>
          <w:numId w:val="228"/>
        </w:numPr>
        <w:spacing w:after="12"/>
        <w:ind w:right="302" w:hanging="144"/>
      </w:pPr>
      <w:r>
        <w:t xml:space="preserve">ценностные ориентации работников </w:t>
      </w:r>
    </w:p>
    <w:p w:rsidR="002C0F56" w:rsidRDefault="00E67C6E">
      <w:pPr>
        <w:numPr>
          <w:ilvl w:val="0"/>
          <w:numId w:val="228"/>
        </w:numPr>
        <w:spacing w:after="12"/>
        <w:ind w:right="302" w:hanging="144"/>
      </w:pPr>
      <w:hyperlink r:id="rId1286">
        <w:r>
          <w:t>стиль управления</w:t>
        </w:r>
      </w:hyperlink>
      <w:hyperlink r:id="rId1287">
        <w:r>
          <w:t xml:space="preserve"> </w:t>
        </w:r>
      </w:hyperlink>
      <w:r>
        <w:t xml:space="preserve">и др.  </w:t>
      </w:r>
    </w:p>
    <w:p w:rsidR="002C0F56" w:rsidRDefault="00E67C6E">
      <w:pPr>
        <w:ind w:left="994" w:right="302"/>
      </w:pPr>
      <w:r>
        <w:t xml:space="preserve">Все это сформировывает психологический климат в коллективе, его постоянство, сплоченность, дисциплину труда, уровень творческой активности. </w:t>
      </w:r>
    </w:p>
    <w:p w:rsidR="002C0F56" w:rsidRDefault="00E67C6E">
      <w:pPr>
        <w:spacing w:after="0"/>
        <w:ind w:left="994" w:right="302"/>
      </w:pPr>
      <w:r>
        <w:t>Лучшая реализация трудового пот</w:t>
      </w:r>
      <w:r>
        <w:t>енциала работника связана и с утверждением в трудовом коллективе подходящей психологической обстановки. Задействование социально-психологических факторов, уменьшение возможности конфликтов, точная система продвижения по службе, утверждение духа взаимопомощ</w:t>
      </w:r>
      <w:r>
        <w:t xml:space="preserve">и и поддержки, также содействует росту производительности труда. </w:t>
      </w:r>
    </w:p>
    <w:p w:rsidR="002C0F56" w:rsidRDefault="00E67C6E">
      <w:pPr>
        <w:spacing w:after="10"/>
        <w:ind w:left="994" w:right="302"/>
      </w:pPr>
      <w:r>
        <w:t xml:space="preserve">Таким образом, умелая организация труда работников является важнейшей составляющей процесса управления персонала, способствует усиленному развитию любого предприятия. </w:t>
      </w:r>
    </w:p>
    <w:p w:rsidR="002C0F56" w:rsidRDefault="00E67C6E">
      <w:pPr>
        <w:spacing w:after="27" w:line="259" w:lineRule="auto"/>
        <w:ind w:left="1558" w:firstLine="0"/>
        <w:jc w:val="left"/>
      </w:pPr>
      <w:r>
        <w:rPr>
          <w:b/>
        </w:rPr>
        <w:lastRenderedPageBreak/>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29"/>
        </w:numPr>
        <w:ind w:right="302"/>
      </w:pPr>
      <w:r>
        <w:t xml:space="preserve">Бухалков М.И. Организация и нормирование труда: учебн. для вузов / М. И. Бахалков. 3-е изд, испр. и доп. М. : Инфра М, 2016. 424 с </w:t>
      </w:r>
    </w:p>
    <w:p w:rsidR="002C0F56" w:rsidRDefault="00E67C6E">
      <w:pPr>
        <w:numPr>
          <w:ilvl w:val="0"/>
          <w:numId w:val="229"/>
        </w:numPr>
        <w:ind w:right="302"/>
      </w:pPr>
      <w:r>
        <w:t>Организация, нормирование и оплата труда на предприятиях: практическое пособие / Е. О. Баякова, Н. А. Погодин. М. : Экзамен,</w:t>
      </w:r>
      <w:r>
        <w:t xml:space="preserve"> 2014. 152с </w:t>
      </w:r>
    </w:p>
    <w:p w:rsidR="002C0F56" w:rsidRDefault="00E67C6E">
      <w:pPr>
        <w:numPr>
          <w:ilvl w:val="0"/>
          <w:numId w:val="229"/>
        </w:numPr>
        <w:ind w:right="302"/>
      </w:pPr>
      <w:r>
        <w:t xml:space="preserve">Аттестация рабочих мест: сборник нормативных документов. М. : ФИНПРЕСС, 2015.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11"/>
        <w:ind w:left="4667" w:right="305"/>
        <w:jc w:val="right"/>
      </w:pPr>
      <w:r>
        <w:t xml:space="preserve">Смагина О.В. </w:t>
      </w:r>
      <w:r>
        <w:rPr>
          <w:b w:val="0"/>
        </w:rPr>
        <w:t xml:space="preserve">Научный руководитель: Тиндова М.Г., к.э.н., доц. </w:t>
      </w:r>
    </w:p>
    <w:p w:rsidR="002C0F56" w:rsidRDefault="00E67C6E">
      <w:pPr>
        <w:spacing w:after="0" w:line="267" w:lineRule="auto"/>
        <w:ind w:left="905" w:right="311" w:hanging="10"/>
        <w:jc w:val="right"/>
      </w:pPr>
      <w:r>
        <w:rPr>
          <w:i/>
        </w:rPr>
        <w:t xml:space="preserve">Саратовский социально-экономический институт (филиал)  </w:t>
      </w:r>
    </w:p>
    <w:p w:rsidR="002C0F56" w:rsidRDefault="00E67C6E">
      <w:pPr>
        <w:spacing w:after="0" w:line="267" w:lineRule="auto"/>
        <w:ind w:left="905" w:right="308" w:hanging="10"/>
        <w:jc w:val="right"/>
      </w:pPr>
      <w:r>
        <w:rPr>
          <w:i/>
        </w:rPr>
        <w:t xml:space="preserve">РЭУ им. Г.В.Плеханова </w:t>
      </w:r>
    </w:p>
    <w:p w:rsidR="002C0F56" w:rsidRDefault="00E67C6E">
      <w:pPr>
        <w:spacing w:after="26" w:line="259" w:lineRule="auto"/>
        <w:ind w:left="1558" w:firstLine="0"/>
        <w:jc w:val="left"/>
      </w:pPr>
      <w:r>
        <w:t xml:space="preserve"> </w:t>
      </w:r>
    </w:p>
    <w:p w:rsidR="002C0F56" w:rsidRDefault="00E67C6E">
      <w:pPr>
        <w:pStyle w:val="1"/>
        <w:ind w:left="700" w:right="8"/>
      </w:pPr>
      <w:r>
        <w:t xml:space="preserve">ДИНАМИЧЕСКИЙ АНАЛИЗ ЛЕСОВОССТАНОВИТЕЛЬНЫХ         РАБОТ В РФ </w:t>
      </w:r>
    </w:p>
    <w:p w:rsidR="002C0F56" w:rsidRDefault="00E67C6E">
      <w:pPr>
        <w:spacing w:after="0" w:line="259" w:lineRule="auto"/>
        <w:ind w:left="1558" w:firstLine="0"/>
        <w:jc w:val="left"/>
      </w:pPr>
      <w:r>
        <w:t xml:space="preserve"> </w:t>
      </w:r>
    </w:p>
    <w:p w:rsidR="002C0F56" w:rsidRDefault="00E67C6E">
      <w:pPr>
        <w:spacing w:after="0"/>
        <w:ind w:left="994" w:right="302"/>
      </w:pPr>
      <w:r>
        <w:t>Земли лесного фонда занимают около 65% от общего количества земель в РФ, что составляет 1105 млн.га. К ним относят лесные (т.е. земли, покрытые лесной растительностью и не покрытые ею, но пред</w:t>
      </w:r>
      <w:r>
        <w:t>назначенные для ее восстановления) и предназначенные для ведения лесного хозяйства нелесные земли [1]. Лесной фонд РФ находятся в федеральной собственности. В соответствии с федеральным законом допускается передача части лесного фонда в собственность субъе</w:t>
      </w:r>
      <w:r>
        <w:t>ктов РФ. Гражданский оборот, т.е. купля-продажа, залог и совершение других сделок, которые влекут за собой отчуждение участков лесного фонда, не допускаются. Участки лесного фонда предоставляются гражданам и юридическим лицам на следующих правах пользовани</w:t>
      </w:r>
      <w:r>
        <w:t xml:space="preserve">я: аренды, безвозмездного пользования, концессии и краткосрочного пользования [2].  </w:t>
      </w:r>
    </w:p>
    <w:p w:rsidR="002C0F56" w:rsidRDefault="00E67C6E">
      <w:pPr>
        <w:ind w:left="994" w:right="302"/>
      </w:pPr>
      <w:r>
        <w:t xml:space="preserve">Целью работы является анализ и моделирование процесса лесовосстановительных работ. В качестве объекта исследования рассмотрим временной ряд лесовосстановительных работ на </w:t>
      </w:r>
      <w:r>
        <w:t xml:space="preserve">территории РФ за период с 1992 по 2015 года.  </w:t>
      </w:r>
    </w:p>
    <w:p w:rsidR="002C0F56" w:rsidRDefault="00E67C6E">
      <w:pPr>
        <w:spacing w:after="0"/>
        <w:ind w:left="994" w:right="302"/>
      </w:pPr>
      <w:r>
        <w:t>Тест Фостера-Стюарта показал наличие тенденции в исследуемом ряду и, сравнивая линейную, параболическую, гиперболическую и показательную функции, в качестве уравнения основной тенденции была выбрана квадратичн</w:t>
      </w:r>
      <w:r>
        <w:t xml:space="preserve">ая регрессия: у </w:t>
      </w:r>
      <w:r>
        <w:rPr>
          <w:rFonts w:ascii="Segoe UI Symbol" w:eastAsia="Segoe UI Symbol" w:hAnsi="Segoe UI Symbol" w:cs="Segoe UI Symbol"/>
        </w:rPr>
        <w:t></w:t>
      </w:r>
      <w:r>
        <w:t>1,61</w:t>
      </w:r>
      <w:r>
        <w:rPr>
          <w:rFonts w:ascii="Segoe UI Symbol" w:eastAsia="Segoe UI Symbol" w:hAnsi="Segoe UI Symbol" w:cs="Segoe UI Symbol"/>
        </w:rPr>
        <w:t xml:space="preserve"> </w:t>
      </w:r>
      <w:r>
        <w:t xml:space="preserve">0,09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t>0,003</w:t>
      </w:r>
      <w:r>
        <w:rPr>
          <w:rFonts w:ascii="Segoe UI Symbol" w:eastAsia="Segoe UI Symbol" w:hAnsi="Segoe UI Symbol" w:cs="Segoe UI Symbol"/>
        </w:rPr>
        <w:t xml:space="preserve"> </w:t>
      </w:r>
      <w:r>
        <w:t>t</w:t>
      </w:r>
      <w:r>
        <w:rPr>
          <w:sz w:val="37"/>
          <w:vertAlign w:val="superscript"/>
        </w:rPr>
        <w:t xml:space="preserve">2 </w:t>
      </w:r>
      <w:r>
        <w:rPr>
          <w:rFonts w:ascii="Segoe UI Symbol" w:eastAsia="Segoe UI Symbol" w:hAnsi="Segoe UI Symbol" w:cs="Segoe UI Symbol"/>
        </w:rPr>
        <w:t xml:space="preserve"> </w:t>
      </w:r>
      <w:r>
        <w:rPr>
          <w:rFonts w:ascii="Segoe UI Symbol" w:eastAsia="Segoe UI Symbol" w:hAnsi="Segoe UI Symbol" w:cs="Segoe UI Symbol"/>
        </w:rPr>
        <w:t></w:t>
      </w:r>
      <w:r>
        <w:t>. Коэффициент детерминации данной модели составляет R</w:t>
      </w:r>
      <w:r>
        <w:rPr>
          <w:vertAlign w:val="superscript"/>
        </w:rPr>
        <w:t>2</w:t>
      </w:r>
      <w:r>
        <w:t>=0,886 и все параметры значимы по критериям Стьюдента и Фишера. Здесь параметр b</w:t>
      </w:r>
      <w:r>
        <w:rPr>
          <w:vertAlign w:val="subscript"/>
        </w:rPr>
        <w:t>0</w:t>
      </w:r>
      <w:r>
        <w:t xml:space="preserve"> показывает начальные условия развития процесса, </w:t>
      </w:r>
      <w:r>
        <w:lastRenderedPageBreak/>
        <w:t>т.е. размер лесовосстанов</w:t>
      </w:r>
      <w:r>
        <w:t>ительных работ в 1992 г. составил 1,61 млн.га; параметр b</w:t>
      </w:r>
      <w:r>
        <w:rPr>
          <w:vertAlign w:val="subscript"/>
        </w:rPr>
        <w:t>1</w:t>
      </w:r>
      <w:r>
        <w:t xml:space="preserve"> – скорость процесса, другими словами, с каждым годом лесовосстановительные работы уменьшаются на 0,09 млн.га; параметр b</w:t>
      </w:r>
      <w:r>
        <w:rPr>
          <w:vertAlign w:val="subscript"/>
        </w:rPr>
        <w:t>2</w:t>
      </w:r>
      <w:r>
        <w:t xml:space="preserve"> – ускорение, т.е. изменение лесовосстановления растет каждый год на 0,003 м</w:t>
      </w:r>
      <w:r>
        <w:t xml:space="preserve">лн.га. </w:t>
      </w:r>
    </w:p>
    <w:p w:rsidR="002C0F56" w:rsidRDefault="00E67C6E">
      <w:pPr>
        <w:ind w:left="994" w:right="302"/>
      </w:pPr>
      <w:r>
        <w:t xml:space="preserve">Проведём анализ адекватности выбранных моделей с помощью исследования их ошибок на независимость, случайность и нормальность распределения [3]: </w:t>
      </w:r>
    </w:p>
    <w:p w:rsidR="002C0F56" w:rsidRDefault="00E67C6E">
      <w:pPr>
        <w:numPr>
          <w:ilvl w:val="0"/>
          <w:numId w:val="230"/>
        </w:numPr>
        <w:spacing w:after="0" w:line="324" w:lineRule="auto"/>
        <w:ind w:right="302"/>
      </w:pPr>
      <w:r>
        <w:rPr>
          <w:rFonts w:ascii="Calibri" w:eastAsia="Calibri" w:hAnsi="Calibri" w:cs="Calibri"/>
          <w:noProof/>
          <w:sz w:val="22"/>
        </w:rPr>
        <mc:AlternateContent>
          <mc:Choice Requires="wpg">
            <w:drawing>
              <wp:anchor distT="0" distB="0" distL="114300" distR="114300" simplePos="0" relativeHeight="251678720" behindDoc="1" locked="0" layoutInCell="1" allowOverlap="1">
                <wp:simplePos x="0" y="0"/>
                <wp:positionH relativeFrom="column">
                  <wp:posOffset>4505331</wp:posOffset>
                </wp:positionH>
                <wp:positionV relativeFrom="paragraph">
                  <wp:posOffset>193875</wp:posOffset>
                </wp:positionV>
                <wp:extent cx="163276" cy="280127"/>
                <wp:effectExtent l="0" t="0" r="0" b="0"/>
                <wp:wrapNone/>
                <wp:docPr id="667059" name="Group 667059"/>
                <wp:cNvGraphicFramePr/>
                <a:graphic xmlns:a="http://schemas.openxmlformats.org/drawingml/2006/main">
                  <a:graphicData uri="http://schemas.microsoft.com/office/word/2010/wordprocessingGroup">
                    <wpg:wgp>
                      <wpg:cNvGrpSpPr/>
                      <wpg:grpSpPr>
                        <a:xfrm>
                          <a:off x="0" y="0"/>
                          <a:ext cx="163276" cy="280127"/>
                          <a:chOff x="0" y="0"/>
                          <a:chExt cx="163276" cy="280127"/>
                        </a:xfrm>
                      </wpg:grpSpPr>
                      <wps:wsp>
                        <wps:cNvPr id="73316" name="Shape 73316"/>
                        <wps:cNvSpPr/>
                        <wps:spPr>
                          <a:xfrm>
                            <a:off x="0" y="0"/>
                            <a:ext cx="0" cy="280127"/>
                          </a:xfrm>
                          <a:custGeom>
                            <a:avLst/>
                            <a:gdLst/>
                            <a:ahLst/>
                            <a:cxnLst/>
                            <a:rect l="0" t="0" r="0" b="0"/>
                            <a:pathLst>
                              <a:path h="280127">
                                <a:moveTo>
                                  <a:pt x="0" y="0"/>
                                </a:moveTo>
                                <a:lnTo>
                                  <a:pt x="0" y="280127"/>
                                </a:lnTo>
                              </a:path>
                            </a:pathLst>
                          </a:custGeom>
                          <a:ln w="6286" cap="flat">
                            <a:round/>
                          </a:ln>
                        </wps:spPr>
                        <wps:style>
                          <a:lnRef idx="1">
                            <a:srgbClr val="000000"/>
                          </a:lnRef>
                          <a:fillRef idx="0">
                            <a:srgbClr val="000000">
                              <a:alpha val="0"/>
                            </a:srgbClr>
                          </a:fillRef>
                          <a:effectRef idx="0">
                            <a:scrgbClr r="0" g="0" b="0"/>
                          </a:effectRef>
                          <a:fontRef idx="none"/>
                        </wps:style>
                        <wps:bodyPr/>
                      </wps:wsp>
                      <wps:wsp>
                        <wps:cNvPr id="73317" name="Shape 73317"/>
                        <wps:cNvSpPr/>
                        <wps:spPr>
                          <a:xfrm>
                            <a:off x="163276" y="0"/>
                            <a:ext cx="0" cy="280127"/>
                          </a:xfrm>
                          <a:custGeom>
                            <a:avLst/>
                            <a:gdLst/>
                            <a:ahLst/>
                            <a:cxnLst/>
                            <a:rect l="0" t="0" r="0" b="0"/>
                            <a:pathLst>
                              <a:path h="280127">
                                <a:moveTo>
                                  <a:pt x="0" y="0"/>
                                </a:moveTo>
                                <a:lnTo>
                                  <a:pt x="0" y="280127"/>
                                </a:lnTo>
                              </a:path>
                            </a:pathLst>
                          </a:custGeom>
                          <a:ln w="6286"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7059" style="width:12.8564pt;height:22.0573pt;position:absolute;z-index:-2147483563;mso-position-horizontal-relative:text;mso-position-horizontal:absolute;margin-left:354.75pt;mso-position-vertical-relative:text;margin-top:15.2657pt;" coordsize="1632,2801">
                <v:shape id="Shape 73316" style="position:absolute;width:0;height:2801;left:0;top:0;" coordsize="0,280127" path="m0,0l0,280127">
                  <v:stroke weight="0.494952pt" endcap="flat" joinstyle="round" on="true" color="#000000"/>
                  <v:fill on="false" color="#000000" opacity="0"/>
                </v:shape>
                <v:shape id="Shape 73317" style="position:absolute;width:0;height:2801;left:1632;top:0;" coordsize="0,280127" path="m0,0l0,280127">
                  <v:stroke weight="0.494952pt" endcap="flat" joinstyle="round" on="true" color="#000000"/>
                  <v:fill on="false" color="#000000" opacity="0"/>
                </v:shape>
              </v:group>
            </w:pict>
          </mc:Fallback>
        </mc:AlternateContent>
      </w:r>
      <w:r>
        <w:rPr>
          <w:rFonts w:ascii="Calibri" w:eastAsia="Calibri" w:hAnsi="Calibri" w:cs="Calibri"/>
          <w:noProof/>
          <w:sz w:val="22"/>
        </w:rPr>
        <mc:AlternateContent>
          <mc:Choice Requires="wpg">
            <w:drawing>
              <wp:anchor distT="0" distB="0" distL="114300" distR="114300" simplePos="0" relativeHeight="251679744" behindDoc="1" locked="0" layoutInCell="1" allowOverlap="1">
                <wp:simplePos x="0" y="0"/>
                <wp:positionH relativeFrom="column">
                  <wp:posOffset>1615985</wp:posOffset>
                </wp:positionH>
                <wp:positionV relativeFrom="paragraph">
                  <wp:posOffset>535836</wp:posOffset>
                </wp:positionV>
                <wp:extent cx="687593" cy="434108"/>
                <wp:effectExtent l="0" t="0" r="0" b="0"/>
                <wp:wrapNone/>
                <wp:docPr id="667060" name="Group 667060"/>
                <wp:cNvGraphicFramePr/>
                <a:graphic xmlns:a="http://schemas.openxmlformats.org/drawingml/2006/main">
                  <a:graphicData uri="http://schemas.microsoft.com/office/word/2010/wordprocessingGroup">
                    <wpg:wgp>
                      <wpg:cNvGrpSpPr/>
                      <wpg:grpSpPr>
                        <a:xfrm>
                          <a:off x="0" y="0"/>
                          <a:ext cx="687593" cy="434108"/>
                          <a:chOff x="0" y="0"/>
                          <a:chExt cx="687593" cy="434108"/>
                        </a:xfrm>
                      </wpg:grpSpPr>
                      <wps:wsp>
                        <wps:cNvPr id="73346" name="Shape 73346"/>
                        <wps:cNvSpPr/>
                        <wps:spPr>
                          <a:xfrm>
                            <a:off x="321897" y="217050"/>
                            <a:ext cx="348850" cy="0"/>
                          </a:xfrm>
                          <a:custGeom>
                            <a:avLst/>
                            <a:gdLst/>
                            <a:ahLst/>
                            <a:cxnLst/>
                            <a:rect l="0" t="0" r="0" b="0"/>
                            <a:pathLst>
                              <a:path w="348850">
                                <a:moveTo>
                                  <a:pt x="0" y="0"/>
                                </a:moveTo>
                                <a:lnTo>
                                  <a:pt x="348850" y="0"/>
                                </a:lnTo>
                              </a:path>
                            </a:pathLst>
                          </a:custGeom>
                          <a:ln w="6338" cap="flat">
                            <a:round/>
                          </a:ln>
                        </wps:spPr>
                        <wps:style>
                          <a:lnRef idx="1">
                            <a:srgbClr val="000000"/>
                          </a:lnRef>
                          <a:fillRef idx="0">
                            <a:srgbClr val="000000">
                              <a:alpha val="0"/>
                            </a:srgbClr>
                          </a:fillRef>
                          <a:effectRef idx="0">
                            <a:scrgbClr r="0" g="0" b="0"/>
                          </a:effectRef>
                          <a:fontRef idx="none"/>
                        </wps:style>
                        <wps:bodyPr/>
                      </wps:wsp>
                      <wps:wsp>
                        <wps:cNvPr id="73347" name="Shape 73347"/>
                        <wps:cNvSpPr/>
                        <wps:spPr>
                          <a:xfrm>
                            <a:off x="0" y="0"/>
                            <a:ext cx="0" cy="434108"/>
                          </a:xfrm>
                          <a:custGeom>
                            <a:avLst/>
                            <a:gdLst/>
                            <a:ahLst/>
                            <a:cxnLst/>
                            <a:rect l="0" t="0" r="0" b="0"/>
                            <a:pathLst>
                              <a:path h="434108">
                                <a:moveTo>
                                  <a:pt x="0" y="0"/>
                                </a:moveTo>
                                <a:lnTo>
                                  <a:pt x="0" y="434108"/>
                                </a:lnTo>
                              </a:path>
                            </a:pathLst>
                          </a:custGeom>
                          <a:ln w="6338" cap="flat">
                            <a:round/>
                          </a:ln>
                        </wps:spPr>
                        <wps:style>
                          <a:lnRef idx="1">
                            <a:srgbClr val="000000"/>
                          </a:lnRef>
                          <a:fillRef idx="0">
                            <a:srgbClr val="000000">
                              <a:alpha val="0"/>
                            </a:srgbClr>
                          </a:fillRef>
                          <a:effectRef idx="0">
                            <a:scrgbClr r="0" g="0" b="0"/>
                          </a:effectRef>
                          <a:fontRef idx="none"/>
                        </wps:style>
                        <wps:bodyPr/>
                      </wps:wsp>
                      <wps:wsp>
                        <wps:cNvPr id="73348" name="Shape 73348"/>
                        <wps:cNvSpPr/>
                        <wps:spPr>
                          <a:xfrm>
                            <a:off x="687593" y="0"/>
                            <a:ext cx="0" cy="434108"/>
                          </a:xfrm>
                          <a:custGeom>
                            <a:avLst/>
                            <a:gdLst/>
                            <a:ahLst/>
                            <a:cxnLst/>
                            <a:rect l="0" t="0" r="0" b="0"/>
                            <a:pathLst>
                              <a:path h="434108">
                                <a:moveTo>
                                  <a:pt x="0" y="0"/>
                                </a:moveTo>
                                <a:lnTo>
                                  <a:pt x="0" y="434108"/>
                                </a:lnTo>
                              </a:path>
                            </a:pathLst>
                          </a:custGeom>
                          <a:ln w="633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7060" style="width:54.1412pt;height:34.1818pt;position:absolute;z-index:-2147483532;mso-position-horizontal-relative:text;mso-position-horizontal:absolute;margin-left:127.243pt;mso-position-vertical-relative:text;margin-top:42.1918pt;" coordsize="6875,4341">
                <v:shape id="Shape 73346" style="position:absolute;width:3488;height:0;left:3218;top:2170;" coordsize="348850,0" path="m0,0l348850,0">
                  <v:stroke weight="0.499094pt" endcap="flat" joinstyle="round" on="true" color="#000000"/>
                  <v:fill on="false" color="#000000" opacity="0"/>
                </v:shape>
                <v:shape id="Shape 73347" style="position:absolute;width:0;height:4341;left:0;top:0;" coordsize="0,434108" path="m0,0l0,434108">
                  <v:stroke weight="0.499094pt" endcap="flat" joinstyle="round" on="true" color="#000000"/>
                  <v:fill on="false" color="#000000" opacity="0"/>
                </v:shape>
                <v:shape id="Shape 73348" style="position:absolute;width:0;height:4341;left:6875;top:0;" coordsize="0,434108" path="m0,0l0,434108">
                  <v:stroke weight="0.499094pt" endcap="flat" joinstyle="round" on="true" color="#000000"/>
                  <v:fill on="false" color="#000000" opacity="0"/>
                </v:shape>
              </v:group>
            </w:pict>
          </mc:Fallback>
        </mc:AlternateContent>
      </w:r>
      <w:r>
        <w:t>нормальность остатков может быть проверена с помощью показателей асимметрии и эксцесса: А</w:t>
      </w:r>
      <w:r>
        <w:t xml:space="preserve">ˆ </w:t>
      </w:r>
      <w:r>
        <w:rPr>
          <w:rFonts w:ascii="Segoe UI Symbol" w:eastAsia="Segoe UI Symbol" w:hAnsi="Segoe UI Symbol" w:cs="Segoe UI Symbol"/>
        </w:rPr>
        <w:t xml:space="preserve"> </w:t>
      </w:r>
      <w:r>
        <w:t xml:space="preserve">0,086, </w:t>
      </w:r>
      <w:r>
        <w:rPr>
          <w:rFonts w:ascii="Segoe UI Symbol" w:eastAsia="Segoe UI Symbol" w:hAnsi="Segoe UI Symbol" w:cs="Segoe UI Symbol"/>
        </w:rPr>
        <w:t></w:t>
      </w:r>
      <w:r>
        <w:rPr>
          <w:sz w:val="37"/>
          <w:vertAlign w:val="subscript"/>
        </w:rPr>
        <w:t>А</w:t>
      </w:r>
      <w:r>
        <w:rPr>
          <w:sz w:val="24"/>
        </w:rPr>
        <w:t xml:space="preserve">ˆ </w:t>
      </w:r>
      <w:r>
        <w:rPr>
          <w:rFonts w:ascii="Segoe UI Symbol" w:eastAsia="Segoe UI Symbol" w:hAnsi="Segoe UI Symbol" w:cs="Segoe UI Symbol"/>
        </w:rPr>
        <w:t xml:space="preserve"> </w:t>
      </w:r>
      <w:r>
        <w:t xml:space="preserve">0,096, Аˆ </w:t>
      </w:r>
      <w:r>
        <w:rPr>
          <w:rFonts w:ascii="Segoe UI Symbol" w:eastAsia="Segoe UI Symbol" w:hAnsi="Segoe UI Symbol" w:cs="Segoe UI Symbol"/>
        </w:rPr>
        <w:t xml:space="preserve"> </w:t>
      </w:r>
      <w:r>
        <w:t>2</w:t>
      </w:r>
      <w:r>
        <w:rPr>
          <w:rFonts w:ascii="Segoe UI Symbol" w:eastAsia="Segoe UI Symbol" w:hAnsi="Segoe UI Symbol" w:cs="Segoe UI Symbol"/>
        </w:rPr>
        <w:t></w:t>
      </w:r>
      <w:r>
        <w:rPr>
          <w:sz w:val="37"/>
          <w:vertAlign w:val="subscript"/>
        </w:rPr>
        <w:t>А</w:t>
      </w:r>
      <w:r>
        <w:rPr>
          <w:sz w:val="24"/>
        </w:rPr>
        <w:t xml:space="preserve">ˆ </w:t>
      </w:r>
      <w:r>
        <w:rPr>
          <w:rFonts w:ascii="Segoe UI Symbol" w:eastAsia="Segoe UI Symbol" w:hAnsi="Segoe UI Symbol" w:cs="Segoe UI Symbol"/>
        </w:rPr>
        <w:t xml:space="preserve"> </w:t>
      </w:r>
      <w:r>
        <w:t>0,192</w:t>
      </w:r>
      <w:r>
        <w:t xml:space="preserve"> и Э</w:t>
      </w:r>
      <w:r>
        <w:rPr>
          <w:sz w:val="43"/>
          <w:vertAlign w:val="superscript"/>
        </w:rPr>
        <w:t xml:space="preserve">ˆ </w:t>
      </w:r>
      <w:r>
        <w:rPr>
          <w:rFonts w:ascii="Segoe UI Symbol" w:eastAsia="Segoe UI Symbol" w:hAnsi="Segoe UI Symbol" w:cs="Segoe UI Symbol"/>
        </w:rPr>
        <w:t xml:space="preserve"> </w:t>
      </w:r>
      <w:r>
        <w:t xml:space="preserve">0,98, ˆ </w:t>
      </w:r>
      <w:r>
        <w:rPr>
          <w:rFonts w:ascii="Segoe UI Symbol" w:eastAsia="Segoe UI Symbol" w:hAnsi="Segoe UI Symbol" w:cs="Segoe UI Symbol"/>
          <w:sz w:val="43"/>
          <w:vertAlign w:val="superscript"/>
        </w:rPr>
        <w:t xml:space="preserve"> </w:t>
      </w:r>
      <w:r>
        <w:t xml:space="preserve">6 </w:t>
      </w:r>
      <w:r>
        <w:rPr>
          <w:rFonts w:ascii="Segoe UI Symbol" w:eastAsia="Segoe UI Symbol" w:hAnsi="Segoe UI Symbol" w:cs="Segoe UI Symbol"/>
        </w:rPr>
        <w:t></w:t>
      </w:r>
      <w:r>
        <w:t xml:space="preserve">1,23 </w:t>
      </w:r>
      <w:r>
        <w:rPr>
          <w:rFonts w:ascii="Segoe UI Symbol" w:eastAsia="Segoe UI Symbol" w:hAnsi="Segoe UI Symbol" w:cs="Segoe UI Symbol"/>
        </w:rPr>
        <w:t xml:space="preserve"> </w:t>
      </w:r>
      <w:r>
        <w:t>2</w:t>
      </w:r>
      <w:r>
        <w:rPr>
          <w:rFonts w:ascii="Segoe UI Symbol" w:eastAsia="Segoe UI Symbol" w:hAnsi="Segoe UI Symbol" w:cs="Segoe UI Symbol"/>
          <w:sz w:val="43"/>
          <w:vertAlign w:val="superscript"/>
        </w:rPr>
        <w:t></w:t>
      </w:r>
      <w:r>
        <w:rPr>
          <w:sz w:val="37"/>
          <w:vertAlign w:val="subscript"/>
        </w:rPr>
        <w:t>Э</w:t>
      </w:r>
      <w:r>
        <w:rPr>
          <w:sz w:val="24"/>
        </w:rPr>
        <w:t xml:space="preserve">ˆ </w:t>
      </w:r>
      <w:r>
        <w:rPr>
          <w:rFonts w:ascii="Segoe UI Symbol" w:eastAsia="Segoe UI Symbol" w:hAnsi="Segoe UI Symbol" w:cs="Segoe UI Symbol"/>
        </w:rPr>
        <w:t></w:t>
      </w:r>
      <w:r>
        <w:t xml:space="preserve">1,79 </w:t>
      </w:r>
      <w:r>
        <w:t xml:space="preserve">, следовательно, остатки распределены </w:t>
      </w:r>
    </w:p>
    <w:p w:rsidR="002C0F56" w:rsidRDefault="00E67C6E">
      <w:pPr>
        <w:tabs>
          <w:tab w:val="center" w:pos="1894"/>
          <w:tab w:val="center" w:pos="3343"/>
        </w:tabs>
        <w:spacing w:after="125"/>
        <w:ind w:left="0" w:firstLine="0"/>
        <w:jc w:val="left"/>
      </w:pPr>
      <w:r>
        <w:rPr>
          <w:rFonts w:ascii="Calibri" w:eastAsia="Calibri" w:hAnsi="Calibri" w:cs="Calibri"/>
          <w:sz w:val="22"/>
        </w:rPr>
        <w:tab/>
      </w:r>
      <w:r>
        <w:rPr>
          <w:rFonts w:ascii="Segoe UI Symbol" w:eastAsia="Segoe UI Symbol" w:hAnsi="Segoe UI Symbol" w:cs="Segoe UI Symbol"/>
          <w:sz w:val="43"/>
          <w:vertAlign w:val="superscript"/>
        </w:rPr>
        <w:t></w:t>
      </w:r>
      <w:r>
        <w:rPr>
          <w:sz w:val="37"/>
          <w:vertAlign w:val="subscript"/>
        </w:rPr>
        <w:t>Э</w:t>
      </w:r>
      <w:r>
        <w:rPr>
          <w:sz w:val="24"/>
        </w:rPr>
        <w:t xml:space="preserve">ˆ </w:t>
      </w:r>
      <w:r>
        <w:rPr>
          <w:rFonts w:ascii="Segoe UI Symbol" w:eastAsia="Segoe UI Symbol" w:hAnsi="Segoe UI Symbol" w:cs="Segoe UI Symbol"/>
        </w:rPr>
        <w:t xml:space="preserve"> </w:t>
      </w:r>
      <w:r>
        <w:t xml:space="preserve">0,898, </w:t>
      </w:r>
      <w:r>
        <w:rPr>
          <w:sz w:val="43"/>
          <w:vertAlign w:val="superscript"/>
        </w:rPr>
        <w:t>Э</w:t>
      </w:r>
      <w:r>
        <w:rPr>
          <w:sz w:val="43"/>
          <w:vertAlign w:val="superscript"/>
        </w:rPr>
        <w:tab/>
      </w:r>
      <w:r>
        <w:t xml:space="preserve">n </w:t>
      </w:r>
      <w:r>
        <w:rPr>
          <w:rFonts w:ascii="Segoe UI Symbol" w:eastAsia="Segoe UI Symbol" w:hAnsi="Segoe UI Symbol" w:cs="Segoe UI Symbol"/>
          <w:sz w:val="43"/>
          <w:vertAlign w:val="subscript"/>
        </w:rPr>
        <w:t></w:t>
      </w:r>
      <w:r>
        <w:t>1</w:t>
      </w:r>
    </w:p>
    <w:p w:rsidR="002C0F56" w:rsidRDefault="00E67C6E">
      <w:pPr>
        <w:ind w:left="994" w:right="302" w:firstLine="0"/>
      </w:pPr>
      <w:r>
        <w:t xml:space="preserve">нормально; </w:t>
      </w:r>
    </w:p>
    <w:p w:rsidR="002C0F56" w:rsidRDefault="00E67C6E">
      <w:pPr>
        <w:numPr>
          <w:ilvl w:val="0"/>
          <w:numId w:val="230"/>
        </w:numPr>
        <w:ind w:right="302"/>
      </w:pPr>
      <w:r>
        <w:t>независимость остатков можно проверить с помощью критерия ДарбинаУотсена: d</w:t>
      </w:r>
      <w:r>
        <w:rPr>
          <w:vertAlign w:val="subscript"/>
        </w:rPr>
        <w:t xml:space="preserve">L </w:t>
      </w:r>
      <w:r>
        <w:t>=1,26 и d</w:t>
      </w:r>
      <w:r>
        <w:rPr>
          <w:vertAlign w:val="subscript"/>
        </w:rPr>
        <w:t>U</w:t>
      </w:r>
      <w:r>
        <w:t>=1,44, тогда 4-d</w:t>
      </w:r>
      <w:r>
        <w:rPr>
          <w:vertAlign w:val="subscript"/>
        </w:rPr>
        <w:t>U</w:t>
      </w:r>
      <w:r>
        <w:t>=2,56 и 4-d</w:t>
      </w:r>
      <w:r>
        <w:rPr>
          <w:vertAlign w:val="subscript"/>
        </w:rPr>
        <w:t>L</w:t>
      </w:r>
      <w:r>
        <w:t>=2,74, фактическое значение d=1,47 принадлежит интервалу [d</w:t>
      </w:r>
      <w:r>
        <w:rPr>
          <w:vertAlign w:val="subscript"/>
        </w:rPr>
        <w:t>U</w:t>
      </w:r>
      <w:r>
        <w:t>, 4-d</w:t>
      </w:r>
      <w:r>
        <w:rPr>
          <w:vertAlign w:val="subscript"/>
        </w:rPr>
        <w:t>U</w:t>
      </w:r>
      <w:r>
        <w:t xml:space="preserve">], следовательно, гипотеза о независимости случайных отклонений принимается; </w:t>
      </w:r>
    </w:p>
    <w:p w:rsidR="002C0F56" w:rsidRDefault="00E67C6E">
      <w:pPr>
        <w:numPr>
          <w:ilvl w:val="0"/>
          <w:numId w:val="230"/>
        </w:numPr>
        <w:spacing w:after="195"/>
        <w:ind w:right="302"/>
      </w:pPr>
      <w:r>
        <w:t xml:space="preserve">случайность остатков можно проверить с помощью критерия медианных серий [4]: число серий v(24)=7, протяжённость </w:t>
      </w:r>
      <w:r>
        <w:t>самой длинной серии k</w:t>
      </w:r>
      <w:r>
        <w:rPr>
          <w:vertAlign w:val="subscript"/>
        </w:rPr>
        <w:t>max</w:t>
      </w:r>
      <w:r>
        <w:t xml:space="preserve">(24)=3, </w:t>
      </w:r>
    </w:p>
    <w:p w:rsidR="002C0F56" w:rsidRDefault="00E67C6E">
      <w:pPr>
        <w:tabs>
          <w:tab w:val="center" w:pos="1825"/>
          <w:tab w:val="center" w:pos="3163"/>
        </w:tabs>
        <w:spacing w:after="12"/>
        <w:ind w:left="0" w:firstLine="0"/>
        <w:jc w:val="left"/>
      </w:pPr>
      <w:r>
        <w:rPr>
          <w:rFonts w:ascii="Calibri" w:eastAsia="Calibri" w:hAnsi="Calibri" w:cs="Calibri"/>
          <w:sz w:val="22"/>
        </w:rPr>
        <w:tab/>
      </w:r>
      <w:r>
        <w:rPr>
          <w:rFonts w:ascii="Segoe UI Symbol" w:eastAsia="Segoe UI Symbol" w:hAnsi="Segoe UI Symbol" w:cs="Segoe UI Symbol"/>
        </w:rPr>
        <w:t></w:t>
      </w:r>
      <w:r>
        <w:rPr>
          <w:rFonts w:ascii="Segoe UI Symbol" w:eastAsia="Segoe UI Symbol" w:hAnsi="Segoe UI Symbol" w:cs="Segoe UI Symbol"/>
        </w:rPr>
        <w:tab/>
      </w:r>
      <w:r>
        <w:rPr>
          <w:rFonts w:ascii="Segoe UI Symbol" w:eastAsia="Segoe UI Symbol" w:hAnsi="Segoe UI Symbol" w:cs="Segoe UI Symbol"/>
        </w:rPr>
        <w:t></w:t>
      </w:r>
      <w:r>
        <w:rPr>
          <w:rFonts w:ascii="Calibri" w:eastAsia="Calibri" w:hAnsi="Calibri" w:cs="Calibri"/>
          <w:noProof/>
          <w:sz w:val="22"/>
        </w:rPr>
        <mc:AlternateContent>
          <mc:Choice Requires="wpg">
            <w:drawing>
              <wp:inline distT="0" distB="0" distL="0" distR="0">
                <wp:extent cx="103237" cy="6384"/>
                <wp:effectExtent l="0" t="0" r="0" b="0"/>
                <wp:docPr id="667061" name="Group 667061"/>
                <wp:cNvGraphicFramePr/>
                <a:graphic xmlns:a="http://schemas.openxmlformats.org/drawingml/2006/main">
                  <a:graphicData uri="http://schemas.microsoft.com/office/word/2010/wordprocessingGroup">
                    <wpg:wgp>
                      <wpg:cNvGrpSpPr/>
                      <wpg:grpSpPr>
                        <a:xfrm>
                          <a:off x="0" y="0"/>
                          <a:ext cx="103237" cy="6384"/>
                          <a:chOff x="0" y="0"/>
                          <a:chExt cx="103237" cy="6384"/>
                        </a:xfrm>
                      </wpg:grpSpPr>
                      <wps:wsp>
                        <wps:cNvPr id="73414" name="Shape 73414"/>
                        <wps:cNvSpPr/>
                        <wps:spPr>
                          <a:xfrm>
                            <a:off x="0" y="0"/>
                            <a:ext cx="103237" cy="0"/>
                          </a:xfrm>
                          <a:custGeom>
                            <a:avLst/>
                            <a:gdLst/>
                            <a:ahLst/>
                            <a:cxnLst/>
                            <a:rect l="0" t="0" r="0" b="0"/>
                            <a:pathLst>
                              <a:path w="103237">
                                <a:moveTo>
                                  <a:pt x="0" y="0"/>
                                </a:moveTo>
                                <a:lnTo>
                                  <a:pt x="103237" y="0"/>
                                </a:lnTo>
                              </a:path>
                            </a:pathLst>
                          </a:custGeom>
                          <a:ln w="638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7061" style="width:8.12889pt;height:0.502695pt;mso-position-horizontal-relative:char;mso-position-vertical-relative:line" coordsize="1032,63">
                <v:shape id="Shape 73414" style="position:absolute;width:1032;height:0;left:0;top:0;" coordsize="103237,0" path="m0,0l103237,0">
                  <v:stroke weight="0.502695pt" endcap="flat" joinstyle="round" on="true" color="#000000"/>
                  <v:fill on="false" color="#000000" opacity="0"/>
                </v:shape>
              </v:group>
            </w:pict>
          </mc:Fallback>
        </mc:AlternateContent>
      </w:r>
      <w:r>
        <w:t>1 (24</w:t>
      </w:r>
    </w:p>
    <w:p w:rsidR="002C0F56" w:rsidRDefault="00E67C6E">
      <w:pPr>
        <w:spacing w:after="0"/>
        <w:ind w:left="1900" w:right="302" w:hanging="906"/>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simplePos x="0" y="0"/>
                <wp:positionH relativeFrom="column">
                  <wp:posOffset>2934263</wp:posOffset>
                </wp:positionH>
                <wp:positionV relativeFrom="paragraph">
                  <wp:posOffset>-13270</wp:posOffset>
                </wp:positionV>
                <wp:extent cx="531566" cy="170953"/>
                <wp:effectExtent l="0" t="0" r="0" b="0"/>
                <wp:wrapNone/>
                <wp:docPr id="667062" name="Group 667062"/>
                <wp:cNvGraphicFramePr/>
                <a:graphic xmlns:a="http://schemas.openxmlformats.org/drawingml/2006/main">
                  <a:graphicData uri="http://schemas.microsoft.com/office/word/2010/wordprocessingGroup">
                    <wpg:wgp>
                      <wpg:cNvGrpSpPr/>
                      <wpg:grpSpPr>
                        <a:xfrm>
                          <a:off x="0" y="0"/>
                          <a:ext cx="531566" cy="170953"/>
                          <a:chOff x="0" y="0"/>
                          <a:chExt cx="531566" cy="170953"/>
                        </a:xfrm>
                      </wpg:grpSpPr>
                      <wps:wsp>
                        <wps:cNvPr id="73415" name="Shape 73415"/>
                        <wps:cNvSpPr/>
                        <wps:spPr>
                          <a:xfrm>
                            <a:off x="0" y="109609"/>
                            <a:ext cx="23293" cy="13065"/>
                          </a:xfrm>
                          <a:custGeom>
                            <a:avLst/>
                            <a:gdLst/>
                            <a:ahLst/>
                            <a:cxnLst/>
                            <a:rect l="0" t="0" r="0" b="0"/>
                            <a:pathLst>
                              <a:path w="23293" h="13065">
                                <a:moveTo>
                                  <a:pt x="0" y="13065"/>
                                </a:moveTo>
                                <a:lnTo>
                                  <a:pt x="23293" y="0"/>
                                </a:lnTo>
                              </a:path>
                            </a:pathLst>
                          </a:custGeom>
                          <a:ln w="6384" cap="flat">
                            <a:round/>
                          </a:ln>
                        </wps:spPr>
                        <wps:style>
                          <a:lnRef idx="1">
                            <a:srgbClr val="000000"/>
                          </a:lnRef>
                          <a:fillRef idx="0">
                            <a:srgbClr val="000000">
                              <a:alpha val="0"/>
                            </a:srgbClr>
                          </a:fillRef>
                          <a:effectRef idx="0">
                            <a:scrgbClr r="0" g="0" b="0"/>
                          </a:effectRef>
                          <a:fontRef idx="none"/>
                        </wps:style>
                        <wps:bodyPr/>
                      </wps:wsp>
                      <wps:wsp>
                        <wps:cNvPr id="73416" name="Shape 73416"/>
                        <wps:cNvSpPr/>
                        <wps:spPr>
                          <a:xfrm>
                            <a:off x="23293" y="112649"/>
                            <a:ext cx="33674" cy="58303"/>
                          </a:xfrm>
                          <a:custGeom>
                            <a:avLst/>
                            <a:gdLst/>
                            <a:ahLst/>
                            <a:cxnLst/>
                            <a:rect l="0" t="0" r="0" b="0"/>
                            <a:pathLst>
                              <a:path w="33674" h="58303">
                                <a:moveTo>
                                  <a:pt x="0" y="0"/>
                                </a:moveTo>
                                <a:lnTo>
                                  <a:pt x="33674" y="58303"/>
                                </a:lnTo>
                              </a:path>
                            </a:pathLst>
                          </a:custGeom>
                          <a:ln w="12464" cap="flat">
                            <a:round/>
                          </a:ln>
                        </wps:spPr>
                        <wps:style>
                          <a:lnRef idx="1">
                            <a:srgbClr val="000000"/>
                          </a:lnRef>
                          <a:fillRef idx="0">
                            <a:srgbClr val="000000">
                              <a:alpha val="0"/>
                            </a:srgbClr>
                          </a:fillRef>
                          <a:effectRef idx="0">
                            <a:scrgbClr r="0" g="0" b="0"/>
                          </a:effectRef>
                          <a:fontRef idx="none"/>
                        </wps:style>
                        <wps:bodyPr/>
                      </wps:wsp>
                      <wps:wsp>
                        <wps:cNvPr id="73417" name="Shape 73417"/>
                        <wps:cNvSpPr/>
                        <wps:spPr>
                          <a:xfrm>
                            <a:off x="60385" y="0"/>
                            <a:ext cx="42915" cy="170953"/>
                          </a:xfrm>
                          <a:custGeom>
                            <a:avLst/>
                            <a:gdLst/>
                            <a:ahLst/>
                            <a:cxnLst/>
                            <a:rect l="0" t="0" r="0" b="0"/>
                            <a:pathLst>
                              <a:path w="42915" h="170953">
                                <a:moveTo>
                                  <a:pt x="0" y="170953"/>
                                </a:moveTo>
                                <a:lnTo>
                                  <a:pt x="42915" y="0"/>
                                </a:lnTo>
                              </a:path>
                            </a:pathLst>
                          </a:custGeom>
                          <a:ln w="6384" cap="flat">
                            <a:round/>
                          </a:ln>
                        </wps:spPr>
                        <wps:style>
                          <a:lnRef idx="1">
                            <a:srgbClr val="000000"/>
                          </a:lnRef>
                          <a:fillRef idx="0">
                            <a:srgbClr val="000000">
                              <a:alpha val="0"/>
                            </a:srgbClr>
                          </a:fillRef>
                          <a:effectRef idx="0">
                            <a:scrgbClr r="0" g="0" b="0"/>
                          </a:effectRef>
                          <a:fontRef idx="none"/>
                        </wps:style>
                        <wps:bodyPr/>
                      </wps:wsp>
                      <wps:wsp>
                        <wps:cNvPr id="73418" name="Shape 73418"/>
                        <wps:cNvSpPr/>
                        <wps:spPr>
                          <a:xfrm>
                            <a:off x="103300" y="0"/>
                            <a:ext cx="428266" cy="0"/>
                          </a:xfrm>
                          <a:custGeom>
                            <a:avLst/>
                            <a:gdLst/>
                            <a:ahLst/>
                            <a:cxnLst/>
                            <a:rect l="0" t="0" r="0" b="0"/>
                            <a:pathLst>
                              <a:path w="428266">
                                <a:moveTo>
                                  <a:pt x="0" y="0"/>
                                </a:moveTo>
                                <a:lnTo>
                                  <a:pt x="428266" y="0"/>
                                </a:lnTo>
                              </a:path>
                            </a:pathLst>
                          </a:custGeom>
                          <a:ln w="638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7062" style="width:41.8556pt;height:13.4608pt;position:absolute;z-index:186;mso-position-horizontal-relative:text;mso-position-horizontal:absolute;margin-left:231.044pt;mso-position-vertical-relative:text;margin-top:-1.04495pt;" coordsize="5315,1709">
                <v:shape id="Shape 73415" style="position:absolute;width:232;height:130;left:0;top:1096;" coordsize="23293,13065" path="m0,13065l23293,0">
                  <v:stroke weight="0.502695pt" endcap="flat" joinstyle="round" on="true" color="#000000"/>
                  <v:fill on="false" color="#000000" opacity="0"/>
                </v:shape>
                <v:shape id="Shape 73416" style="position:absolute;width:336;height:583;left:232;top:1126;" coordsize="33674,58303" path="m0,0l33674,58303">
                  <v:stroke weight="0.981452pt" endcap="flat" joinstyle="round" on="true" color="#000000"/>
                  <v:fill on="false" color="#000000" opacity="0"/>
                </v:shape>
                <v:shape id="Shape 73417" style="position:absolute;width:429;height:1709;left:603;top:0;" coordsize="42915,170953" path="m0,170953l42915,0">
                  <v:stroke weight="0.502695pt" endcap="flat" joinstyle="round" on="true" color="#000000"/>
                  <v:fill on="false" color="#000000" opacity="0"/>
                </v:shape>
                <v:shape id="Shape 73418" style="position:absolute;width:4282;height:0;left:1033;top:0;" coordsize="428266,0" path="m0,0l428266,0">
                  <v:stroke weight="0.502695pt" endcap="flat" joinstyle="round" on="true" color="#000000"/>
                  <v:fill on="false" color="#000000" opacity="0"/>
                </v:shape>
              </v:group>
            </w:pict>
          </mc:Fallback>
        </mc:AlternateContent>
      </w:r>
      <w:r>
        <w:t xml:space="preserve">тогда </w:t>
      </w:r>
      <w:r>
        <w:rPr>
          <w:rFonts w:ascii="Segoe UI Symbol" w:eastAsia="Segoe UI Symbol" w:hAnsi="Segoe UI Symbol" w:cs="Segoe UI Symbol"/>
        </w:rPr>
        <w:t></w:t>
      </w:r>
      <w:r>
        <w:rPr>
          <w:rFonts w:ascii="Segoe UI Symbol" w:eastAsia="Segoe UI Symbol" w:hAnsi="Segoe UI Symbol" w:cs="Segoe UI Symbol"/>
        </w:rPr>
        <w:t xml:space="preserve"> </w:t>
      </w:r>
      <w:r>
        <w:rPr>
          <w:rFonts w:ascii="Segoe UI Symbol" w:eastAsia="Segoe UI Symbol" w:hAnsi="Segoe UI Symbol" w:cs="Segoe UI Symbol"/>
          <w:sz w:val="43"/>
          <w:vertAlign w:val="superscript"/>
        </w:rPr>
        <w:t></w:t>
      </w:r>
      <w:r>
        <w:rPr>
          <w:rFonts w:ascii="Segoe UI Symbol" w:eastAsia="Segoe UI Symbol" w:hAnsi="Segoe UI Symbol" w:cs="Segoe UI Symbol"/>
          <w:sz w:val="43"/>
          <w:vertAlign w:val="subscript"/>
        </w:rPr>
        <w:t></w:t>
      </w:r>
      <w:r>
        <w:t xml:space="preserve">2 </w:t>
      </w:r>
      <w:r>
        <w:rPr>
          <w:rFonts w:ascii="Segoe UI Symbol" w:eastAsia="Segoe UI Symbol" w:hAnsi="Segoe UI Symbol" w:cs="Segoe UI Symbol"/>
        </w:rPr>
        <w:t></w:t>
      </w:r>
      <w:r>
        <w:t>1</w:t>
      </w:r>
      <w:r>
        <w:rPr>
          <w:rFonts w:ascii="Segoe UI Symbol" w:eastAsia="Segoe UI Symbol" w:hAnsi="Segoe UI Symbol" w:cs="Segoe UI Symbol"/>
        </w:rPr>
        <w:t></w:t>
      </w:r>
      <w:r>
        <w:t xml:space="preserve">1,96 24 </w:t>
      </w:r>
      <w:r>
        <w:rPr>
          <w:rFonts w:ascii="Segoe UI Symbol" w:eastAsia="Segoe UI Symbol" w:hAnsi="Segoe UI Symbol" w:cs="Segoe UI Symbol"/>
        </w:rPr>
        <w:t></w:t>
      </w:r>
      <w:r>
        <w:t>1)</w:t>
      </w:r>
      <w:r>
        <w:rPr>
          <w:rFonts w:ascii="Segoe UI Symbol" w:eastAsia="Segoe UI Symbol" w:hAnsi="Segoe UI Symbol" w:cs="Segoe UI Symbol"/>
          <w:sz w:val="43"/>
          <w:vertAlign w:val="superscript"/>
        </w:rPr>
        <w:t></w:t>
      </w:r>
      <w:r>
        <w:rPr>
          <w:rFonts w:ascii="Segoe UI Symbol" w:eastAsia="Segoe UI Symbol" w:hAnsi="Segoe UI Symbol" w:cs="Segoe UI Symbol"/>
          <w:sz w:val="43"/>
          <w:vertAlign w:val="subscript"/>
        </w:rPr>
        <w:t></w:t>
      </w:r>
      <w:r>
        <w:rPr>
          <w:rFonts w:ascii="Segoe UI Symbol" w:eastAsia="Segoe UI Symbol" w:hAnsi="Segoe UI Symbol" w:cs="Segoe UI Symbol"/>
        </w:rPr>
        <w:t></w:t>
      </w:r>
      <w:r>
        <w:t xml:space="preserve">; </w:t>
      </w:r>
      <w:r>
        <w:rPr>
          <w:rFonts w:ascii="Segoe UI Symbol" w:eastAsia="Segoe UI Symbol" w:hAnsi="Segoe UI Symbol" w:cs="Segoe UI Symbol"/>
          <w:sz w:val="43"/>
          <w:vertAlign w:val="superscript"/>
        </w:rPr>
        <w:t></w:t>
      </w:r>
      <w:r>
        <w:rPr>
          <w:rFonts w:ascii="Segoe UI Symbol" w:eastAsia="Segoe UI Symbol" w:hAnsi="Segoe UI Symbol" w:cs="Segoe UI Symbol"/>
          <w:sz w:val="43"/>
          <w:vertAlign w:val="subscript"/>
        </w:rPr>
        <w:t></w:t>
      </w:r>
      <w:r>
        <w:t xml:space="preserve">7 </w:t>
      </w:r>
      <w:r>
        <w:rPr>
          <w:rFonts w:ascii="Segoe UI Symbol" w:eastAsia="Segoe UI Symbol" w:hAnsi="Segoe UI Symbol" w:cs="Segoe UI Symbol"/>
          <w:sz w:val="43"/>
          <w:vertAlign w:val="superscript"/>
        </w:rPr>
        <w:t xml:space="preserve"> </w:t>
      </w:r>
      <w:r>
        <w:t>7</w:t>
      </w:r>
      <w:r>
        <w:t xml:space="preserve">  и, следовательно, ряд остатков v</w:t>
      </w:r>
      <w:r>
        <w:t xml:space="preserve">(24) </w:t>
      </w:r>
      <w:r>
        <w:rPr>
          <w:rFonts w:ascii="Segoe UI Symbol" w:eastAsia="Segoe UI Symbol" w:hAnsi="Segoe UI Symbol" w:cs="Segoe UI Symbol"/>
        </w:rPr>
        <w:t></w:t>
      </w:r>
    </w:p>
    <w:p w:rsidR="002C0F56" w:rsidRDefault="00E67C6E">
      <w:pPr>
        <w:spacing w:after="0" w:line="433" w:lineRule="auto"/>
        <w:ind w:left="994" w:right="3439" w:firstLine="762"/>
      </w:pPr>
      <w:r>
        <w:rPr>
          <w:rFonts w:ascii="Segoe UI Symbol" w:eastAsia="Segoe UI Symbol" w:hAnsi="Segoe UI Symbol" w:cs="Segoe UI Symbol"/>
          <w:sz w:val="43"/>
          <w:vertAlign w:val="superscript"/>
        </w:rPr>
        <w:t></w:t>
      </w:r>
      <w:r>
        <w:rPr>
          <w:rFonts w:ascii="Segoe UI Symbol" w:eastAsia="Segoe UI Symbol" w:hAnsi="Segoe UI Symbol" w:cs="Segoe UI Symbol"/>
        </w:rPr>
        <w:t></w:t>
      </w:r>
      <w:r>
        <w:t>k</w:t>
      </w:r>
      <w:r>
        <w:rPr>
          <w:sz w:val="37"/>
          <w:vertAlign w:val="subscript"/>
        </w:rPr>
        <w:t xml:space="preserve">max </w:t>
      </w:r>
      <w:r>
        <w:t xml:space="preserve">(24) </w:t>
      </w:r>
      <w:r>
        <w:rPr>
          <w:rFonts w:ascii="Segoe UI Symbol" w:eastAsia="Segoe UI Symbol" w:hAnsi="Segoe UI Symbol" w:cs="Segoe UI Symbol"/>
        </w:rPr>
        <w:t xml:space="preserve"> </w:t>
      </w:r>
      <w:r>
        <w:rPr>
          <w:rFonts w:ascii="Segoe UI Symbol" w:eastAsia="Segoe UI Symbol" w:hAnsi="Segoe UI Symbol" w:cs="Segoe UI Symbol"/>
          <w:sz w:val="38"/>
        </w:rPr>
        <w:t></w:t>
      </w:r>
      <w:r>
        <w:t>1,43</w:t>
      </w:r>
      <w:r>
        <w:rPr>
          <w:rFonts w:ascii="Segoe UI Symbol" w:eastAsia="Segoe UI Symbol" w:hAnsi="Segoe UI Symbol" w:cs="Segoe UI Symbol"/>
        </w:rPr>
        <w:t></w:t>
      </w:r>
      <w:r>
        <w:t xml:space="preserve">ln(24 </w:t>
      </w:r>
      <w:r>
        <w:rPr>
          <w:rFonts w:ascii="Segoe UI Symbol" w:eastAsia="Segoe UI Symbol" w:hAnsi="Segoe UI Symbol" w:cs="Segoe UI Symbol"/>
        </w:rPr>
        <w:t></w:t>
      </w:r>
      <w:r>
        <w:t>1)</w:t>
      </w:r>
      <w:r>
        <w:rPr>
          <w:rFonts w:ascii="Segoe UI Symbol" w:eastAsia="Segoe UI Symbol" w:hAnsi="Segoe UI Symbol" w:cs="Segoe UI Symbol"/>
          <w:sz w:val="38"/>
        </w:rPr>
        <w:t xml:space="preserve"> </w:t>
      </w:r>
      <w:r>
        <w:rPr>
          <w:rFonts w:ascii="Segoe UI Symbol" w:eastAsia="Segoe UI Symbol" w:hAnsi="Segoe UI Symbol" w:cs="Segoe UI Symbol"/>
          <w:sz w:val="38"/>
          <w:vertAlign w:val="superscript"/>
        </w:rPr>
        <w:t></w:t>
      </w:r>
      <w:r>
        <w:t>3</w:t>
      </w:r>
      <w:r>
        <w:rPr>
          <w:rFonts w:ascii="Segoe UI Symbol" w:eastAsia="Segoe UI Symbol" w:hAnsi="Segoe UI Symbol" w:cs="Segoe UI Symbol"/>
          <w:sz w:val="38"/>
          <w:vertAlign w:val="superscript"/>
        </w:rPr>
        <w:t xml:space="preserve"> </w:t>
      </w:r>
      <w:r>
        <w:rPr>
          <w:sz w:val="38"/>
          <w:vertAlign w:val="superscript"/>
        </w:rPr>
        <w:t xml:space="preserve">4 </w:t>
      </w:r>
      <w:r>
        <w:t xml:space="preserve">можно считать случайным. </w:t>
      </w:r>
    </w:p>
    <w:p w:rsidR="002C0F56" w:rsidRDefault="00E67C6E">
      <w:pPr>
        <w:spacing w:after="0" w:line="259" w:lineRule="auto"/>
        <w:ind w:left="0" w:right="1529" w:firstLine="0"/>
        <w:jc w:val="right"/>
      </w:pPr>
      <w:r>
        <w:rPr>
          <w:noProof/>
        </w:rPr>
        <w:lastRenderedPageBreak/>
        <w:drawing>
          <wp:inline distT="0" distB="0" distL="0" distR="0">
            <wp:extent cx="4123690" cy="2487295"/>
            <wp:effectExtent l="0" t="0" r="0" b="0"/>
            <wp:docPr id="73481" name="Picture 73481"/>
            <wp:cNvGraphicFramePr/>
            <a:graphic xmlns:a="http://schemas.openxmlformats.org/drawingml/2006/main">
              <a:graphicData uri="http://schemas.openxmlformats.org/drawingml/2006/picture">
                <pic:pic xmlns:pic="http://schemas.openxmlformats.org/drawingml/2006/picture">
                  <pic:nvPicPr>
                    <pic:cNvPr id="73481" name="Picture 73481"/>
                    <pic:cNvPicPr/>
                  </pic:nvPicPr>
                  <pic:blipFill>
                    <a:blip r:embed="rId1288"/>
                    <a:stretch>
                      <a:fillRect/>
                    </a:stretch>
                  </pic:blipFill>
                  <pic:spPr>
                    <a:xfrm>
                      <a:off x="0" y="0"/>
                      <a:ext cx="4123690" cy="2487295"/>
                    </a:xfrm>
                    <a:prstGeom prst="rect">
                      <a:avLst/>
                    </a:prstGeom>
                  </pic:spPr>
                </pic:pic>
              </a:graphicData>
            </a:graphic>
          </wp:inline>
        </w:drawing>
      </w:r>
      <w:r>
        <w:t xml:space="preserve"> </w:t>
      </w:r>
    </w:p>
    <w:p w:rsidR="002C0F56" w:rsidRDefault="00E67C6E">
      <w:pPr>
        <w:spacing w:after="5" w:line="271" w:lineRule="auto"/>
        <w:ind w:left="2602" w:right="396" w:hanging="10"/>
        <w:jc w:val="left"/>
      </w:pPr>
      <w:r>
        <w:rPr>
          <w:b/>
          <w:sz w:val="24"/>
        </w:rPr>
        <w:t xml:space="preserve">Рис. 1. Исходные данные, прогноз и экстраполяция на 3 уровня </w:t>
      </w:r>
    </w:p>
    <w:p w:rsidR="002C0F56" w:rsidRDefault="00E67C6E">
      <w:pPr>
        <w:spacing w:after="0" w:line="259" w:lineRule="auto"/>
        <w:ind w:left="1558" w:firstLine="0"/>
        <w:jc w:val="left"/>
      </w:pPr>
      <w:r>
        <w:rPr>
          <w:i/>
        </w:rPr>
        <w:t xml:space="preserve"> </w:t>
      </w:r>
    </w:p>
    <w:p w:rsidR="002C0F56" w:rsidRDefault="00E67C6E">
      <w:pPr>
        <w:ind w:left="994" w:right="302"/>
      </w:pPr>
      <w:r>
        <w:t>Анализ автокорреляционной функции показал, что изменение размера лесовосстановительных работ имеет цикличность с периодом τ=4. Для моделирования сезонных колебаний могут быть использованы модель с индексом сезонности и тренд-сезонная модель [5]. Построив о</w:t>
      </w:r>
      <w:r>
        <w:t xml:space="preserve">бе модели и сравнив их  ошибки аппроксимации, мы получили, что необходимо использовать аддитивную тренд-сезонную модель с квадратичным трендом. Скорректированные индексы сезонности для нашего ряда составили: </w:t>
      </w:r>
    </w:p>
    <w:p w:rsidR="002C0F56" w:rsidRDefault="00E67C6E">
      <w:pPr>
        <w:spacing w:after="0" w:line="312" w:lineRule="auto"/>
        <w:ind w:left="994" w:right="302" w:firstLine="37"/>
      </w:pPr>
      <w:r>
        <w:rPr>
          <w:sz w:val="42"/>
          <w:vertAlign w:val="superscript"/>
        </w:rPr>
        <w:t>K</w:t>
      </w:r>
      <w:r>
        <w:rPr>
          <w:sz w:val="36"/>
          <w:vertAlign w:val="subscript"/>
        </w:rPr>
        <w:t>S</w:t>
      </w:r>
      <w:r>
        <w:rPr>
          <w:sz w:val="24"/>
        </w:rPr>
        <w:t xml:space="preserve">1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0,003, </w:t>
      </w:r>
      <w:r>
        <w:rPr>
          <w:sz w:val="43"/>
          <w:vertAlign w:val="superscript"/>
        </w:rPr>
        <w:t>K</w:t>
      </w:r>
      <w:r>
        <w:rPr>
          <w:sz w:val="36"/>
          <w:vertAlign w:val="subscript"/>
        </w:rPr>
        <w:t>S</w:t>
      </w:r>
      <w:r>
        <w:rPr>
          <w:sz w:val="24"/>
        </w:rPr>
        <w:t xml:space="preserve">2 </w:t>
      </w:r>
      <w:r>
        <w:rPr>
          <w:rFonts w:ascii="Segoe UI Symbol" w:eastAsia="Segoe UI Symbol" w:hAnsi="Segoe UI Symbol" w:cs="Segoe UI Symbol"/>
        </w:rPr>
        <w:t xml:space="preserve"> </w:t>
      </w:r>
      <w:r>
        <w:t xml:space="preserve">0,018, </w:t>
      </w:r>
      <w:r>
        <w:rPr>
          <w:sz w:val="43"/>
          <w:vertAlign w:val="superscript"/>
        </w:rPr>
        <w:t>K</w:t>
      </w:r>
      <w:r>
        <w:rPr>
          <w:sz w:val="36"/>
          <w:vertAlign w:val="subscript"/>
        </w:rPr>
        <w:t>S</w:t>
      </w:r>
      <w:r>
        <w:rPr>
          <w:sz w:val="24"/>
        </w:rPr>
        <w:t xml:space="preserve">3 </w:t>
      </w:r>
      <w:r>
        <w:rPr>
          <w:rFonts w:ascii="Segoe UI Symbol" w:eastAsia="Segoe UI Symbol" w:hAnsi="Segoe UI Symbol" w:cs="Segoe UI Symbol"/>
        </w:rPr>
        <w:t xml:space="preserve"> </w:t>
      </w:r>
      <w:r>
        <w:t>0,016</w:t>
      </w:r>
      <w:r>
        <w:t xml:space="preserve"> и </w:t>
      </w:r>
      <w:r>
        <w:rPr>
          <w:sz w:val="43"/>
          <w:vertAlign w:val="superscript"/>
        </w:rPr>
        <w:t>K</w:t>
      </w:r>
      <w:r>
        <w:rPr>
          <w:sz w:val="36"/>
          <w:vertAlign w:val="subscript"/>
        </w:rPr>
        <w:t>S</w:t>
      </w:r>
      <w:r>
        <w:rPr>
          <w:sz w:val="24"/>
        </w:rPr>
        <w:t xml:space="preserve">4 </w:t>
      </w:r>
      <w:r>
        <w:rPr>
          <w:rFonts w:ascii="Segoe UI Symbol" w:eastAsia="Segoe UI Symbol" w:hAnsi="Segoe UI Symbol" w:cs="Segoe UI Symbol"/>
        </w:rPr>
        <w:t></w:t>
      </w:r>
      <w:r>
        <w:rPr>
          <w:rFonts w:ascii="Segoe UI Symbol" w:eastAsia="Segoe UI Symbol" w:hAnsi="Segoe UI Symbol" w:cs="Segoe UI Symbol"/>
        </w:rPr>
        <w:t></w:t>
      </w:r>
      <w:r>
        <w:t>0,031</w:t>
      </w:r>
      <w:r>
        <w:t>, а модель прогноза приняла вид: у</w:t>
      </w:r>
      <w:r>
        <w:rPr>
          <w:sz w:val="24"/>
        </w:rPr>
        <w:t xml:space="preserve">t1 </w:t>
      </w:r>
      <w:r>
        <w:rPr>
          <w:rFonts w:ascii="Segoe UI Symbol" w:eastAsia="Segoe UI Symbol" w:hAnsi="Segoe UI Symbol" w:cs="Segoe UI Symbol"/>
        </w:rPr>
        <w:t></w:t>
      </w:r>
      <w:r>
        <w:t xml:space="preserve">1,609 </w:t>
      </w:r>
      <w:r>
        <w:rPr>
          <w:rFonts w:ascii="Segoe UI Symbol" w:eastAsia="Segoe UI Symbol" w:hAnsi="Segoe UI Symbol" w:cs="Segoe UI Symbol"/>
        </w:rPr>
        <w:t xml:space="preserve"> </w:t>
      </w:r>
      <w:r>
        <w:t xml:space="preserve">0,09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t>0,003</w:t>
      </w:r>
      <w:r>
        <w:rPr>
          <w:rFonts w:ascii="Segoe UI Symbol" w:eastAsia="Segoe UI Symbol" w:hAnsi="Segoe UI Symbol" w:cs="Segoe UI Symbol"/>
        </w:rPr>
        <w:t xml:space="preserve"> </w:t>
      </w:r>
      <w:r>
        <w:rPr>
          <w:sz w:val="43"/>
          <w:vertAlign w:val="superscript"/>
        </w:rPr>
        <w:t>t</w:t>
      </w:r>
      <w:r>
        <w:rPr>
          <w:sz w:val="37"/>
          <w:vertAlign w:val="superscript"/>
        </w:rPr>
        <w:t>2</w:t>
      </w:r>
      <w:r>
        <w:t xml:space="preserve">, </w:t>
      </w:r>
      <w:r>
        <w:t>у</w:t>
      </w:r>
      <w:r>
        <w:rPr>
          <w:sz w:val="24"/>
        </w:rPr>
        <w:t xml:space="preserve">t2 </w:t>
      </w:r>
      <w:r>
        <w:rPr>
          <w:rFonts w:ascii="Segoe UI Symbol" w:eastAsia="Segoe UI Symbol" w:hAnsi="Segoe UI Symbol" w:cs="Segoe UI Symbol"/>
        </w:rPr>
        <w:t></w:t>
      </w:r>
      <w:r>
        <w:t xml:space="preserve">1,63 </w:t>
      </w:r>
      <w:r>
        <w:rPr>
          <w:rFonts w:ascii="Segoe UI Symbol" w:eastAsia="Segoe UI Symbol" w:hAnsi="Segoe UI Symbol" w:cs="Segoe UI Symbol"/>
        </w:rPr>
        <w:t xml:space="preserve"> </w:t>
      </w:r>
      <w:r>
        <w:t xml:space="preserve">0,09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t>0,003</w:t>
      </w:r>
      <w:r>
        <w:rPr>
          <w:rFonts w:ascii="Segoe UI Symbol" w:eastAsia="Segoe UI Symbol" w:hAnsi="Segoe UI Symbol" w:cs="Segoe UI Symbol"/>
        </w:rPr>
        <w:t xml:space="preserve"> </w:t>
      </w:r>
      <w:r>
        <w:rPr>
          <w:sz w:val="43"/>
          <w:vertAlign w:val="superscript"/>
        </w:rPr>
        <w:t>t</w:t>
      </w:r>
      <w:r>
        <w:rPr>
          <w:sz w:val="37"/>
          <w:vertAlign w:val="superscript"/>
        </w:rPr>
        <w:t xml:space="preserve">2 </w:t>
      </w:r>
      <w:r>
        <w:t xml:space="preserve">, </w:t>
      </w:r>
      <w:r>
        <w:t>у</w:t>
      </w:r>
      <w:r>
        <w:rPr>
          <w:sz w:val="24"/>
        </w:rPr>
        <w:t xml:space="preserve">t3 </w:t>
      </w:r>
      <w:r>
        <w:rPr>
          <w:rFonts w:ascii="Segoe UI Symbol" w:eastAsia="Segoe UI Symbol" w:hAnsi="Segoe UI Symbol" w:cs="Segoe UI Symbol"/>
        </w:rPr>
        <w:t></w:t>
      </w:r>
      <w:r>
        <w:t xml:space="preserve">1,628 </w:t>
      </w:r>
      <w:r>
        <w:rPr>
          <w:rFonts w:ascii="Segoe UI Symbol" w:eastAsia="Segoe UI Symbol" w:hAnsi="Segoe UI Symbol" w:cs="Segoe UI Symbol"/>
        </w:rPr>
        <w:t xml:space="preserve"> </w:t>
      </w:r>
      <w:r>
        <w:t xml:space="preserve">0,09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t>0,003</w:t>
      </w:r>
      <w:r>
        <w:rPr>
          <w:rFonts w:ascii="Segoe UI Symbol" w:eastAsia="Segoe UI Symbol" w:hAnsi="Segoe UI Symbol" w:cs="Segoe UI Symbol"/>
        </w:rPr>
        <w:t xml:space="preserve"> </w:t>
      </w:r>
      <w:r>
        <w:rPr>
          <w:sz w:val="43"/>
          <w:vertAlign w:val="superscript"/>
        </w:rPr>
        <w:t>t</w:t>
      </w:r>
      <w:r>
        <w:rPr>
          <w:sz w:val="37"/>
          <w:vertAlign w:val="superscript"/>
        </w:rPr>
        <w:t>2</w:t>
      </w:r>
      <w:r>
        <w:t xml:space="preserve"> и у</w:t>
      </w:r>
      <w:r>
        <w:rPr>
          <w:sz w:val="24"/>
        </w:rPr>
        <w:t xml:space="preserve">t4 </w:t>
      </w:r>
      <w:r>
        <w:rPr>
          <w:rFonts w:ascii="Segoe UI Symbol" w:eastAsia="Segoe UI Symbol" w:hAnsi="Segoe UI Symbol" w:cs="Segoe UI Symbol"/>
        </w:rPr>
        <w:t></w:t>
      </w:r>
      <w:r>
        <w:t xml:space="preserve">1,58 </w:t>
      </w:r>
      <w:r>
        <w:rPr>
          <w:rFonts w:ascii="Segoe UI Symbol" w:eastAsia="Segoe UI Symbol" w:hAnsi="Segoe UI Symbol" w:cs="Segoe UI Symbol"/>
        </w:rPr>
        <w:t xml:space="preserve"> </w:t>
      </w:r>
      <w:r>
        <w:t xml:space="preserve">0,09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t>0,003</w:t>
      </w:r>
      <w:r>
        <w:rPr>
          <w:rFonts w:ascii="Segoe UI Symbol" w:eastAsia="Segoe UI Symbol" w:hAnsi="Segoe UI Symbol" w:cs="Segoe UI Symbol"/>
        </w:rPr>
        <w:t xml:space="preserve"> </w:t>
      </w:r>
      <w:r>
        <w:rPr>
          <w:sz w:val="43"/>
          <w:vertAlign w:val="superscript"/>
        </w:rPr>
        <w:t>t</w:t>
      </w:r>
      <w:r>
        <w:rPr>
          <w:sz w:val="37"/>
          <w:vertAlign w:val="superscript"/>
        </w:rPr>
        <w:t xml:space="preserve">2 </w:t>
      </w:r>
      <w:r>
        <w:t xml:space="preserve">. Ошибка </w:t>
      </w:r>
    </w:p>
    <w:p w:rsidR="002C0F56" w:rsidRDefault="00E67C6E">
      <w:pPr>
        <w:ind w:left="994" w:right="302" w:firstLine="0"/>
      </w:pPr>
      <w:r>
        <w:t>аппроксимации данной модели составляет 6,03%. Исходные данные, прогно</w:t>
      </w:r>
      <w:r>
        <w:t xml:space="preserve">з и экстраполяция на 3 уровня представлена на рис. 1.  </w:t>
      </w:r>
    </w:p>
    <w:p w:rsidR="002C0F56" w:rsidRDefault="00E67C6E">
      <w:pPr>
        <w:spacing w:after="7"/>
        <w:ind w:left="994" w:right="302"/>
      </w:pPr>
      <w:r>
        <w:t>Таким образом, исследование показало, что фактический размер лесовосстановительных работ имеет явную тенденцию к сокращению, однако теоретический прогноз обещает их рост. Во-</w:t>
      </w:r>
      <w:r>
        <w:t>вторых, лесовосстановительные работы имеют выраженный сезонный характер, а именно снижение каждый 4-й год относительно среднего уровня. На наш взгляд снижение может быть объяснено формированием бюджета страны на 4 года и прогнозные доходы государства имеют</w:t>
      </w:r>
      <w:r>
        <w:t xml:space="preserve"> тенденцию к сокращению. Также исследование показало, что для функционального описания размера лесовоотановительных работ в РФ необходимо использовать аддитивную тренд-сезонную модель с квадратичным трендом. Погрешность подобных моделей составляет 6%.  </w:t>
      </w:r>
    </w:p>
    <w:p w:rsidR="002C0F56" w:rsidRDefault="00E67C6E">
      <w:pPr>
        <w:spacing w:after="25"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31"/>
        </w:numPr>
        <w:ind w:right="302"/>
      </w:pPr>
      <w:r>
        <w:lastRenderedPageBreak/>
        <w:t xml:space="preserve">Лесной кодекс РФ (режим доступа: </w:t>
      </w:r>
      <w:hyperlink r:id="rId1289">
        <w:r>
          <w:t>http://rulaws.ru/Lesnoy</w:t>
        </w:r>
      </w:hyperlink>
      <w:hyperlink r:id="rId1290">
        <w:r>
          <w:t>-</w:t>
        </w:r>
      </w:hyperlink>
      <w:hyperlink r:id="rId1291">
        <w:r>
          <w:t>kodeks/</w:t>
        </w:r>
      </w:hyperlink>
      <w:hyperlink r:id="rId1292">
        <w:r>
          <w:t xml:space="preserve"> </w:t>
        </w:r>
      </w:hyperlink>
      <w:r>
        <w:t xml:space="preserve">) </w:t>
      </w:r>
    </w:p>
    <w:p w:rsidR="002C0F56" w:rsidRDefault="00E67C6E">
      <w:pPr>
        <w:numPr>
          <w:ilvl w:val="0"/>
          <w:numId w:val="231"/>
        </w:numPr>
        <w:spacing w:after="7"/>
        <w:ind w:right="302"/>
      </w:pPr>
      <w:r>
        <w:t xml:space="preserve">Тиндова М.Г. Анализ связи между правами на природные ресурсы и платежами за их использование // Модели, системы, сети в экономике, технике, природе и обществе. 2012. №3 (4). С. 193-197. </w:t>
      </w:r>
    </w:p>
    <w:p w:rsidR="002C0F56" w:rsidRDefault="00E67C6E">
      <w:pPr>
        <w:numPr>
          <w:ilvl w:val="0"/>
          <w:numId w:val="231"/>
        </w:numPr>
        <w:ind w:right="302"/>
      </w:pPr>
      <w:r>
        <w:t>Gujarati D.N. Basic Econometrics.</w:t>
      </w:r>
      <w:r>
        <w:t xml:space="preserve"> Third Ed. – Mc. Graw – Hill, Inc., 1995 4.</w:t>
      </w:r>
      <w:r>
        <w:rPr>
          <w:rFonts w:ascii="Arial" w:eastAsia="Arial" w:hAnsi="Arial" w:cs="Arial"/>
        </w:rPr>
        <w:t xml:space="preserve"> </w:t>
      </w:r>
      <w:r>
        <w:t xml:space="preserve">Тиндова М.Г., Журавская К.Г. Нечёткое моделирование экономической оценки лесных участков // Модели, системы, сети в экономике, технике, природе и обществе. 2012. №2 (3). С. 195-200. </w:t>
      </w:r>
    </w:p>
    <w:p w:rsidR="002C0F56" w:rsidRDefault="00E67C6E">
      <w:pPr>
        <w:ind w:left="994" w:right="302"/>
      </w:pPr>
      <w:r>
        <w:t>5.</w:t>
      </w:r>
      <w:r>
        <w:rPr>
          <w:rFonts w:ascii="Arial" w:eastAsia="Arial" w:hAnsi="Arial" w:cs="Arial"/>
        </w:rPr>
        <w:t xml:space="preserve"> </w:t>
      </w:r>
      <w:r>
        <w:t>Тиндова М.Г. Нечёткая моде</w:t>
      </w:r>
      <w:r>
        <w:t xml:space="preserve">ль экономической оценки экологического ущерба // Экономика: вчера, сегодня, завтра. 2012. №3-4. С. 129-139.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25" w:line="259" w:lineRule="auto"/>
        <w:ind w:left="10" w:right="306" w:hanging="10"/>
        <w:jc w:val="right"/>
      </w:pPr>
      <w:r>
        <w:rPr>
          <w:b/>
        </w:rPr>
        <w:t xml:space="preserve">Смердова К.Ф. </w:t>
      </w:r>
    </w:p>
    <w:p w:rsidR="002C0F56" w:rsidRDefault="00E67C6E">
      <w:pPr>
        <w:spacing w:after="11" w:line="270" w:lineRule="auto"/>
        <w:ind w:left="10" w:right="311" w:hanging="10"/>
        <w:jc w:val="right"/>
      </w:pPr>
      <w:r>
        <w:t xml:space="preserve">Научный руководитель: Дариенко О.Л.  </w:t>
      </w:r>
    </w:p>
    <w:p w:rsidR="002C0F56" w:rsidRDefault="00E67C6E">
      <w:pPr>
        <w:spacing w:after="0" w:line="267" w:lineRule="auto"/>
        <w:ind w:left="905" w:right="310" w:hanging="10"/>
        <w:jc w:val="right"/>
      </w:pPr>
      <w:r>
        <w:rPr>
          <w:i/>
        </w:rPr>
        <w:t xml:space="preserve">Горловский техникум  </w:t>
      </w:r>
    </w:p>
    <w:p w:rsidR="002C0F56" w:rsidRDefault="00E67C6E">
      <w:pPr>
        <w:spacing w:after="0" w:line="267" w:lineRule="auto"/>
        <w:ind w:left="905" w:right="311" w:hanging="10"/>
        <w:jc w:val="right"/>
      </w:pPr>
      <w:r>
        <w:rPr>
          <w:i/>
        </w:rPr>
        <w:t xml:space="preserve">Донецкий национальный университет </w:t>
      </w:r>
    </w:p>
    <w:p w:rsidR="002C0F56" w:rsidRDefault="00E67C6E">
      <w:pPr>
        <w:spacing w:after="0" w:line="259" w:lineRule="auto"/>
        <w:ind w:left="1558" w:firstLine="0"/>
        <w:jc w:val="left"/>
      </w:pPr>
      <w:r>
        <w:rPr>
          <w:b/>
        </w:rPr>
        <w:t xml:space="preserve"> </w:t>
      </w:r>
    </w:p>
    <w:p w:rsidR="002C0F56" w:rsidRDefault="00E67C6E">
      <w:pPr>
        <w:pStyle w:val="1"/>
        <w:spacing w:after="15" w:line="271" w:lineRule="auto"/>
        <w:ind w:left="1618" w:right="0" w:hanging="199"/>
        <w:jc w:val="left"/>
      </w:pPr>
      <w:r>
        <w:t xml:space="preserve">ФОРМИРОВАНИЯ ПОРТФЕЛЯ ИННОВАЦИОННЫХ ПРОЕКТОВ </w:t>
      </w:r>
    </w:p>
    <w:p w:rsidR="002C0F56" w:rsidRDefault="00E67C6E">
      <w:pPr>
        <w:spacing w:after="15" w:line="271" w:lineRule="auto"/>
        <w:ind w:left="1618" w:hanging="199"/>
        <w:jc w:val="left"/>
      </w:pPr>
      <w:r>
        <w:rPr>
          <w:b/>
        </w:rPr>
        <w:t xml:space="preserve">«ЗЕЛЕНОГО» РОСТА ЭКОНОМИКИ ДОНЕЦКОГО РЕГИОНА: </w:t>
      </w:r>
    </w:p>
    <w:p w:rsidR="002C0F56" w:rsidRDefault="00E67C6E">
      <w:pPr>
        <w:pStyle w:val="1"/>
        <w:ind w:left="700" w:right="2"/>
      </w:pPr>
      <w:r>
        <w:t xml:space="preserve">ТЕОРЕТИЧЕСКИЙ АСПЕКТ </w:t>
      </w:r>
    </w:p>
    <w:p w:rsidR="002C0F56" w:rsidRDefault="00E67C6E">
      <w:pPr>
        <w:spacing w:after="0" w:line="259" w:lineRule="auto"/>
        <w:ind w:left="1558" w:firstLine="0"/>
        <w:jc w:val="left"/>
      </w:pPr>
      <w:r>
        <w:rPr>
          <w:i/>
        </w:rPr>
        <w:t xml:space="preserve"> </w:t>
      </w:r>
    </w:p>
    <w:p w:rsidR="002C0F56" w:rsidRDefault="00E67C6E">
      <w:pPr>
        <w:spacing w:after="0"/>
        <w:ind w:left="994" w:right="302"/>
      </w:pPr>
      <w:r>
        <w:t>В настоящее время в научной литературе представлено множество подходов и методов оценки инновационных проектов, но все они имеют чисто экон</w:t>
      </w:r>
      <w:r>
        <w:t xml:space="preserve">омические цели. Для портфеля проектов решают задачу максимизации суммарной прибыли всех проектов с учетом бюджетных ограничений, обеспечения ресурсами и временем. С точки зрения «зеленого» роста экономики и обеспечения устойчивого развития, результирующие </w:t>
      </w:r>
      <w:r>
        <w:t xml:space="preserve">показатели могут быть связаны с другими параметрами ценности портфеля. В таких портфелях проектов приходится решать многокритериальную задачу принятия решения и иметь дело с множеством альтернатив [1]. </w:t>
      </w:r>
    </w:p>
    <w:p w:rsidR="002C0F56" w:rsidRDefault="00E67C6E">
      <w:pPr>
        <w:spacing w:after="0"/>
        <w:ind w:left="994" w:right="302"/>
      </w:pPr>
      <w:r>
        <w:t xml:space="preserve">Для оценки эффективности инновационных проектов «зеленого» роста экономики используются показатели «озеленения» экономики по результатам реализации проекта. Оценку результативности реализации инновационных </w:t>
      </w:r>
      <w:r>
        <w:lastRenderedPageBreak/>
        <w:t xml:space="preserve">проектов «зеленого» роста экономики целесообразно </w:t>
      </w:r>
      <w:r>
        <w:t xml:space="preserve">проводить на основе анализа: </w:t>
      </w:r>
    </w:p>
    <w:p w:rsidR="002C0F56" w:rsidRDefault="00E67C6E">
      <w:pPr>
        <w:numPr>
          <w:ilvl w:val="0"/>
          <w:numId w:val="232"/>
        </w:numPr>
        <w:spacing w:after="2"/>
        <w:ind w:right="302"/>
      </w:pPr>
      <w:r>
        <w:t>Вклада инновационного проекта в достижение целей экономии природных ресурсов региона, что может быть выражено в изменении показателей достижения эффекта от улучшения определенных технологических процессов (прямая «зеленая» рез</w:t>
      </w:r>
      <w:r>
        <w:t xml:space="preserve">ультативность проекта). </w:t>
      </w:r>
    </w:p>
    <w:p w:rsidR="002C0F56" w:rsidRDefault="00E67C6E">
      <w:pPr>
        <w:numPr>
          <w:ilvl w:val="0"/>
          <w:numId w:val="232"/>
        </w:numPr>
        <w:ind w:right="302"/>
      </w:pPr>
      <w:r>
        <w:t>Результата реализации проекта, который выражается в улучшении эколого-экономических характеристик по результатам реализации проекта, в процессе оказания услуг или производства товаров и обеспечивающих его действий (конечная «зелена</w:t>
      </w:r>
      <w:r>
        <w:t xml:space="preserve">я» результативность проекта). </w:t>
      </w:r>
    </w:p>
    <w:p w:rsidR="002C0F56" w:rsidRDefault="00E67C6E">
      <w:pPr>
        <w:spacing w:after="0"/>
        <w:ind w:left="994" w:right="302"/>
      </w:pPr>
      <w:r>
        <w:t>Оценка параметров инновационных проектов «зеленого» роста экономики и степени их достижения в ходе планирования действий и результатов (оценка эффективности управления проектом) во многом зависит от экологической конкурентосп</w:t>
      </w:r>
      <w:r>
        <w:t xml:space="preserve">особности инициатора проекта и непосредственно от характеристики степени экологичности проекта. </w:t>
      </w:r>
    </w:p>
    <w:p w:rsidR="002C0F56" w:rsidRDefault="00E67C6E">
      <w:pPr>
        <w:ind w:left="994" w:right="302"/>
      </w:pPr>
      <w:r>
        <w:t>В рамках данного исследования предлагается такой критерий отбора проектов для «зеленого» роста экономики региона, как постоянство ожидаемых результатов проекта</w:t>
      </w:r>
      <w:r>
        <w:t xml:space="preserve"> по замерам – экологический (ЭУ), институциональносоциальная (ИСУ), финансово-экономический (ФЭУ). Определение критериальных показателей экологической, институционально-социальной и финансово-экономической устойчивости проекта позволит строить рейтинговые </w:t>
      </w:r>
      <w:r>
        <w:t xml:space="preserve">оценки путем организации процесса сравнительной оценки. </w:t>
      </w:r>
    </w:p>
    <w:p w:rsidR="002C0F56" w:rsidRDefault="00E67C6E">
      <w:pPr>
        <w:ind w:left="994" w:right="302"/>
      </w:pPr>
      <w:r>
        <w:t>Показатель ЭУ можно представить как интегральный показатель экологической устойчивости инновационного проекта «зеленого» роста экономики региона, предусматривающий агрегирования показателей экологиче</w:t>
      </w:r>
      <w:r>
        <w:t xml:space="preserve">ской безопасности проекта и показателей «озеленения» экономики по результатам реализации проекта. </w:t>
      </w:r>
    </w:p>
    <w:p w:rsidR="002C0F56" w:rsidRDefault="00E67C6E">
      <w:pPr>
        <w:spacing w:after="0"/>
        <w:ind w:left="994" w:right="302"/>
      </w:pPr>
      <w:r>
        <w:t>Критерий оптимизации в данном случае означает лучшую динамику показателя или его состояние. Таким образом, значение интегрального показателя экологической ус</w:t>
      </w:r>
      <w:r>
        <w:t xml:space="preserve">тойчивости проекта нами предлагается определять и рассчитывать экспертным методом путем балльной оценки (от 1 до 10), по факторам, определяющим значение достижений инновационного проекта в сфере «зеленого» роста экономики. </w:t>
      </w:r>
    </w:p>
    <w:p w:rsidR="002C0F56" w:rsidRDefault="00E67C6E">
      <w:pPr>
        <w:spacing w:after="231"/>
        <w:ind w:left="994" w:right="302"/>
      </w:pPr>
      <w:r>
        <w:t>Нужно уточнить, что в научные ли</w:t>
      </w:r>
      <w:r>
        <w:t xml:space="preserve">тературе достаточно широко представлены некоторые из указанных показателей, что упрощает их использования в практической деятельности. Так, коэффициент экологичности объекта определяется как отношение чистого эффекта к затраченным природным ресурсам: </w:t>
      </w:r>
    </w:p>
    <w:p w:rsidR="002C0F56" w:rsidRDefault="00E67C6E">
      <w:pPr>
        <w:spacing w:after="11" w:line="270" w:lineRule="auto"/>
        <w:ind w:left="10" w:right="862" w:hanging="10"/>
        <w:jc w:val="right"/>
      </w:pPr>
      <w:r>
        <w:rPr>
          <w:rFonts w:ascii="Calibri" w:eastAsia="Calibri" w:hAnsi="Calibri" w:cs="Calibri"/>
          <w:noProof/>
          <w:sz w:val="22"/>
        </w:rPr>
        <w:lastRenderedPageBreak/>
        <mc:AlternateContent>
          <mc:Choice Requires="wpg">
            <w:drawing>
              <wp:anchor distT="0" distB="0" distL="114300" distR="114300" simplePos="0" relativeHeight="251681792" behindDoc="0" locked="0" layoutInCell="1" allowOverlap="1">
                <wp:simplePos x="0" y="0"/>
                <wp:positionH relativeFrom="column">
                  <wp:posOffset>3410450</wp:posOffset>
                </wp:positionH>
                <wp:positionV relativeFrom="paragraph">
                  <wp:posOffset>123287</wp:posOffset>
                </wp:positionV>
                <wp:extent cx="609435" cy="8800"/>
                <wp:effectExtent l="0" t="0" r="0" b="0"/>
                <wp:wrapNone/>
                <wp:docPr id="666812" name="Group 666812"/>
                <wp:cNvGraphicFramePr/>
                <a:graphic xmlns:a="http://schemas.openxmlformats.org/drawingml/2006/main">
                  <a:graphicData uri="http://schemas.microsoft.com/office/word/2010/wordprocessingGroup">
                    <wpg:wgp>
                      <wpg:cNvGrpSpPr/>
                      <wpg:grpSpPr>
                        <a:xfrm>
                          <a:off x="0" y="0"/>
                          <a:ext cx="609435" cy="8800"/>
                          <a:chOff x="0" y="0"/>
                          <a:chExt cx="609435" cy="8800"/>
                        </a:xfrm>
                      </wpg:grpSpPr>
                      <wps:wsp>
                        <wps:cNvPr id="73873" name="Shape 73873"/>
                        <wps:cNvSpPr/>
                        <wps:spPr>
                          <a:xfrm>
                            <a:off x="0" y="0"/>
                            <a:ext cx="609435" cy="0"/>
                          </a:xfrm>
                          <a:custGeom>
                            <a:avLst/>
                            <a:gdLst/>
                            <a:ahLst/>
                            <a:cxnLst/>
                            <a:rect l="0" t="0" r="0" b="0"/>
                            <a:pathLst>
                              <a:path w="609435">
                                <a:moveTo>
                                  <a:pt x="0" y="0"/>
                                </a:moveTo>
                                <a:lnTo>
                                  <a:pt x="609435" y="0"/>
                                </a:lnTo>
                              </a:path>
                            </a:pathLst>
                          </a:custGeom>
                          <a:ln w="88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6812" style="width:47.987pt;height:3.05176e-05pt;position:absolute;z-index:34;mso-position-horizontal-relative:text;mso-position-horizontal:absolute;margin-left:268.539pt;mso-position-vertical-relative:text;margin-top:9.70767pt;" coordsize="6094,0">
                <v:shape id="Shape 73873" style="position:absolute;width:6094;height:0;left:0;top:0;" coordsize="609435,0" path="m0,0l609435,0">
                  <v:stroke weight="0.692929pt" endcap="flat" joinstyle="round" on="true" color="#000000"/>
                  <v:fill on="false" color="#000000" opacity="0"/>
                </v:shape>
              </v:group>
            </w:pict>
          </mc:Fallback>
        </mc:AlternateContent>
      </w:r>
      <w:r>
        <w:rPr>
          <w:i/>
        </w:rPr>
        <w:t>П</w:t>
      </w:r>
      <w:r>
        <w:rPr>
          <w:i/>
          <w:sz w:val="37"/>
          <w:vertAlign w:val="superscript"/>
        </w:rPr>
        <w:t xml:space="preserve">п </w:t>
      </w:r>
      <w:r>
        <w:rPr>
          <w:rFonts w:ascii="Segoe UI Symbol" w:eastAsia="Segoe UI Symbol" w:hAnsi="Segoe UI Symbol" w:cs="Segoe UI Symbol"/>
          <w:sz w:val="43"/>
          <w:vertAlign w:val="superscript"/>
        </w:rPr>
        <w:t xml:space="preserve"> </w:t>
      </w:r>
      <w:r>
        <w:rPr>
          <w:i/>
          <w:sz w:val="43"/>
          <w:vertAlign w:val="superscript"/>
        </w:rPr>
        <w:t>В</w:t>
      </w:r>
      <w:r>
        <w:rPr>
          <w:i/>
          <w:sz w:val="37"/>
          <w:vertAlign w:val="superscript"/>
        </w:rPr>
        <w:t xml:space="preserve">в </w:t>
      </w:r>
      <w:r>
        <w:rPr>
          <w:i/>
        </w:rPr>
        <w:t>,</w:t>
      </w:r>
      <w:r>
        <w:t xml:space="preserve">                                               (1) </w:t>
      </w:r>
    </w:p>
    <w:p w:rsidR="002C0F56" w:rsidRDefault="00E67C6E">
      <w:pPr>
        <w:spacing w:after="0" w:line="259" w:lineRule="auto"/>
        <w:ind w:left="1578" w:hanging="10"/>
        <w:jc w:val="left"/>
      </w:pPr>
      <w:r>
        <w:t xml:space="preserve">                                             </w:t>
      </w:r>
      <w:r>
        <w:rPr>
          <w:i/>
        </w:rPr>
        <w:t>К</w:t>
      </w:r>
      <w:r>
        <w:rPr>
          <w:i/>
          <w:sz w:val="37"/>
          <w:vertAlign w:val="subscript"/>
        </w:rPr>
        <w:t xml:space="preserve">е </w:t>
      </w:r>
      <w:r>
        <w:rPr>
          <w:rFonts w:ascii="Segoe UI Symbol" w:eastAsia="Segoe UI Symbol" w:hAnsi="Segoe UI Symbol" w:cs="Segoe UI Symbol"/>
        </w:rPr>
        <w:t></w:t>
      </w:r>
    </w:p>
    <w:p w:rsidR="002C0F56" w:rsidRDefault="00E67C6E">
      <w:pPr>
        <w:spacing w:after="0" w:line="259" w:lineRule="auto"/>
        <w:ind w:left="5375" w:right="4620" w:hanging="10"/>
        <w:jc w:val="center"/>
      </w:pPr>
      <w:r>
        <w:rPr>
          <w:i/>
        </w:rPr>
        <w:t>Р</w:t>
      </w:r>
      <w:r>
        <w:rPr>
          <w:i/>
          <w:sz w:val="37"/>
          <w:vertAlign w:val="subscript"/>
        </w:rPr>
        <w:t>п</w:t>
      </w:r>
    </w:p>
    <w:p w:rsidR="002C0F56" w:rsidRDefault="00E67C6E">
      <w:pPr>
        <w:spacing w:after="12"/>
        <w:ind w:left="1558" w:right="302" w:firstLine="0"/>
      </w:pPr>
      <w:r>
        <w:t xml:space="preserve">где </w:t>
      </w:r>
      <w:r>
        <w:rPr>
          <w:i/>
        </w:rPr>
        <w:t>П</w:t>
      </w:r>
      <w:r>
        <w:rPr>
          <w:i/>
          <w:sz w:val="43"/>
          <w:vertAlign w:val="subscript"/>
        </w:rPr>
        <w:t>п</w:t>
      </w:r>
      <w:r>
        <w:t xml:space="preserve"> – единица полезной продукции или услуги; </w:t>
      </w:r>
    </w:p>
    <w:p w:rsidR="002C0F56" w:rsidRDefault="00E67C6E">
      <w:pPr>
        <w:spacing w:after="12"/>
        <w:ind w:left="1604" w:right="302" w:firstLine="0"/>
      </w:pPr>
      <w:r>
        <w:rPr>
          <w:i/>
        </w:rPr>
        <w:t>В</w:t>
      </w:r>
      <w:r>
        <w:rPr>
          <w:i/>
          <w:sz w:val="42"/>
          <w:vertAlign w:val="subscript"/>
        </w:rPr>
        <w:t>в</w:t>
      </w:r>
      <w:r>
        <w:t xml:space="preserve"> – уровень допустимых вредных воздействий на окружающую среду; </w:t>
      </w:r>
    </w:p>
    <w:p w:rsidR="002C0F56" w:rsidRDefault="00E67C6E">
      <w:pPr>
        <w:spacing w:after="0" w:line="362" w:lineRule="auto"/>
        <w:ind w:left="994" w:right="302" w:firstLine="609"/>
      </w:pPr>
      <w:r>
        <w:rPr>
          <w:i/>
        </w:rPr>
        <w:t>Р</w:t>
      </w:r>
      <w:r>
        <w:rPr>
          <w:i/>
          <w:sz w:val="43"/>
          <w:vertAlign w:val="subscript"/>
        </w:rPr>
        <w:t>п</w:t>
      </w:r>
      <w:r>
        <w:t xml:space="preserve"> – </w:t>
      </w:r>
      <w:r>
        <w:t xml:space="preserve">затраты энергии, воды, воздуха, земельных и других природных ресурсов. </w:t>
      </w:r>
    </w:p>
    <w:p w:rsidR="002C0F56" w:rsidRDefault="00E67C6E">
      <w:pPr>
        <w:ind w:left="994" w:right="302"/>
      </w:pPr>
      <w:r>
        <w:t xml:space="preserve">Коэффициент безотходности характеризует полноту использования минеральных и энергетических ресурсов, а также определяет интенсивность воздействия производства на окружающую среду: </w:t>
      </w:r>
    </w:p>
    <w:p w:rsidR="002C0F56" w:rsidRDefault="00E67C6E">
      <w:pPr>
        <w:spacing w:after="25" w:line="269" w:lineRule="auto"/>
        <w:ind w:left="1553" w:hanging="10"/>
        <w:jc w:val="left"/>
      </w:pPr>
      <w:r>
        <w:t xml:space="preserve">   </w:t>
      </w:r>
      <w:r>
        <w:t xml:space="preserve">                                      </w:t>
      </w:r>
      <w:r>
        <w:rPr>
          <w:i/>
        </w:rPr>
        <w:t>К</w:t>
      </w:r>
      <w:r>
        <w:rPr>
          <w:i/>
          <w:sz w:val="37"/>
          <w:vertAlign w:val="subscript"/>
        </w:rPr>
        <w:t xml:space="preserve">б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rPr>
          <w:i/>
        </w:rPr>
        <w:t>К</w:t>
      </w:r>
      <w:r>
        <w:rPr>
          <w:i/>
          <w:sz w:val="37"/>
          <w:vertAlign w:val="subscript"/>
        </w:rPr>
        <w:t xml:space="preserve">м </w:t>
      </w:r>
      <w:r>
        <w:rPr>
          <w:rFonts w:ascii="Segoe UI Symbol" w:eastAsia="Segoe UI Symbol" w:hAnsi="Segoe UI Symbol" w:cs="Segoe UI Symbol"/>
        </w:rPr>
        <w:t></w:t>
      </w:r>
      <w:r>
        <w:rPr>
          <w:i/>
        </w:rPr>
        <w:t>К</w:t>
      </w:r>
      <w:r>
        <w:rPr>
          <w:i/>
          <w:sz w:val="37"/>
          <w:vertAlign w:val="subscript"/>
        </w:rPr>
        <w:t xml:space="preserve">е </w:t>
      </w:r>
      <w:r>
        <w:rPr>
          <w:rFonts w:ascii="Segoe UI Symbol" w:eastAsia="Segoe UI Symbol" w:hAnsi="Segoe UI Symbol" w:cs="Segoe UI Symbol"/>
        </w:rPr>
        <w:t></w:t>
      </w:r>
      <w:r>
        <w:rPr>
          <w:i/>
        </w:rPr>
        <w:t>К ,</w:t>
      </w:r>
      <w:r>
        <w:rPr>
          <w:i/>
          <w:sz w:val="37"/>
          <w:vertAlign w:val="subscript"/>
        </w:rPr>
        <w:t>а</w:t>
      </w:r>
      <w:r>
        <w:t xml:space="preserve">                                            (2) </w:t>
      </w:r>
    </w:p>
    <w:p w:rsidR="002C0F56" w:rsidRDefault="00E67C6E">
      <w:pPr>
        <w:ind w:left="1558" w:right="302" w:firstLine="0"/>
      </w:pPr>
      <w:r>
        <w:t xml:space="preserve">где </w:t>
      </w:r>
      <w:r>
        <w:rPr>
          <w:rFonts w:ascii="Segoe UI Symbol" w:eastAsia="Segoe UI Symbol" w:hAnsi="Segoe UI Symbol" w:cs="Segoe UI Symbol"/>
        </w:rPr>
        <w:t></w:t>
      </w:r>
      <w:r>
        <w:t xml:space="preserve"> – коэффициент пропорциональности, который определяется </w:t>
      </w:r>
    </w:p>
    <w:p w:rsidR="002C0F56" w:rsidRDefault="00E67C6E">
      <w:pPr>
        <w:ind w:left="994" w:right="302" w:firstLine="0"/>
      </w:pPr>
      <w:r>
        <w:t xml:space="preserve">эмпирически;  </w:t>
      </w:r>
    </w:p>
    <w:p w:rsidR="002C0F56" w:rsidRDefault="00E67C6E">
      <w:pPr>
        <w:spacing w:after="12"/>
        <w:ind w:left="1604" w:right="302" w:firstLine="0"/>
      </w:pPr>
      <w:r>
        <w:rPr>
          <w:i/>
        </w:rPr>
        <w:t>К</w:t>
      </w:r>
      <w:r>
        <w:rPr>
          <w:i/>
          <w:sz w:val="43"/>
          <w:vertAlign w:val="subscript"/>
        </w:rPr>
        <w:t>м</w:t>
      </w:r>
      <w:r>
        <w:t xml:space="preserve"> – характеризует полноту использования материальных ресурсов;  </w:t>
      </w:r>
    </w:p>
    <w:p w:rsidR="002C0F56" w:rsidRDefault="00E67C6E">
      <w:pPr>
        <w:spacing w:after="0" w:line="366" w:lineRule="auto"/>
        <w:ind w:left="994" w:right="302" w:firstLine="610"/>
      </w:pPr>
      <w:r>
        <w:rPr>
          <w:i/>
        </w:rPr>
        <w:t>К</w:t>
      </w:r>
      <w:r>
        <w:rPr>
          <w:i/>
          <w:sz w:val="43"/>
          <w:vertAlign w:val="subscript"/>
        </w:rPr>
        <w:t>а</w:t>
      </w:r>
      <w:r>
        <w:t xml:space="preserve"> – </w:t>
      </w:r>
      <w:r>
        <w:t xml:space="preserve">коэффициент соответствия экологическим требованиям, устанавливается дополнительно: </w:t>
      </w:r>
    </w:p>
    <w:p w:rsidR="002C0F56" w:rsidRDefault="00E67C6E">
      <w:pPr>
        <w:spacing w:after="0" w:line="259" w:lineRule="auto"/>
        <w:ind w:left="1038" w:hanging="10"/>
        <w:jc w:val="center"/>
      </w:pPr>
      <w:r>
        <w:rPr>
          <w:i/>
        </w:rPr>
        <w:t>ККД</w:t>
      </w:r>
      <w:r>
        <w:rPr>
          <w:i/>
          <w:sz w:val="24"/>
        </w:rPr>
        <w:t>факт</w:t>
      </w:r>
    </w:p>
    <w:p w:rsidR="002C0F56" w:rsidRDefault="00E67C6E">
      <w:pPr>
        <w:tabs>
          <w:tab w:val="center" w:pos="3441"/>
          <w:tab w:val="center" w:pos="7782"/>
        </w:tabs>
        <w:spacing w:after="12"/>
        <w:ind w:left="0" w:firstLine="0"/>
        <w:jc w:val="left"/>
      </w:pPr>
      <w:r>
        <w:rPr>
          <w:rFonts w:ascii="Calibri" w:eastAsia="Calibri" w:hAnsi="Calibri" w:cs="Calibri"/>
          <w:sz w:val="22"/>
        </w:rPr>
        <w:tab/>
      </w:r>
      <w:r>
        <w:t xml:space="preserve">                                             </w:t>
      </w:r>
      <w:r>
        <w:rPr>
          <w:i/>
        </w:rPr>
        <w:t>К</w:t>
      </w:r>
      <w:r>
        <w:rPr>
          <w:i/>
          <w:sz w:val="37"/>
          <w:vertAlign w:val="subscript"/>
        </w:rPr>
        <w:t xml:space="preserve">а </w:t>
      </w:r>
      <w:r>
        <w:rPr>
          <w:rFonts w:ascii="Segoe UI Symbol" w:eastAsia="Segoe UI Symbol" w:hAnsi="Segoe UI Symbol" w:cs="Segoe UI Symbol"/>
        </w:rPr>
        <w:t></w:t>
      </w:r>
      <w:r>
        <w:rPr>
          <w:rFonts w:ascii="Segoe UI Symbol" w:eastAsia="Segoe UI Symbol" w:hAnsi="Segoe UI Symbol" w:cs="Segoe UI Symbol"/>
        </w:rPr>
        <w:tab/>
      </w:r>
      <w:r>
        <w:rPr>
          <w:rFonts w:ascii="Calibri" w:eastAsia="Calibri" w:hAnsi="Calibri" w:cs="Calibri"/>
          <w:noProof/>
          <w:sz w:val="22"/>
        </w:rPr>
        <mc:AlternateContent>
          <mc:Choice Requires="wpg">
            <w:drawing>
              <wp:inline distT="0" distB="0" distL="0" distR="0">
                <wp:extent cx="768064" cy="8816"/>
                <wp:effectExtent l="0" t="0" r="0" b="0"/>
                <wp:docPr id="666813" name="Group 666813"/>
                <wp:cNvGraphicFramePr/>
                <a:graphic xmlns:a="http://schemas.openxmlformats.org/drawingml/2006/main">
                  <a:graphicData uri="http://schemas.microsoft.com/office/word/2010/wordprocessingGroup">
                    <wpg:wgp>
                      <wpg:cNvGrpSpPr/>
                      <wpg:grpSpPr>
                        <a:xfrm>
                          <a:off x="0" y="0"/>
                          <a:ext cx="768064" cy="8816"/>
                          <a:chOff x="0" y="0"/>
                          <a:chExt cx="768064" cy="8816"/>
                        </a:xfrm>
                      </wpg:grpSpPr>
                      <wps:wsp>
                        <wps:cNvPr id="73946" name="Shape 73946"/>
                        <wps:cNvSpPr/>
                        <wps:spPr>
                          <a:xfrm>
                            <a:off x="0" y="0"/>
                            <a:ext cx="768064" cy="0"/>
                          </a:xfrm>
                          <a:custGeom>
                            <a:avLst/>
                            <a:gdLst/>
                            <a:ahLst/>
                            <a:cxnLst/>
                            <a:rect l="0" t="0" r="0" b="0"/>
                            <a:pathLst>
                              <a:path w="768064">
                                <a:moveTo>
                                  <a:pt x="0" y="0"/>
                                </a:moveTo>
                                <a:lnTo>
                                  <a:pt x="768064" y="0"/>
                                </a:lnTo>
                              </a:path>
                            </a:pathLst>
                          </a:custGeom>
                          <a:ln w="881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6813" style="width:60.4775pt;height:0.694162pt;mso-position-horizontal-relative:char;mso-position-vertical-relative:line" coordsize="7680,88">
                <v:shape id="Shape 73946" style="position:absolute;width:7680;height:0;left:0;top:0;" coordsize="768064,0" path="m0,0l768064,0">
                  <v:stroke weight="0.694162pt" endcap="flat" joinstyle="round" on="true" color="#000000"/>
                  <v:fill on="false" color="#000000" opacity="0"/>
                </v:shape>
              </v:group>
            </w:pict>
          </mc:Fallback>
        </mc:AlternateContent>
      </w:r>
      <w:r>
        <w:rPr>
          <w:i/>
        </w:rPr>
        <w:t>,</w:t>
      </w:r>
      <w:r>
        <w:t xml:space="preserve">                                            (3) </w:t>
      </w:r>
    </w:p>
    <w:p w:rsidR="002C0F56" w:rsidRDefault="00E67C6E">
      <w:pPr>
        <w:spacing w:after="178" w:line="259" w:lineRule="auto"/>
        <w:ind w:left="1038" w:right="4" w:hanging="10"/>
        <w:jc w:val="center"/>
      </w:pPr>
      <w:r>
        <w:rPr>
          <w:i/>
        </w:rPr>
        <w:t>ККД</w:t>
      </w:r>
      <w:r>
        <w:rPr>
          <w:i/>
          <w:sz w:val="24"/>
        </w:rPr>
        <w:t>теор</w:t>
      </w:r>
    </w:p>
    <w:p w:rsidR="002C0F56" w:rsidRDefault="00E67C6E">
      <w:pPr>
        <w:spacing w:after="0" w:line="330" w:lineRule="auto"/>
        <w:ind w:left="994" w:right="302"/>
      </w:pPr>
      <w:r>
        <w:t xml:space="preserve">где </w:t>
      </w:r>
      <w:r>
        <w:rPr>
          <w:i/>
          <w:sz w:val="44"/>
          <w:vertAlign w:val="superscript"/>
        </w:rPr>
        <w:t>ККД</w:t>
      </w:r>
      <w:r>
        <w:rPr>
          <w:i/>
          <w:sz w:val="37"/>
          <w:vertAlign w:val="subscript"/>
        </w:rPr>
        <w:t>факт</w:t>
      </w:r>
      <w:r>
        <w:t xml:space="preserve">, </w:t>
      </w:r>
      <w:r>
        <w:rPr>
          <w:i/>
          <w:sz w:val="43"/>
          <w:vertAlign w:val="superscript"/>
        </w:rPr>
        <w:t>ККД</w:t>
      </w:r>
      <w:r>
        <w:rPr>
          <w:i/>
          <w:sz w:val="36"/>
          <w:vertAlign w:val="subscript"/>
        </w:rPr>
        <w:t>теор</w:t>
      </w:r>
      <w:r>
        <w:t xml:space="preserve"> – </w:t>
      </w:r>
      <w:r>
        <w:t xml:space="preserve">величина фактического и допустимого ущерба, который возникает в случае соответствия сбросов и выбросов значением нормативов ПДК, соответственно, руб./год. </w:t>
      </w:r>
    </w:p>
    <w:p w:rsidR="002C0F56" w:rsidRDefault="00E67C6E">
      <w:pPr>
        <w:ind w:left="994" w:right="302"/>
      </w:pPr>
      <w:r>
        <w:t>Чтобы оценить ключевые показатели по предлагаемым проектам, проводят экспертные оценки по десятибалл</w:t>
      </w:r>
      <w:r>
        <w:t xml:space="preserve">ьной шкале, причем «потенциал» каждого инновационного проекта определяется по формуле: </w:t>
      </w:r>
    </w:p>
    <w:p w:rsidR="002C0F56" w:rsidRDefault="00E67C6E">
      <w:pPr>
        <w:spacing w:after="0" w:line="259" w:lineRule="auto"/>
        <w:ind w:left="1038" w:right="1311" w:hanging="10"/>
        <w:jc w:val="center"/>
      </w:pPr>
      <w:r>
        <w:rPr>
          <w:i/>
        </w:rPr>
        <w:t>B</w:t>
      </w:r>
      <w:r>
        <w:rPr>
          <w:i/>
          <w:sz w:val="24"/>
        </w:rPr>
        <w:t>ij</w:t>
      </w:r>
    </w:p>
    <w:p w:rsidR="002C0F56" w:rsidRDefault="00E67C6E">
      <w:pPr>
        <w:tabs>
          <w:tab w:val="center" w:pos="3194"/>
          <w:tab w:val="center" w:pos="8079"/>
        </w:tabs>
        <w:spacing w:after="12"/>
        <w:ind w:left="0" w:firstLine="0"/>
        <w:jc w:val="left"/>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simplePos x="0" y="0"/>
                <wp:positionH relativeFrom="column">
                  <wp:posOffset>3109657</wp:posOffset>
                </wp:positionH>
                <wp:positionV relativeFrom="paragraph">
                  <wp:posOffset>-14384</wp:posOffset>
                </wp:positionV>
                <wp:extent cx="1608522" cy="126015"/>
                <wp:effectExtent l="0" t="0" r="0" b="0"/>
                <wp:wrapNone/>
                <wp:docPr id="668509" name="Group 668509"/>
                <wp:cNvGraphicFramePr/>
                <a:graphic xmlns:a="http://schemas.openxmlformats.org/drawingml/2006/main">
                  <a:graphicData uri="http://schemas.microsoft.com/office/word/2010/wordprocessingGroup">
                    <wpg:wgp>
                      <wpg:cNvGrpSpPr/>
                      <wpg:grpSpPr>
                        <a:xfrm>
                          <a:off x="0" y="0"/>
                          <a:ext cx="1608522" cy="126015"/>
                          <a:chOff x="0" y="0"/>
                          <a:chExt cx="1608522" cy="126015"/>
                        </a:xfrm>
                      </wpg:grpSpPr>
                      <wps:wsp>
                        <wps:cNvPr id="73988" name="Shape 73988"/>
                        <wps:cNvSpPr/>
                        <wps:spPr>
                          <a:xfrm>
                            <a:off x="0" y="126015"/>
                            <a:ext cx="562805" cy="0"/>
                          </a:xfrm>
                          <a:custGeom>
                            <a:avLst/>
                            <a:gdLst/>
                            <a:ahLst/>
                            <a:cxnLst/>
                            <a:rect l="0" t="0" r="0" b="0"/>
                            <a:pathLst>
                              <a:path w="562805">
                                <a:moveTo>
                                  <a:pt x="0" y="0"/>
                                </a:moveTo>
                                <a:lnTo>
                                  <a:pt x="562805" y="0"/>
                                </a:lnTo>
                              </a:path>
                            </a:pathLst>
                          </a:custGeom>
                          <a:ln w="8473" cap="flat">
                            <a:round/>
                          </a:ln>
                        </wps:spPr>
                        <wps:style>
                          <a:lnRef idx="1">
                            <a:srgbClr val="000000"/>
                          </a:lnRef>
                          <a:fillRef idx="0">
                            <a:srgbClr val="000000">
                              <a:alpha val="0"/>
                            </a:srgbClr>
                          </a:fillRef>
                          <a:effectRef idx="0">
                            <a:scrgbClr r="0" g="0" b="0"/>
                          </a:effectRef>
                          <a:fontRef idx="none"/>
                        </wps:style>
                        <wps:bodyPr/>
                      </wps:wsp>
                      <wps:wsp>
                        <wps:cNvPr id="73989" name="Shape 73989"/>
                        <wps:cNvSpPr/>
                        <wps:spPr>
                          <a:xfrm>
                            <a:off x="901204" y="0"/>
                            <a:ext cx="199542" cy="0"/>
                          </a:xfrm>
                          <a:custGeom>
                            <a:avLst/>
                            <a:gdLst/>
                            <a:ahLst/>
                            <a:cxnLst/>
                            <a:rect l="0" t="0" r="0" b="0"/>
                            <a:pathLst>
                              <a:path w="199542">
                                <a:moveTo>
                                  <a:pt x="0" y="0"/>
                                </a:moveTo>
                                <a:lnTo>
                                  <a:pt x="199542" y="0"/>
                                </a:lnTo>
                              </a:path>
                            </a:pathLst>
                          </a:custGeom>
                          <a:ln w="8473" cap="flat">
                            <a:round/>
                          </a:ln>
                        </wps:spPr>
                        <wps:style>
                          <a:lnRef idx="1">
                            <a:srgbClr val="000000"/>
                          </a:lnRef>
                          <a:fillRef idx="0">
                            <a:srgbClr val="000000">
                              <a:alpha val="0"/>
                            </a:srgbClr>
                          </a:fillRef>
                          <a:effectRef idx="0">
                            <a:scrgbClr r="0" g="0" b="0"/>
                          </a:effectRef>
                          <a:fontRef idx="none"/>
                        </wps:style>
                        <wps:bodyPr/>
                      </wps:wsp>
                      <wps:wsp>
                        <wps:cNvPr id="73990" name="Shape 73990"/>
                        <wps:cNvSpPr/>
                        <wps:spPr>
                          <a:xfrm>
                            <a:off x="1444662" y="0"/>
                            <a:ext cx="163860" cy="0"/>
                          </a:xfrm>
                          <a:custGeom>
                            <a:avLst/>
                            <a:gdLst/>
                            <a:ahLst/>
                            <a:cxnLst/>
                            <a:rect l="0" t="0" r="0" b="0"/>
                            <a:pathLst>
                              <a:path w="163860">
                                <a:moveTo>
                                  <a:pt x="0" y="0"/>
                                </a:moveTo>
                                <a:lnTo>
                                  <a:pt x="163860" y="0"/>
                                </a:lnTo>
                              </a:path>
                            </a:pathLst>
                          </a:custGeom>
                          <a:ln w="8473"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8509" style="width:126.655pt;height:9.92242pt;position:absolute;z-index:12;mso-position-horizontal-relative:text;mso-position-horizontal:absolute;margin-left:244.855pt;mso-position-vertical-relative:text;margin-top:-1.13271pt;" coordsize="16085,1260">
                <v:shape id="Shape 73988" style="position:absolute;width:5628;height:0;left:0;top:1260;" coordsize="562805,0" path="m0,0l562805,0">
                  <v:stroke weight="0.66713pt" endcap="flat" joinstyle="round" on="true" color="#000000"/>
                  <v:fill on="false" color="#000000" opacity="0"/>
                </v:shape>
                <v:shape id="Shape 73989" style="position:absolute;width:1995;height:0;left:9012;top:0;" coordsize="199542,0" path="m0,0l199542,0">
                  <v:stroke weight="0.66713pt" endcap="flat" joinstyle="round" on="true" color="#000000"/>
                  <v:fill on="false" color="#000000" opacity="0"/>
                </v:shape>
                <v:shape id="Shape 73990" style="position:absolute;width:1638;height:0;left:14446;top:0;" coordsize="163860,0" path="m0,0l163860,0">
                  <v:stroke weight="0.66713pt" endcap="flat" joinstyle="round" on="true" color="#000000"/>
                  <v:fill on="false" color="#000000" opacity="0"/>
                </v:shape>
              </v:group>
            </w:pict>
          </mc:Fallback>
        </mc:AlternateContent>
      </w:r>
      <w:r>
        <w:rPr>
          <w:rFonts w:ascii="Calibri" w:eastAsia="Calibri" w:hAnsi="Calibri" w:cs="Calibri"/>
          <w:sz w:val="22"/>
        </w:rPr>
        <w:tab/>
      </w:r>
      <w:r>
        <w:t xml:space="preserve">                                       </w:t>
      </w:r>
      <w:r>
        <w:rPr>
          <w:i/>
        </w:rPr>
        <w:t>Y</w:t>
      </w:r>
      <w:r>
        <w:rPr>
          <w:i/>
          <w:sz w:val="24"/>
        </w:rPr>
        <w:t xml:space="preserve">ij </w:t>
      </w:r>
      <w:r>
        <w:rPr>
          <w:rFonts w:ascii="Segoe UI Symbol" w:eastAsia="Segoe UI Symbol" w:hAnsi="Segoe UI Symbol" w:cs="Segoe UI Symbol"/>
        </w:rPr>
        <w:t></w:t>
      </w:r>
      <w:r>
        <w:rPr>
          <w:rFonts w:ascii="Segoe UI Symbol" w:eastAsia="Segoe UI Symbol" w:hAnsi="Segoe UI Symbol" w:cs="Segoe UI Symbol"/>
        </w:rPr>
        <w:tab/>
      </w:r>
      <w:r>
        <w:t xml:space="preserve">, </w:t>
      </w:r>
      <w:r>
        <w:rPr>
          <w:i/>
        </w:rPr>
        <w:t xml:space="preserve">i </w:t>
      </w:r>
      <w:r>
        <w:rPr>
          <w:rFonts w:ascii="Segoe UI Symbol" w:eastAsia="Segoe UI Symbol" w:hAnsi="Segoe UI Symbol" w:cs="Segoe UI Symbol"/>
        </w:rPr>
        <w:t></w:t>
      </w:r>
      <w:r>
        <w:t>1, ;</w:t>
      </w:r>
      <w:r>
        <w:rPr>
          <w:i/>
        </w:rPr>
        <w:t xml:space="preserve">n j </w:t>
      </w:r>
      <w:r>
        <w:rPr>
          <w:rFonts w:ascii="Segoe UI Symbol" w:eastAsia="Segoe UI Symbol" w:hAnsi="Segoe UI Symbol" w:cs="Segoe UI Symbol"/>
        </w:rPr>
        <w:t></w:t>
      </w:r>
      <w:r>
        <w:t>1,</w:t>
      </w:r>
      <w:r>
        <w:rPr>
          <w:i/>
        </w:rPr>
        <w:t>t</w:t>
      </w:r>
      <w:r>
        <w:t xml:space="preserve">                                    (4) </w:t>
      </w:r>
    </w:p>
    <w:p w:rsidR="002C0F56" w:rsidRDefault="00E67C6E">
      <w:pPr>
        <w:spacing w:after="60" w:line="268" w:lineRule="auto"/>
        <w:ind w:left="1262" w:right="1543" w:hanging="10"/>
        <w:jc w:val="center"/>
      </w:pPr>
      <w:r>
        <w:t xml:space="preserve">max </w:t>
      </w:r>
      <w:r>
        <w:rPr>
          <w:i/>
        </w:rPr>
        <w:t>B</w:t>
      </w:r>
      <w:r>
        <w:rPr>
          <w:i/>
          <w:sz w:val="37"/>
          <w:vertAlign w:val="subscript"/>
        </w:rPr>
        <w:t>ij</w:t>
      </w:r>
    </w:p>
    <w:p w:rsidR="002C0F56" w:rsidRDefault="00E67C6E">
      <w:pPr>
        <w:ind w:left="1558" w:right="302" w:firstLine="0"/>
      </w:pPr>
      <w:r>
        <w:t xml:space="preserve">где </w:t>
      </w:r>
      <w:r>
        <w:rPr>
          <w:i/>
          <w:sz w:val="43"/>
          <w:vertAlign w:val="superscript"/>
        </w:rPr>
        <w:t>Y</w:t>
      </w:r>
      <w:r>
        <w:rPr>
          <w:i/>
          <w:vertAlign w:val="subscript"/>
        </w:rPr>
        <w:t>ij</w:t>
      </w:r>
      <w:r>
        <w:t xml:space="preserve"> – рейтинговая оценка, балл; </w:t>
      </w:r>
    </w:p>
    <w:p w:rsidR="002C0F56" w:rsidRDefault="00E67C6E">
      <w:pPr>
        <w:spacing w:after="16"/>
        <w:ind w:left="1558" w:right="1298" w:firstLine="45"/>
      </w:pPr>
      <w:r>
        <w:rPr>
          <w:i/>
          <w:sz w:val="43"/>
          <w:vertAlign w:val="superscript"/>
        </w:rPr>
        <w:lastRenderedPageBreak/>
        <w:t>B</w:t>
      </w:r>
      <w:r>
        <w:rPr>
          <w:i/>
          <w:sz w:val="37"/>
          <w:vertAlign w:val="subscript"/>
        </w:rPr>
        <w:t>ij</w:t>
      </w:r>
      <w:r>
        <w:t xml:space="preserve"> – </w:t>
      </w:r>
      <w:r>
        <w:t xml:space="preserve">уровень достижения элементного показателя </w:t>
      </w:r>
      <w:r>
        <w:rPr>
          <w:i/>
          <w:sz w:val="43"/>
          <w:vertAlign w:val="superscript"/>
        </w:rPr>
        <w:t>Y</w:t>
      </w:r>
      <w:r>
        <w:rPr>
          <w:i/>
          <w:vertAlign w:val="subscript"/>
        </w:rPr>
        <w:t xml:space="preserve">ij </w:t>
      </w:r>
      <w:r>
        <w:t>, балл; max</w:t>
      </w:r>
      <w:r>
        <w:rPr>
          <w:i/>
          <w:sz w:val="43"/>
          <w:vertAlign w:val="superscript"/>
        </w:rPr>
        <w:t>B</w:t>
      </w:r>
      <w:r>
        <w:rPr>
          <w:i/>
          <w:sz w:val="37"/>
          <w:vertAlign w:val="subscript"/>
        </w:rPr>
        <w:t>ij</w:t>
      </w:r>
      <w:r>
        <w:t xml:space="preserve"> – максимально возможный балл по показателю. </w:t>
      </w:r>
    </w:p>
    <w:p w:rsidR="002C0F56" w:rsidRDefault="00E67C6E">
      <w:pPr>
        <w:spacing w:after="0"/>
        <w:ind w:left="994" w:right="302"/>
      </w:pPr>
      <w:r>
        <w:t>Используя процедуру экспертных оценок и фактических показателей по данным предприятий, можно осуществить оценку указанных показателей по следующей про</w:t>
      </w:r>
      <w:r>
        <w:t>цедуре. По каждому показателю может также приниматься максимально эффективное (эталонное) значение. Такой подход соответствует практике рыночной конкуренции, где каждое самостоятельное предприятие стремится к тому, чтобы по всем показателям деятельности вы</w:t>
      </w:r>
      <w:r>
        <w:t xml:space="preserve">глядеть лучше своего конкурента.  </w:t>
      </w:r>
    </w:p>
    <w:p w:rsidR="002C0F56" w:rsidRDefault="00E67C6E">
      <w:pPr>
        <w:spacing w:after="182"/>
        <w:ind w:left="994" w:right="302"/>
      </w:pPr>
      <w:r>
        <w:t>По каждому показателю находятся соответствующие им индексы показателей в случае, если потенциальные улучшения показателя проекта отвечают увеличению значения индекса показателя [2]. На основании полученных индексов опреде</w:t>
      </w:r>
      <w:r>
        <w:t>ляется агрегированные показатели: К</w:t>
      </w:r>
      <w:r>
        <w:rPr>
          <w:vertAlign w:val="subscript"/>
        </w:rPr>
        <w:t xml:space="preserve">Б </w:t>
      </w:r>
      <w:r>
        <w:t>и К</w:t>
      </w:r>
      <w:r>
        <w:rPr>
          <w:vertAlign w:val="subscript"/>
        </w:rPr>
        <w:t>З</w:t>
      </w:r>
      <w:r>
        <w:t xml:space="preserve">. По каждому из названных критериев функциональной характеристики проекта рассчитывается взвешенная средняя геометрическая отдельных показателей, определяющих определенный критерий: </w:t>
      </w:r>
    </w:p>
    <w:p w:rsidR="002C0F56" w:rsidRDefault="00E67C6E">
      <w:pPr>
        <w:tabs>
          <w:tab w:val="center" w:pos="4343"/>
          <w:tab w:val="center" w:pos="8832"/>
        </w:tabs>
        <w:spacing w:after="5" w:line="269" w:lineRule="auto"/>
        <w:ind w:left="0" w:firstLine="0"/>
        <w:jc w:val="left"/>
      </w:pPr>
      <w:r>
        <w:rPr>
          <w:rFonts w:ascii="Calibri" w:eastAsia="Calibri" w:hAnsi="Calibri" w:cs="Calibri"/>
          <w:noProof/>
          <w:sz w:val="22"/>
        </w:rPr>
        <mc:AlternateContent>
          <mc:Choice Requires="wpg">
            <w:drawing>
              <wp:anchor distT="0" distB="0" distL="114300" distR="114300" simplePos="0" relativeHeight="251683840" behindDoc="1" locked="0" layoutInCell="1" allowOverlap="1">
                <wp:simplePos x="0" y="0"/>
                <wp:positionH relativeFrom="column">
                  <wp:posOffset>3137158</wp:posOffset>
                </wp:positionH>
                <wp:positionV relativeFrom="paragraph">
                  <wp:posOffset>-25344</wp:posOffset>
                </wp:positionV>
                <wp:extent cx="1385103" cy="242078"/>
                <wp:effectExtent l="0" t="0" r="0" b="0"/>
                <wp:wrapNone/>
                <wp:docPr id="668510" name="Group 668510"/>
                <wp:cNvGraphicFramePr/>
                <a:graphic xmlns:a="http://schemas.openxmlformats.org/drawingml/2006/main">
                  <a:graphicData uri="http://schemas.microsoft.com/office/word/2010/wordprocessingGroup">
                    <wpg:wgp>
                      <wpg:cNvGrpSpPr/>
                      <wpg:grpSpPr>
                        <a:xfrm>
                          <a:off x="0" y="0"/>
                          <a:ext cx="1385103" cy="242078"/>
                          <a:chOff x="0" y="0"/>
                          <a:chExt cx="1385103" cy="242078"/>
                        </a:xfrm>
                      </wpg:grpSpPr>
                      <wps:wsp>
                        <wps:cNvPr id="74056" name="Shape 74056"/>
                        <wps:cNvSpPr/>
                        <wps:spPr>
                          <a:xfrm>
                            <a:off x="6577" y="153886"/>
                            <a:ext cx="17441" cy="12215"/>
                          </a:xfrm>
                          <a:custGeom>
                            <a:avLst/>
                            <a:gdLst/>
                            <a:ahLst/>
                            <a:cxnLst/>
                            <a:rect l="0" t="0" r="0" b="0"/>
                            <a:pathLst>
                              <a:path w="17441" h="12215">
                                <a:moveTo>
                                  <a:pt x="0" y="12215"/>
                                </a:moveTo>
                                <a:lnTo>
                                  <a:pt x="17441" y="0"/>
                                </a:lnTo>
                              </a:path>
                            </a:pathLst>
                          </a:custGeom>
                          <a:ln w="1726" cap="sq">
                            <a:round/>
                          </a:ln>
                        </wps:spPr>
                        <wps:style>
                          <a:lnRef idx="1">
                            <a:srgbClr val="000000"/>
                          </a:lnRef>
                          <a:fillRef idx="0">
                            <a:srgbClr val="000000">
                              <a:alpha val="0"/>
                            </a:srgbClr>
                          </a:fillRef>
                          <a:effectRef idx="0">
                            <a:scrgbClr r="0" g="0" b="0"/>
                          </a:effectRef>
                          <a:fontRef idx="none"/>
                        </wps:style>
                        <wps:bodyPr/>
                      </wps:wsp>
                      <wps:wsp>
                        <wps:cNvPr id="74057" name="Shape 74057"/>
                        <wps:cNvSpPr/>
                        <wps:spPr>
                          <a:xfrm>
                            <a:off x="24334" y="153588"/>
                            <a:ext cx="43154" cy="88491"/>
                          </a:xfrm>
                          <a:custGeom>
                            <a:avLst/>
                            <a:gdLst/>
                            <a:ahLst/>
                            <a:cxnLst/>
                            <a:rect l="0" t="0" r="0" b="0"/>
                            <a:pathLst>
                              <a:path w="43154" h="88491">
                                <a:moveTo>
                                  <a:pt x="0" y="0"/>
                                </a:moveTo>
                                <a:lnTo>
                                  <a:pt x="43154" y="88491"/>
                                </a:lnTo>
                              </a:path>
                            </a:pathLst>
                          </a:custGeom>
                          <a:ln w="1726" cap="sq">
                            <a:round/>
                          </a:ln>
                        </wps:spPr>
                        <wps:style>
                          <a:lnRef idx="1">
                            <a:srgbClr val="000000"/>
                          </a:lnRef>
                          <a:fillRef idx="0">
                            <a:srgbClr val="000000">
                              <a:alpha val="0"/>
                            </a:srgbClr>
                          </a:fillRef>
                          <a:effectRef idx="0">
                            <a:scrgbClr r="0" g="0" b="0"/>
                          </a:effectRef>
                          <a:fontRef idx="none"/>
                        </wps:style>
                        <wps:bodyPr/>
                      </wps:wsp>
                      <wps:wsp>
                        <wps:cNvPr id="74058" name="Shape 74058"/>
                        <wps:cNvSpPr/>
                        <wps:spPr>
                          <a:xfrm>
                            <a:off x="67488" y="9381"/>
                            <a:ext cx="46822" cy="232697"/>
                          </a:xfrm>
                          <a:custGeom>
                            <a:avLst/>
                            <a:gdLst/>
                            <a:ahLst/>
                            <a:cxnLst/>
                            <a:rect l="0" t="0" r="0" b="0"/>
                            <a:pathLst>
                              <a:path w="46822" h="232697">
                                <a:moveTo>
                                  <a:pt x="0" y="232697"/>
                                </a:moveTo>
                                <a:lnTo>
                                  <a:pt x="46822" y="0"/>
                                </a:lnTo>
                              </a:path>
                            </a:pathLst>
                          </a:custGeom>
                          <a:ln w="1726" cap="sq">
                            <a:round/>
                          </a:ln>
                        </wps:spPr>
                        <wps:style>
                          <a:lnRef idx="1">
                            <a:srgbClr val="000000"/>
                          </a:lnRef>
                          <a:fillRef idx="0">
                            <a:srgbClr val="000000">
                              <a:alpha val="0"/>
                            </a:srgbClr>
                          </a:fillRef>
                          <a:effectRef idx="0">
                            <a:scrgbClr r="0" g="0" b="0"/>
                          </a:effectRef>
                          <a:fontRef idx="none"/>
                        </wps:style>
                        <wps:bodyPr/>
                      </wps:wsp>
                      <wps:wsp>
                        <wps:cNvPr id="74059" name="Shape 74059"/>
                        <wps:cNvSpPr/>
                        <wps:spPr>
                          <a:xfrm>
                            <a:off x="114310" y="9085"/>
                            <a:ext cx="1270793" cy="0"/>
                          </a:xfrm>
                          <a:custGeom>
                            <a:avLst/>
                            <a:gdLst/>
                            <a:ahLst/>
                            <a:cxnLst/>
                            <a:rect l="0" t="0" r="0" b="0"/>
                            <a:pathLst>
                              <a:path w="1270793">
                                <a:moveTo>
                                  <a:pt x="0" y="0"/>
                                </a:moveTo>
                                <a:lnTo>
                                  <a:pt x="1270793" y="0"/>
                                </a:lnTo>
                              </a:path>
                            </a:pathLst>
                          </a:custGeom>
                          <a:ln w="1726" cap="sq">
                            <a:round/>
                          </a:ln>
                        </wps:spPr>
                        <wps:style>
                          <a:lnRef idx="1">
                            <a:srgbClr val="000000"/>
                          </a:lnRef>
                          <a:fillRef idx="0">
                            <a:srgbClr val="000000">
                              <a:alpha val="0"/>
                            </a:srgbClr>
                          </a:fillRef>
                          <a:effectRef idx="0">
                            <a:scrgbClr r="0" g="0" b="0"/>
                          </a:effectRef>
                          <a:fontRef idx="none"/>
                        </wps:style>
                        <wps:bodyPr/>
                      </wps:wsp>
                      <wps:wsp>
                        <wps:cNvPr id="74060" name="Shape 74060"/>
                        <wps:cNvSpPr/>
                        <wps:spPr>
                          <a:xfrm>
                            <a:off x="0" y="0"/>
                            <a:ext cx="1380676" cy="237460"/>
                          </a:xfrm>
                          <a:custGeom>
                            <a:avLst/>
                            <a:gdLst/>
                            <a:ahLst/>
                            <a:cxnLst/>
                            <a:rect l="0" t="0" r="0" b="0"/>
                            <a:pathLst>
                              <a:path w="1380676" h="237460">
                                <a:moveTo>
                                  <a:pt x="106203" y="0"/>
                                </a:moveTo>
                                <a:lnTo>
                                  <a:pt x="1380675" y="0"/>
                                </a:lnTo>
                                <a:lnTo>
                                  <a:pt x="1380676" y="8641"/>
                                </a:lnTo>
                                <a:lnTo>
                                  <a:pt x="112931" y="8641"/>
                                </a:lnTo>
                                <a:lnTo>
                                  <a:pt x="67021" y="237460"/>
                                </a:lnTo>
                                <a:lnTo>
                                  <a:pt x="58458" y="237460"/>
                                </a:lnTo>
                                <a:lnTo>
                                  <a:pt x="14684" y="155226"/>
                                </a:lnTo>
                                <a:lnTo>
                                  <a:pt x="3364" y="163868"/>
                                </a:lnTo>
                                <a:lnTo>
                                  <a:pt x="0" y="159100"/>
                                </a:lnTo>
                                <a:lnTo>
                                  <a:pt x="24170" y="142414"/>
                                </a:lnTo>
                                <a:lnTo>
                                  <a:pt x="62746" y="215412"/>
                                </a:lnTo>
                                <a:lnTo>
                                  <a:pt x="106203" y="0"/>
                                </a:lnTo>
                                <a:close/>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668510" style="width:109.063pt;height:19.0613pt;position:absolute;z-index:-2147483568;mso-position-horizontal-relative:text;mso-position-horizontal:absolute;margin-left:247.02pt;mso-position-vertical-relative:text;margin-top:-1.99567pt;" coordsize="13851,2420">
                <v:shape id="Shape 74056" style="position:absolute;width:174;height:122;left:65;top:1538;" coordsize="17441,12215" path="m0,12215l17441,0">
                  <v:stroke weight="0.135892pt" endcap="square" joinstyle="round" on="true" color="#000000"/>
                  <v:fill on="false" color="#000000" opacity="0"/>
                </v:shape>
                <v:shape id="Shape 74057" style="position:absolute;width:431;height:884;left:243;top:1535;" coordsize="43154,88491" path="m0,0l43154,88491">
                  <v:stroke weight="0.135892pt" endcap="square" joinstyle="round" on="true" color="#000000"/>
                  <v:fill on="false" color="#000000" opacity="0"/>
                </v:shape>
                <v:shape id="Shape 74058" style="position:absolute;width:468;height:2326;left:674;top:93;" coordsize="46822,232697" path="m0,232697l46822,0">
                  <v:stroke weight="0.135892pt" endcap="square" joinstyle="round" on="true" color="#000000"/>
                  <v:fill on="false" color="#000000" opacity="0"/>
                </v:shape>
                <v:shape id="Shape 74059" style="position:absolute;width:12707;height:0;left:1143;top:90;" coordsize="1270793,0" path="m0,0l1270793,0">
                  <v:stroke weight="0.135892pt" endcap="square" joinstyle="round" on="true" color="#000000"/>
                  <v:fill on="false" color="#000000" opacity="0"/>
                </v:shape>
                <v:shape id="Shape 74060" style="position:absolute;width:13806;height:2374;left:0;top:0;" coordsize="1380676,237460" path="m106203,0l1380675,0l1380676,8641l112931,8641l67021,237460l58458,237460l14684,155226l3364,163868l0,159100l24170,142414l62746,215412l106203,0x">
                  <v:stroke weight="0pt" endcap="square" joinstyle="round" on="false" color="#000000" opacity="0"/>
                  <v:fill on="true" color="#000000"/>
                </v:shape>
              </v:group>
            </w:pict>
          </mc:Fallback>
        </mc:AlternateContent>
      </w:r>
      <w:r>
        <w:rPr>
          <w:rFonts w:ascii="Calibri" w:eastAsia="Calibri" w:hAnsi="Calibri" w:cs="Calibri"/>
          <w:sz w:val="22"/>
        </w:rPr>
        <w:tab/>
      </w:r>
      <w:r>
        <w:t xml:space="preserve">                                         </w:t>
      </w:r>
      <w:r>
        <w:rPr>
          <w:i/>
        </w:rPr>
        <w:t xml:space="preserve">Z </w:t>
      </w:r>
      <w:r>
        <w:rPr>
          <w:rFonts w:ascii="Segoe UI Symbol" w:eastAsia="Segoe UI Symbol" w:hAnsi="Segoe UI Symbol" w:cs="Segoe UI Symbol"/>
          <w:sz w:val="37"/>
          <w:vertAlign w:val="subscript"/>
        </w:rPr>
        <w:t xml:space="preserve"> </w:t>
      </w:r>
      <w:r>
        <w:rPr>
          <w:i/>
        </w:rPr>
        <w:t>nY</w:t>
      </w:r>
      <w:r>
        <w:rPr>
          <w:i/>
          <w:vertAlign w:val="subscript"/>
        </w:rPr>
        <w:t>i</w:t>
      </w:r>
      <w:r>
        <w:rPr>
          <w:vertAlign w:val="subscript"/>
        </w:rPr>
        <w:t xml:space="preserve">1 </w:t>
      </w:r>
      <w:r>
        <w:rPr>
          <w:rFonts w:ascii="Segoe UI Symbol" w:eastAsia="Segoe UI Symbol" w:hAnsi="Segoe UI Symbol" w:cs="Segoe UI Symbol"/>
          <w:sz w:val="37"/>
          <w:vertAlign w:val="subscript"/>
        </w:rPr>
        <w:t></w:t>
      </w:r>
      <w:r>
        <w:rPr>
          <w:i/>
        </w:rPr>
        <w:t>Y</w:t>
      </w:r>
      <w:r>
        <w:rPr>
          <w:i/>
          <w:vertAlign w:val="subscript"/>
        </w:rPr>
        <w:t>i</w:t>
      </w:r>
      <w:r>
        <w:rPr>
          <w:vertAlign w:val="subscript"/>
        </w:rPr>
        <w:t xml:space="preserve">2 </w:t>
      </w:r>
      <w:r>
        <w:rPr>
          <w:rFonts w:ascii="Segoe UI Symbol" w:eastAsia="Segoe UI Symbol" w:hAnsi="Segoe UI Symbol" w:cs="Segoe UI Symbol"/>
          <w:sz w:val="37"/>
          <w:vertAlign w:val="subscript"/>
        </w:rPr>
        <w:t></w:t>
      </w:r>
      <w:r>
        <w:rPr>
          <w:i/>
        </w:rPr>
        <w:t>Y</w:t>
      </w:r>
      <w:r>
        <w:rPr>
          <w:i/>
          <w:vertAlign w:val="subscript"/>
        </w:rPr>
        <w:t>i</w:t>
      </w:r>
      <w:r>
        <w:rPr>
          <w:vertAlign w:val="subscript"/>
        </w:rPr>
        <w:t xml:space="preserve">3 </w:t>
      </w:r>
      <w:r>
        <w:rPr>
          <w:rFonts w:ascii="Segoe UI Symbol" w:eastAsia="Segoe UI Symbol" w:hAnsi="Segoe UI Symbol" w:cs="Segoe UI Symbol"/>
          <w:sz w:val="24"/>
        </w:rPr>
        <w:t></w:t>
      </w:r>
      <w:r>
        <w:rPr>
          <w:i/>
          <w:sz w:val="24"/>
        </w:rPr>
        <w:t>...</w:t>
      </w:r>
      <w:r>
        <w:rPr>
          <w:rFonts w:ascii="Segoe UI Symbol" w:eastAsia="Segoe UI Symbol" w:hAnsi="Segoe UI Symbol" w:cs="Segoe UI Symbol"/>
          <w:sz w:val="37"/>
          <w:vertAlign w:val="subscript"/>
        </w:rPr>
        <w:t></w:t>
      </w:r>
      <w:r>
        <w:rPr>
          <w:i/>
        </w:rPr>
        <w:t>Y ,</w:t>
      </w:r>
      <w:r>
        <w:rPr>
          <w:i/>
          <w:vertAlign w:val="subscript"/>
        </w:rPr>
        <w:t>in</w:t>
      </w:r>
      <w:r>
        <w:rPr>
          <w:i/>
          <w:vertAlign w:val="subscript"/>
        </w:rPr>
        <w:tab/>
      </w:r>
      <w:r>
        <w:t xml:space="preserve">                                        (5) </w:t>
      </w:r>
    </w:p>
    <w:p w:rsidR="002C0F56" w:rsidRDefault="00E67C6E">
      <w:pPr>
        <w:ind w:left="994" w:right="302"/>
      </w:pPr>
      <w:r>
        <w:t xml:space="preserve">Учитывая, что к критерию экологической безопасности отнесены критерии </w:t>
      </w:r>
      <w:r>
        <w:rPr>
          <w:i/>
        </w:rPr>
        <w:t>Z</w:t>
      </w:r>
      <w:r>
        <w:rPr>
          <w:vertAlign w:val="subscript"/>
        </w:rPr>
        <w:t>1</w:t>
      </w:r>
      <w:r>
        <w:t>-</w:t>
      </w:r>
      <w:r>
        <w:rPr>
          <w:i/>
        </w:rPr>
        <w:t>Z</w:t>
      </w:r>
      <w:r>
        <w:rPr>
          <w:vertAlign w:val="subscript"/>
        </w:rPr>
        <w:t>11</w:t>
      </w:r>
      <w:r>
        <w:t xml:space="preserve">, интегральный показатель экологической безопасности проекта </w:t>
      </w:r>
      <w:r>
        <w:rPr>
          <w:i/>
        </w:rPr>
        <w:t>К</w:t>
      </w:r>
      <w:r>
        <w:rPr>
          <w:i/>
          <w:vertAlign w:val="subscript"/>
        </w:rPr>
        <w:t>Б</w:t>
      </w:r>
      <w:r>
        <w:t xml:space="preserve"> </w:t>
      </w:r>
      <w:r>
        <w:t xml:space="preserve">определяют по формуле: </w:t>
      </w:r>
    </w:p>
    <w:p w:rsidR="002C0F56" w:rsidRDefault="00E67C6E">
      <w:pPr>
        <w:spacing w:after="15" w:line="268" w:lineRule="auto"/>
        <w:ind w:left="1262" w:right="1606" w:hanging="10"/>
        <w:jc w:val="center"/>
      </w:pPr>
      <w:r>
        <w:t>1</w:t>
      </w:r>
    </w:p>
    <w:p w:rsidR="002C0F56" w:rsidRDefault="00E67C6E">
      <w:pPr>
        <w:spacing w:after="328"/>
        <w:ind w:left="1558" w:right="302" w:firstLine="0"/>
      </w:pPr>
      <w:r>
        <w:t xml:space="preserve">                                          </w:t>
      </w:r>
      <w:r>
        <w:rPr>
          <w:i/>
        </w:rPr>
        <w:t>К</w:t>
      </w:r>
      <w:r>
        <w:rPr>
          <w:i/>
          <w:vertAlign w:val="subscript"/>
        </w:rPr>
        <w:t xml:space="preserve">Б </w:t>
      </w:r>
      <w:r>
        <w:rPr>
          <w:rFonts w:ascii="Segoe UI Symbol" w:eastAsia="Segoe UI Symbol" w:hAnsi="Segoe UI Symbol" w:cs="Segoe UI Symbol"/>
        </w:rPr>
        <w:t xml:space="preserve"> </w:t>
      </w:r>
      <w:r>
        <w:rPr>
          <w:rFonts w:ascii="Calibri" w:eastAsia="Calibri" w:hAnsi="Calibri" w:cs="Calibri"/>
          <w:noProof/>
          <w:sz w:val="22"/>
        </w:rPr>
        <mc:AlternateContent>
          <mc:Choice Requires="wpg">
            <w:drawing>
              <wp:inline distT="0" distB="0" distL="0" distR="0">
                <wp:extent cx="105226" cy="4187"/>
                <wp:effectExtent l="0" t="0" r="0" b="0"/>
                <wp:docPr id="668511" name="Group 668511"/>
                <wp:cNvGraphicFramePr/>
                <a:graphic xmlns:a="http://schemas.openxmlformats.org/drawingml/2006/main">
                  <a:graphicData uri="http://schemas.microsoft.com/office/word/2010/wordprocessingGroup">
                    <wpg:wgp>
                      <wpg:cNvGrpSpPr/>
                      <wpg:grpSpPr>
                        <a:xfrm>
                          <a:off x="0" y="0"/>
                          <a:ext cx="105226" cy="4187"/>
                          <a:chOff x="0" y="0"/>
                          <a:chExt cx="105226" cy="4187"/>
                        </a:xfrm>
                      </wpg:grpSpPr>
                      <wps:wsp>
                        <wps:cNvPr id="74084" name="Shape 74084"/>
                        <wps:cNvSpPr/>
                        <wps:spPr>
                          <a:xfrm>
                            <a:off x="0" y="0"/>
                            <a:ext cx="105226" cy="0"/>
                          </a:xfrm>
                          <a:custGeom>
                            <a:avLst/>
                            <a:gdLst/>
                            <a:ahLst/>
                            <a:cxnLst/>
                            <a:rect l="0" t="0" r="0" b="0"/>
                            <a:pathLst>
                              <a:path w="105226">
                                <a:moveTo>
                                  <a:pt x="0" y="0"/>
                                </a:moveTo>
                                <a:lnTo>
                                  <a:pt x="105226" y="0"/>
                                </a:lnTo>
                              </a:path>
                            </a:pathLst>
                          </a:custGeom>
                          <a:ln w="4187"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8511" style="width:8.28549pt;height:0.329708pt;mso-position-horizontal-relative:char;mso-position-vertical-relative:line" coordsize="1052,41">
                <v:shape id="Shape 74084" style="position:absolute;width:1052;height:0;left:0;top:0;" coordsize="105226,0" path="m0,0l105226,0">
                  <v:stroke weight="0.329708pt" endcap="flat" joinstyle="round" on="true" color="#000000"/>
                  <v:fill on="false" color="#000000" opacity="0"/>
                </v:shape>
              </v:group>
            </w:pict>
          </mc:Fallback>
        </mc:AlternateContent>
      </w:r>
      <w:r>
        <w:t>2(</w:t>
      </w:r>
      <w:r>
        <w:rPr>
          <w:i/>
        </w:rPr>
        <w:t>Р</w:t>
      </w:r>
      <w:r>
        <w:rPr>
          <w:i/>
          <w:sz w:val="20"/>
        </w:rPr>
        <w:t xml:space="preserve">ЭК </w:t>
      </w:r>
      <w:r>
        <w:rPr>
          <w:rFonts w:ascii="Segoe UI Symbol" w:eastAsia="Segoe UI Symbol" w:hAnsi="Segoe UI Symbol" w:cs="Segoe UI Symbol"/>
        </w:rPr>
        <w:t xml:space="preserve"> </w:t>
      </w:r>
      <w:r>
        <w:rPr>
          <w:i/>
        </w:rPr>
        <w:t>Р</w:t>
      </w:r>
      <w:r>
        <w:rPr>
          <w:i/>
          <w:sz w:val="20"/>
        </w:rPr>
        <w:t xml:space="preserve">ЭП </w:t>
      </w:r>
      <w:r>
        <w:t>)</w:t>
      </w:r>
      <w:r>
        <w:t xml:space="preserve">,                                             (6) </w:t>
      </w:r>
    </w:p>
    <w:p w:rsidR="002C0F56" w:rsidRDefault="00E67C6E">
      <w:pPr>
        <w:spacing w:after="68" w:line="267" w:lineRule="auto"/>
        <w:ind w:left="2872" w:right="728" w:hanging="10"/>
        <w:jc w:val="left"/>
      </w:pPr>
      <w:r>
        <w:t xml:space="preserve">1 </w:t>
      </w:r>
      <w:r>
        <w:rPr>
          <w:sz w:val="20"/>
        </w:rPr>
        <w:t>6</w:t>
      </w:r>
    </w:p>
    <w:p w:rsidR="002C0F56" w:rsidRDefault="00E67C6E">
      <w:pPr>
        <w:spacing w:after="285"/>
        <w:ind w:left="1558" w:right="302" w:firstLine="0"/>
      </w:pPr>
      <w:r>
        <w:t xml:space="preserve">где </w:t>
      </w:r>
      <w:r>
        <w:rPr>
          <w:i/>
        </w:rPr>
        <w:t>Р</w:t>
      </w:r>
      <w:r>
        <w:rPr>
          <w:i/>
          <w:vertAlign w:val="subscript"/>
        </w:rPr>
        <w:t xml:space="preserve">ЭК </w:t>
      </w:r>
      <w:r>
        <w:rPr>
          <w:rFonts w:ascii="Segoe UI Symbol" w:eastAsia="Segoe UI Symbol" w:hAnsi="Segoe UI Symbol" w:cs="Segoe UI Symbol"/>
        </w:rPr>
        <w:t></w:t>
      </w:r>
      <w:r>
        <w:rPr>
          <w:rFonts w:ascii="Calibri" w:eastAsia="Calibri" w:hAnsi="Calibri" w:cs="Calibri"/>
          <w:noProof/>
          <w:sz w:val="22"/>
        </w:rPr>
        <mc:AlternateContent>
          <mc:Choice Requires="wpg">
            <w:drawing>
              <wp:inline distT="0" distB="0" distL="0" distR="0">
                <wp:extent cx="102630" cy="8819"/>
                <wp:effectExtent l="0" t="0" r="0" b="0"/>
                <wp:docPr id="668512" name="Group 668512"/>
                <wp:cNvGraphicFramePr/>
                <a:graphic xmlns:a="http://schemas.openxmlformats.org/drawingml/2006/main">
                  <a:graphicData uri="http://schemas.microsoft.com/office/word/2010/wordprocessingGroup">
                    <wpg:wgp>
                      <wpg:cNvGrpSpPr/>
                      <wpg:grpSpPr>
                        <a:xfrm>
                          <a:off x="0" y="0"/>
                          <a:ext cx="102630" cy="8819"/>
                          <a:chOff x="0" y="0"/>
                          <a:chExt cx="102630" cy="8819"/>
                        </a:xfrm>
                      </wpg:grpSpPr>
                      <wps:wsp>
                        <wps:cNvPr id="74095" name="Shape 74095"/>
                        <wps:cNvSpPr/>
                        <wps:spPr>
                          <a:xfrm>
                            <a:off x="0" y="0"/>
                            <a:ext cx="102630" cy="0"/>
                          </a:xfrm>
                          <a:custGeom>
                            <a:avLst/>
                            <a:gdLst/>
                            <a:ahLst/>
                            <a:cxnLst/>
                            <a:rect l="0" t="0" r="0" b="0"/>
                            <a:pathLst>
                              <a:path w="102630">
                                <a:moveTo>
                                  <a:pt x="0" y="0"/>
                                </a:moveTo>
                                <a:lnTo>
                                  <a:pt x="102630" y="0"/>
                                </a:lnTo>
                              </a:path>
                            </a:pathLst>
                          </a:custGeom>
                          <a:ln w="8819"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8512" style="width:8.0811pt;height:0.694403pt;mso-position-horizontal-relative:char;mso-position-vertical-relative:line" coordsize="1026,88">
                <v:shape id="Shape 74095" style="position:absolute;width:1026;height:0;left:0;top:0;" coordsize="102630,0" path="m0,0l102630,0">
                  <v:stroke weight="0.694403pt" endcap="flat" joinstyle="round" on="true" color="#000000"/>
                  <v:fill on="false" color="#000000" opacity="0"/>
                </v:shape>
              </v:group>
            </w:pict>
          </mc:Fallback>
        </mc:AlternateContent>
      </w:r>
      <w:r>
        <w:t>6</w:t>
      </w:r>
      <w:r>
        <w:rPr>
          <w:rFonts w:ascii="Segoe UI Symbol" w:eastAsia="Segoe UI Symbol" w:hAnsi="Segoe UI Symbol" w:cs="Segoe UI Symbol"/>
          <w:sz w:val="42"/>
        </w:rPr>
        <w:t></w:t>
      </w:r>
      <w:r>
        <w:rPr>
          <w:i/>
          <w:sz w:val="20"/>
        </w:rPr>
        <w:t>i</w:t>
      </w:r>
      <w:r>
        <w:rPr>
          <w:rFonts w:ascii="Segoe UI Symbol" w:eastAsia="Segoe UI Symbol" w:hAnsi="Segoe UI Symbol" w:cs="Segoe UI Symbol"/>
          <w:sz w:val="31"/>
          <w:vertAlign w:val="subscript"/>
        </w:rPr>
        <w:t></w:t>
      </w:r>
      <w:r>
        <w:rPr>
          <w:sz w:val="20"/>
        </w:rPr>
        <w:t xml:space="preserve">1 </w:t>
      </w:r>
      <w:r>
        <w:rPr>
          <w:i/>
        </w:rPr>
        <w:t>K</w:t>
      </w:r>
      <w:r>
        <w:rPr>
          <w:i/>
          <w:vertAlign w:val="subscript"/>
        </w:rPr>
        <w:t>i</w:t>
      </w:r>
      <w:r>
        <w:t xml:space="preserve"> – агрегированный показатель (</w:t>
      </w:r>
      <w:r>
        <w:rPr>
          <w:i/>
        </w:rPr>
        <w:t>Z</w:t>
      </w:r>
      <w:r>
        <w:rPr>
          <w:vertAlign w:val="subscript"/>
        </w:rPr>
        <w:t>1</w:t>
      </w:r>
      <w:r>
        <w:t>-</w:t>
      </w:r>
      <w:r>
        <w:rPr>
          <w:i/>
        </w:rPr>
        <w:t>Z</w:t>
      </w:r>
      <w:r>
        <w:rPr>
          <w:vertAlign w:val="subscript"/>
        </w:rPr>
        <w:t>6</w:t>
      </w:r>
      <w:r>
        <w:t xml:space="preserve">), характеризующий </w:t>
      </w:r>
    </w:p>
    <w:p w:rsidR="002C0F56" w:rsidRDefault="00E67C6E">
      <w:pPr>
        <w:ind w:left="994" w:right="302" w:firstLine="0"/>
      </w:pPr>
      <w:r>
        <w:t xml:space="preserve">экологическую конкурентоспособность субъекта хозяйствования; </w:t>
      </w:r>
    </w:p>
    <w:p w:rsidR="002C0F56" w:rsidRDefault="00E67C6E">
      <w:pPr>
        <w:spacing w:after="91" w:line="267" w:lineRule="auto"/>
        <w:ind w:left="2386" w:right="728" w:hanging="10"/>
        <w:jc w:val="left"/>
      </w:pPr>
      <w:r>
        <w:t xml:space="preserve">1 </w:t>
      </w:r>
      <w:r>
        <w:rPr>
          <w:sz w:val="20"/>
        </w:rPr>
        <w:t>5</w:t>
      </w:r>
    </w:p>
    <w:p w:rsidR="002C0F56" w:rsidRDefault="00E67C6E">
      <w:pPr>
        <w:spacing w:after="302"/>
        <w:ind w:left="1603" w:right="302" w:firstLine="0"/>
      </w:pPr>
      <w:r>
        <w:rPr>
          <w:i/>
        </w:rPr>
        <w:t>Р</w:t>
      </w:r>
      <w:r>
        <w:rPr>
          <w:i/>
          <w:vertAlign w:val="subscript"/>
        </w:rPr>
        <w:t xml:space="preserve">ЭП </w:t>
      </w:r>
      <w:r>
        <w:rPr>
          <w:rFonts w:ascii="Segoe UI Symbol" w:eastAsia="Segoe UI Symbol" w:hAnsi="Segoe UI Symbol" w:cs="Segoe UI Symbol"/>
        </w:rPr>
        <w:t xml:space="preserve"> </w:t>
      </w:r>
      <w:r>
        <w:rPr>
          <w:rFonts w:ascii="Calibri" w:eastAsia="Calibri" w:hAnsi="Calibri" w:cs="Calibri"/>
          <w:noProof/>
          <w:sz w:val="22"/>
        </w:rPr>
        <mc:AlternateContent>
          <mc:Choice Requires="wpg">
            <w:drawing>
              <wp:inline distT="0" distB="0" distL="0" distR="0">
                <wp:extent cx="96775" cy="8775"/>
                <wp:effectExtent l="0" t="0" r="0" b="0"/>
                <wp:docPr id="668513" name="Group 668513"/>
                <wp:cNvGraphicFramePr/>
                <a:graphic xmlns:a="http://schemas.openxmlformats.org/drawingml/2006/main">
                  <a:graphicData uri="http://schemas.microsoft.com/office/word/2010/wordprocessingGroup">
                    <wpg:wgp>
                      <wpg:cNvGrpSpPr/>
                      <wpg:grpSpPr>
                        <a:xfrm>
                          <a:off x="0" y="0"/>
                          <a:ext cx="96775" cy="8775"/>
                          <a:chOff x="0" y="0"/>
                          <a:chExt cx="96775" cy="8775"/>
                        </a:xfrm>
                      </wpg:grpSpPr>
                      <wps:wsp>
                        <wps:cNvPr id="74118" name="Shape 74118"/>
                        <wps:cNvSpPr/>
                        <wps:spPr>
                          <a:xfrm>
                            <a:off x="0" y="0"/>
                            <a:ext cx="96775" cy="0"/>
                          </a:xfrm>
                          <a:custGeom>
                            <a:avLst/>
                            <a:gdLst/>
                            <a:ahLst/>
                            <a:cxnLst/>
                            <a:rect l="0" t="0" r="0" b="0"/>
                            <a:pathLst>
                              <a:path w="96775">
                                <a:moveTo>
                                  <a:pt x="0" y="0"/>
                                </a:moveTo>
                                <a:lnTo>
                                  <a:pt x="96775" y="0"/>
                                </a:lnTo>
                              </a:path>
                            </a:pathLst>
                          </a:custGeom>
                          <a:ln w="877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8513" style="width:7.62004pt;height:0.690956pt;mso-position-horizontal-relative:char;mso-position-vertical-relative:line" coordsize="967,87">
                <v:shape id="Shape 74118" style="position:absolute;width:967;height:0;left:0;top:0;" coordsize="96775,0" path="m0,0l96775,0">
                  <v:stroke weight="0.690956pt" endcap="flat" joinstyle="round" on="true" color="#000000"/>
                  <v:fill on="false" color="#000000" opacity="0"/>
                </v:shape>
              </v:group>
            </w:pict>
          </mc:Fallback>
        </mc:AlternateContent>
      </w:r>
      <w:r>
        <w:t xml:space="preserve">5 </w:t>
      </w:r>
      <w:r>
        <w:rPr>
          <w:rFonts w:ascii="Segoe UI Symbol" w:eastAsia="Segoe UI Symbol" w:hAnsi="Segoe UI Symbol" w:cs="Segoe UI Symbol"/>
          <w:sz w:val="42"/>
        </w:rPr>
        <w:t></w:t>
      </w:r>
      <w:r>
        <w:rPr>
          <w:i/>
          <w:sz w:val="20"/>
        </w:rPr>
        <w:t>j</w:t>
      </w:r>
      <w:r>
        <w:rPr>
          <w:rFonts w:ascii="Segoe UI Symbol" w:eastAsia="Segoe UI Symbol" w:hAnsi="Segoe UI Symbol" w:cs="Segoe UI Symbol"/>
          <w:sz w:val="31"/>
          <w:vertAlign w:val="subscript"/>
        </w:rPr>
        <w:t></w:t>
      </w:r>
      <w:r>
        <w:rPr>
          <w:sz w:val="20"/>
        </w:rPr>
        <w:t>1</w:t>
      </w:r>
      <w:r>
        <w:rPr>
          <w:i/>
        </w:rPr>
        <w:t>K</w:t>
      </w:r>
      <w:r>
        <w:rPr>
          <w:i/>
          <w:vertAlign w:val="subscript"/>
        </w:rPr>
        <w:t>i</w:t>
      </w:r>
      <w:r>
        <w:t xml:space="preserve"> – агрегированный показатель, характеризующий степень </w:t>
      </w:r>
    </w:p>
    <w:p w:rsidR="002C0F56" w:rsidRDefault="00E67C6E">
      <w:pPr>
        <w:ind w:left="994" w:right="302" w:firstLine="0"/>
      </w:pPr>
      <w:r>
        <w:t>экологичности проекта (</w:t>
      </w:r>
      <w:r>
        <w:rPr>
          <w:i/>
        </w:rPr>
        <w:t>Z</w:t>
      </w:r>
      <w:r>
        <w:rPr>
          <w:vertAlign w:val="subscript"/>
        </w:rPr>
        <w:t>7</w:t>
      </w:r>
      <w:r>
        <w:t>-</w:t>
      </w:r>
      <w:r>
        <w:rPr>
          <w:i/>
        </w:rPr>
        <w:t>Z</w:t>
      </w:r>
      <w:r>
        <w:rPr>
          <w:vertAlign w:val="subscript"/>
        </w:rPr>
        <w:t>11</w:t>
      </w:r>
      <w:r>
        <w:t xml:space="preserve">). </w:t>
      </w:r>
    </w:p>
    <w:p w:rsidR="002C0F56" w:rsidRDefault="00E67C6E">
      <w:pPr>
        <w:ind w:left="994" w:right="302"/>
      </w:pPr>
      <w:r>
        <w:t xml:space="preserve">По аналогичной методике определяем показатель «озеленения» </w:t>
      </w:r>
      <w:r>
        <w:t xml:space="preserve">экономики за счет осуществления проекта – </w:t>
      </w:r>
      <w:r>
        <w:rPr>
          <w:i/>
        </w:rPr>
        <w:t>К</w:t>
      </w:r>
      <w:r>
        <w:rPr>
          <w:i/>
          <w:vertAlign w:val="subscript"/>
        </w:rPr>
        <w:t>З</w:t>
      </w:r>
      <w:r>
        <w:t xml:space="preserve">: </w:t>
      </w:r>
    </w:p>
    <w:p w:rsidR="002C0F56" w:rsidRDefault="00E67C6E">
      <w:pPr>
        <w:spacing w:after="15" w:line="268" w:lineRule="auto"/>
        <w:ind w:left="1262" w:right="1121" w:hanging="10"/>
        <w:jc w:val="center"/>
      </w:pPr>
      <w:r>
        <w:t>1</w:t>
      </w:r>
    </w:p>
    <w:p w:rsidR="002C0F56" w:rsidRDefault="00E67C6E">
      <w:pPr>
        <w:spacing w:after="335"/>
        <w:ind w:left="1558" w:right="302" w:firstLine="0"/>
      </w:pPr>
      <w:r>
        <w:t xml:space="preserve">                                              </w:t>
      </w:r>
      <w:r>
        <w:rPr>
          <w:i/>
        </w:rPr>
        <w:t>К</w:t>
      </w:r>
      <w:r>
        <w:rPr>
          <w:i/>
          <w:vertAlign w:val="subscript"/>
        </w:rPr>
        <w:t xml:space="preserve">З </w:t>
      </w:r>
      <w:r>
        <w:rPr>
          <w:rFonts w:ascii="Segoe UI Symbol" w:eastAsia="Segoe UI Symbol" w:hAnsi="Segoe UI Symbol" w:cs="Segoe UI Symbol"/>
        </w:rPr>
        <w:t xml:space="preserve"> </w:t>
      </w:r>
      <w:r>
        <w:rPr>
          <w:rFonts w:ascii="Calibri" w:eastAsia="Calibri" w:hAnsi="Calibri" w:cs="Calibri"/>
          <w:noProof/>
          <w:sz w:val="22"/>
        </w:rPr>
        <mc:AlternateContent>
          <mc:Choice Requires="wpg">
            <w:drawing>
              <wp:inline distT="0" distB="0" distL="0" distR="0">
                <wp:extent cx="105426" cy="4193"/>
                <wp:effectExtent l="0" t="0" r="0" b="0"/>
                <wp:docPr id="668514" name="Group 668514"/>
                <wp:cNvGraphicFramePr/>
                <a:graphic xmlns:a="http://schemas.openxmlformats.org/drawingml/2006/main">
                  <a:graphicData uri="http://schemas.microsoft.com/office/word/2010/wordprocessingGroup">
                    <wpg:wgp>
                      <wpg:cNvGrpSpPr/>
                      <wpg:grpSpPr>
                        <a:xfrm>
                          <a:off x="0" y="0"/>
                          <a:ext cx="105426" cy="4193"/>
                          <a:chOff x="0" y="0"/>
                          <a:chExt cx="105426" cy="4193"/>
                        </a:xfrm>
                      </wpg:grpSpPr>
                      <wps:wsp>
                        <wps:cNvPr id="74152" name="Shape 74152"/>
                        <wps:cNvSpPr/>
                        <wps:spPr>
                          <a:xfrm>
                            <a:off x="0" y="0"/>
                            <a:ext cx="105426" cy="0"/>
                          </a:xfrm>
                          <a:custGeom>
                            <a:avLst/>
                            <a:gdLst/>
                            <a:ahLst/>
                            <a:cxnLst/>
                            <a:rect l="0" t="0" r="0" b="0"/>
                            <a:pathLst>
                              <a:path w="105426">
                                <a:moveTo>
                                  <a:pt x="0" y="0"/>
                                </a:moveTo>
                                <a:lnTo>
                                  <a:pt x="105426" y="0"/>
                                </a:lnTo>
                              </a:path>
                            </a:pathLst>
                          </a:custGeom>
                          <a:ln w="41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8514" style="width:8.30127pt;height:0.330176pt;mso-position-horizontal-relative:char;mso-position-vertical-relative:line" coordsize="1054,41">
                <v:shape id="Shape 74152" style="position:absolute;width:1054;height:0;left:0;top:0;" coordsize="105426,0" path="m0,0l105426,0">
                  <v:stroke weight="0.330176pt" endcap="flat" joinstyle="round" on="true" color="#000000"/>
                  <v:fill on="false" color="#000000" opacity="0"/>
                </v:shape>
              </v:group>
            </w:pict>
          </mc:Fallback>
        </mc:AlternateContent>
      </w:r>
      <w:r>
        <w:t>2(</w:t>
      </w:r>
      <w:r>
        <w:rPr>
          <w:i/>
        </w:rPr>
        <w:t>Р</w:t>
      </w:r>
      <w:r>
        <w:rPr>
          <w:i/>
          <w:sz w:val="20"/>
        </w:rPr>
        <w:t xml:space="preserve">ПР </w:t>
      </w:r>
      <w:r>
        <w:rPr>
          <w:rFonts w:ascii="Segoe UI Symbol" w:eastAsia="Segoe UI Symbol" w:hAnsi="Segoe UI Symbol" w:cs="Segoe UI Symbol"/>
        </w:rPr>
        <w:t></w:t>
      </w:r>
      <w:r>
        <w:rPr>
          <w:i/>
        </w:rPr>
        <w:t>Р</w:t>
      </w:r>
      <w:r>
        <w:rPr>
          <w:i/>
          <w:sz w:val="20"/>
        </w:rPr>
        <w:t>КР</w:t>
      </w:r>
      <w:r>
        <w:t xml:space="preserve">),                                          (7) </w:t>
      </w:r>
    </w:p>
    <w:p w:rsidR="002C0F56" w:rsidRDefault="00E67C6E">
      <w:pPr>
        <w:spacing w:after="83" w:line="267" w:lineRule="auto"/>
        <w:ind w:left="2830" w:right="728" w:hanging="10"/>
        <w:jc w:val="left"/>
      </w:pPr>
      <w:r>
        <w:lastRenderedPageBreak/>
        <w:t xml:space="preserve">1 </w:t>
      </w:r>
      <w:r>
        <w:rPr>
          <w:sz w:val="20"/>
        </w:rPr>
        <w:t>2</w:t>
      </w:r>
    </w:p>
    <w:p w:rsidR="002C0F56" w:rsidRDefault="00E67C6E">
      <w:pPr>
        <w:spacing w:after="267"/>
        <w:ind w:left="1558" w:right="302" w:firstLine="0"/>
      </w:pPr>
      <w:r>
        <w:t xml:space="preserve">где </w:t>
      </w:r>
      <w:r>
        <w:rPr>
          <w:i/>
          <w:sz w:val="43"/>
          <w:vertAlign w:val="superscript"/>
        </w:rPr>
        <w:t>Р</w:t>
      </w:r>
      <w:r>
        <w:rPr>
          <w:i/>
          <w:vertAlign w:val="subscript"/>
        </w:rPr>
        <w:t xml:space="preserve">ПР </w:t>
      </w:r>
      <w:r>
        <w:rPr>
          <w:rFonts w:ascii="Segoe UI Symbol" w:eastAsia="Segoe UI Symbol" w:hAnsi="Segoe UI Symbol" w:cs="Segoe UI Symbol"/>
        </w:rPr>
        <w:t></w:t>
      </w:r>
      <w:r>
        <w:rPr>
          <w:rFonts w:ascii="Calibri" w:eastAsia="Calibri" w:hAnsi="Calibri" w:cs="Calibri"/>
          <w:noProof/>
          <w:sz w:val="22"/>
        </w:rPr>
        <mc:AlternateContent>
          <mc:Choice Requires="wpg">
            <w:drawing>
              <wp:inline distT="0" distB="0" distL="0" distR="0">
                <wp:extent cx="105025" cy="8809"/>
                <wp:effectExtent l="0" t="0" r="0" b="0"/>
                <wp:docPr id="668515" name="Group 668515"/>
                <wp:cNvGraphicFramePr/>
                <a:graphic xmlns:a="http://schemas.openxmlformats.org/drawingml/2006/main">
                  <a:graphicData uri="http://schemas.microsoft.com/office/word/2010/wordprocessingGroup">
                    <wpg:wgp>
                      <wpg:cNvGrpSpPr/>
                      <wpg:grpSpPr>
                        <a:xfrm>
                          <a:off x="0" y="0"/>
                          <a:ext cx="105025" cy="8809"/>
                          <a:chOff x="0" y="0"/>
                          <a:chExt cx="105025" cy="8809"/>
                        </a:xfrm>
                      </wpg:grpSpPr>
                      <wps:wsp>
                        <wps:cNvPr id="74164" name="Shape 74164"/>
                        <wps:cNvSpPr/>
                        <wps:spPr>
                          <a:xfrm>
                            <a:off x="0" y="0"/>
                            <a:ext cx="105025" cy="0"/>
                          </a:xfrm>
                          <a:custGeom>
                            <a:avLst/>
                            <a:gdLst/>
                            <a:ahLst/>
                            <a:cxnLst/>
                            <a:rect l="0" t="0" r="0" b="0"/>
                            <a:pathLst>
                              <a:path w="105025">
                                <a:moveTo>
                                  <a:pt x="0" y="0"/>
                                </a:moveTo>
                                <a:lnTo>
                                  <a:pt x="105025" y="0"/>
                                </a:lnTo>
                              </a:path>
                            </a:pathLst>
                          </a:custGeom>
                          <a:ln w="8809"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8515" style="width:8.2697pt;height:0.693601pt;mso-position-horizontal-relative:char;mso-position-vertical-relative:line" coordsize="1050,88">
                <v:shape id="Shape 74164" style="position:absolute;width:1050;height:0;left:0;top:0;" coordsize="105025,0" path="m0,0l105025,0">
                  <v:stroke weight="0.693601pt" endcap="flat" joinstyle="round" on="true" color="#000000"/>
                  <v:fill on="false" color="#000000" opacity="0"/>
                </v:shape>
              </v:group>
            </w:pict>
          </mc:Fallback>
        </mc:AlternateContent>
      </w:r>
      <w:r>
        <w:t>2</w:t>
      </w:r>
      <w:r>
        <w:rPr>
          <w:rFonts w:ascii="Segoe UI Symbol" w:eastAsia="Segoe UI Symbol" w:hAnsi="Segoe UI Symbol" w:cs="Segoe UI Symbol"/>
          <w:sz w:val="42"/>
        </w:rPr>
        <w:t></w:t>
      </w:r>
      <w:r>
        <w:rPr>
          <w:i/>
          <w:sz w:val="20"/>
        </w:rPr>
        <w:t>i</w:t>
      </w:r>
      <w:r>
        <w:rPr>
          <w:rFonts w:ascii="Segoe UI Symbol" w:eastAsia="Segoe UI Symbol" w:hAnsi="Segoe UI Symbol" w:cs="Segoe UI Symbol"/>
          <w:sz w:val="31"/>
          <w:vertAlign w:val="subscript"/>
        </w:rPr>
        <w:t></w:t>
      </w:r>
      <w:r>
        <w:rPr>
          <w:sz w:val="20"/>
        </w:rPr>
        <w:t>1</w:t>
      </w:r>
      <w:r>
        <w:rPr>
          <w:i/>
          <w:sz w:val="42"/>
          <w:vertAlign w:val="superscript"/>
        </w:rPr>
        <w:t>Z</w:t>
      </w:r>
      <w:r>
        <w:rPr>
          <w:i/>
          <w:vertAlign w:val="subscript"/>
        </w:rPr>
        <w:t>n</w:t>
      </w:r>
      <w:r>
        <w:t xml:space="preserve"> – агрегированный показатель, характеризующий прямую </w:t>
      </w:r>
    </w:p>
    <w:p w:rsidR="002C0F56" w:rsidRDefault="00E67C6E">
      <w:pPr>
        <w:ind w:left="994" w:right="302" w:firstLine="0"/>
      </w:pPr>
      <w:r>
        <w:t xml:space="preserve">«зеленую» результативность проекта; </w:t>
      </w:r>
    </w:p>
    <w:p w:rsidR="002C0F56" w:rsidRDefault="00E67C6E">
      <w:pPr>
        <w:spacing w:after="92" w:line="267" w:lineRule="auto"/>
        <w:ind w:left="2369" w:right="728" w:hanging="10"/>
        <w:jc w:val="left"/>
      </w:pPr>
      <w:r>
        <w:t xml:space="preserve">1 </w:t>
      </w:r>
      <w:r>
        <w:rPr>
          <w:sz w:val="20"/>
        </w:rPr>
        <w:t>2</w:t>
      </w:r>
    </w:p>
    <w:p w:rsidR="002C0F56" w:rsidRDefault="00E67C6E">
      <w:pPr>
        <w:spacing w:after="298"/>
        <w:ind w:left="1604" w:right="302" w:firstLine="0"/>
      </w:pPr>
      <w:r>
        <w:rPr>
          <w:i/>
        </w:rPr>
        <w:t>Р</w:t>
      </w:r>
      <w:r>
        <w:rPr>
          <w:i/>
          <w:vertAlign w:val="subscript"/>
        </w:rPr>
        <w:t xml:space="preserve">КР </w:t>
      </w:r>
      <w:r>
        <w:rPr>
          <w:rFonts w:ascii="Segoe UI Symbol" w:eastAsia="Segoe UI Symbol" w:hAnsi="Segoe UI Symbol" w:cs="Segoe UI Symbol"/>
        </w:rPr>
        <w:t xml:space="preserve"> </w:t>
      </w:r>
      <w:r>
        <w:rPr>
          <w:rFonts w:ascii="Calibri" w:eastAsia="Calibri" w:hAnsi="Calibri" w:cs="Calibri"/>
          <w:noProof/>
          <w:sz w:val="22"/>
        </w:rPr>
        <mc:AlternateContent>
          <mc:Choice Requires="wpg">
            <w:drawing>
              <wp:inline distT="0" distB="0" distL="0" distR="0">
                <wp:extent cx="105085" cy="8775"/>
                <wp:effectExtent l="0" t="0" r="0" b="0"/>
                <wp:docPr id="668990" name="Group 668990"/>
                <wp:cNvGraphicFramePr/>
                <a:graphic xmlns:a="http://schemas.openxmlformats.org/drawingml/2006/main">
                  <a:graphicData uri="http://schemas.microsoft.com/office/word/2010/wordprocessingGroup">
                    <wpg:wgp>
                      <wpg:cNvGrpSpPr/>
                      <wpg:grpSpPr>
                        <a:xfrm>
                          <a:off x="0" y="0"/>
                          <a:ext cx="105085" cy="8775"/>
                          <a:chOff x="0" y="0"/>
                          <a:chExt cx="105085" cy="8775"/>
                        </a:xfrm>
                      </wpg:grpSpPr>
                      <wps:wsp>
                        <wps:cNvPr id="74198" name="Shape 74198"/>
                        <wps:cNvSpPr/>
                        <wps:spPr>
                          <a:xfrm>
                            <a:off x="0" y="0"/>
                            <a:ext cx="105085" cy="0"/>
                          </a:xfrm>
                          <a:custGeom>
                            <a:avLst/>
                            <a:gdLst/>
                            <a:ahLst/>
                            <a:cxnLst/>
                            <a:rect l="0" t="0" r="0" b="0"/>
                            <a:pathLst>
                              <a:path w="105085">
                                <a:moveTo>
                                  <a:pt x="0" y="0"/>
                                </a:moveTo>
                                <a:lnTo>
                                  <a:pt x="105085" y="0"/>
                                </a:lnTo>
                              </a:path>
                            </a:pathLst>
                          </a:custGeom>
                          <a:ln w="877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8990" style="width:8.27438pt;height:0.690956pt;mso-position-horizontal-relative:char;mso-position-vertical-relative:line" coordsize="1050,87">
                <v:shape id="Shape 74198" style="position:absolute;width:1050;height:0;left:0;top:0;" coordsize="105085,0" path="m0,0l105085,0">
                  <v:stroke weight="0.690956pt" endcap="flat" joinstyle="round" on="true" color="#000000"/>
                  <v:fill on="false" color="#000000" opacity="0"/>
                </v:shape>
              </v:group>
            </w:pict>
          </mc:Fallback>
        </mc:AlternateContent>
      </w:r>
      <w:r>
        <w:t xml:space="preserve">2 </w:t>
      </w:r>
      <w:r>
        <w:rPr>
          <w:rFonts w:ascii="Segoe UI Symbol" w:eastAsia="Segoe UI Symbol" w:hAnsi="Segoe UI Symbol" w:cs="Segoe UI Symbol"/>
          <w:sz w:val="42"/>
        </w:rPr>
        <w:t></w:t>
      </w:r>
      <w:r>
        <w:rPr>
          <w:i/>
          <w:sz w:val="20"/>
        </w:rPr>
        <w:t>j</w:t>
      </w:r>
      <w:r>
        <w:rPr>
          <w:rFonts w:ascii="Segoe UI Symbol" w:eastAsia="Segoe UI Symbol" w:hAnsi="Segoe UI Symbol" w:cs="Segoe UI Symbol"/>
          <w:sz w:val="31"/>
          <w:vertAlign w:val="subscript"/>
        </w:rPr>
        <w:t></w:t>
      </w:r>
      <w:r>
        <w:rPr>
          <w:sz w:val="20"/>
        </w:rPr>
        <w:t>1</w:t>
      </w:r>
      <w:r>
        <w:rPr>
          <w:i/>
        </w:rPr>
        <w:t>Z</w:t>
      </w:r>
      <w:r>
        <w:rPr>
          <w:i/>
          <w:vertAlign w:val="subscript"/>
        </w:rPr>
        <w:t>m</w:t>
      </w:r>
      <w:r>
        <w:t xml:space="preserve"> – агрегированный показатель, характеризующий конечную </w:t>
      </w:r>
    </w:p>
    <w:p w:rsidR="002C0F56" w:rsidRDefault="00E67C6E">
      <w:pPr>
        <w:spacing w:after="12"/>
        <w:ind w:left="994" w:right="302" w:firstLine="0"/>
      </w:pPr>
      <w:r>
        <w:t xml:space="preserve">«зеленую» результативность проекта. </w:t>
      </w:r>
    </w:p>
    <w:p w:rsidR="002C0F56" w:rsidRDefault="00E67C6E">
      <w:pPr>
        <w:ind w:left="994" w:right="302"/>
      </w:pPr>
      <w:r>
        <w:t xml:space="preserve">На следующем этапе целесообразно сформировать интегральный показатель уровня экологической устойчивости проекта: </w:t>
      </w:r>
    </w:p>
    <w:p w:rsidR="002C0F56" w:rsidRDefault="00E67C6E">
      <w:pPr>
        <w:tabs>
          <w:tab w:val="center" w:pos="3563"/>
          <w:tab w:val="center" w:pos="8124"/>
        </w:tabs>
        <w:ind w:left="0" w:firstLine="0"/>
        <w:jc w:val="left"/>
      </w:pPr>
      <w:r>
        <w:rPr>
          <w:rFonts w:ascii="Calibri" w:eastAsia="Calibri" w:hAnsi="Calibri" w:cs="Calibri"/>
          <w:noProof/>
          <w:sz w:val="22"/>
        </w:rPr>
        <mc:AlternateContent>
          <mc:Choice Requires="wpg">
            <w:drawing>
              <wp:anchor distT="0" distB="0" distL="114300" distR="114300" simplePos="0" relativeHeight="251684864" behindDoc="1" locked="0" layoutInCell="1" allowOverlap="1">
                <wp:simplePos x="0" y="0"/>
                <wp:positionH relativeFrom="column">
                  <wp:posOffset>3576025</wp:posOffset>
                </wp:positionH>
                <wp:positionV relativeFrom="paragraph">
                  <wp:posOffset>-11542</wp:posOffset>
                </wp:positionV>
                <wp:extent cx="624100" cy="214937"/>
                <wp:effectExtent l="0" t="0" r="0" b="0"/>
                <wp:wrapNone/>
                <wp:docPr id="668991" name="Group 668991"/>
                <wp:cNvGraphicFramePr/>
                <a:graphic xmlns:a="http://schemas.openxmlformats.org/drawingml/2006/main">
                  <a:graphicData uri="http://schemas.microsoft.com/office/word/2010/wordprocessingGroup">
                    <wpg:wgp>
                      <wpg:cNvGrpSpPr/>
                      <wpg:grpSpPr>
                        <a:xfrm>
                          <a:off x="0" y="0"/>
                          <a:ext cx="624100" cy="214937"/>
                          <a:chOff x="0" y="0"/>
                          <a:chExt cx="624100" cy="214937"/>
                        </a:xfrm>
                      </wpg:grpSpPr>
                      <wps:wsp>
                        <wps:cNvPr id="74220" name="Shape 74220"/>
                        <wps:cNvSpPr/>
                        <wps:spPr>
                          <a:xfrm>
                            <a:off x="6260" y="136913"/>
                            <a:ext cx="18010" cy="11274"/>
                          </a:xfrm>
                          <a:custGeom>
                            <a:avLst/>
                            <a:gdLst/>
                            <a:ahLst/>
                            <a:cxnLst/>
                            <a:rect l="0" t="0" r="0" b="0"/>
                            <a:pathLst>
                              <a:path w="18010" h="11274">
                                <a:moveTo>
                                  <a:pt x="0" y="11274"/>
                                </a:moveTo>
                                <a:lnTo>
                                  <a:pt x="18010" y="0"/>
                                </a:lnTo>
                              </a:path>
                            </a:pathLst>
                          </a:custGeom>
                          <a:ln w="1718" cap="sq">
                            <a:round/>
                          </a:ln>
                        </wps:spPr>
                        <wps:style>
                          <a:lnRef idx="1">
                            <a:srgbClr val="000000"/>
                          </a:lnRef>
                          <a:fillRef idx="0">
                            <a:srgbClr val="000000">
                              <a:alpha val="0"/>
                            </a:srgbClr>
                          </a:fillRef>
                          <a:effectRef idx="0">
                            <a:scrgbClr r="0" g="0" b="0"/>
                          </a:effectRef>
                          <a:fontRef idx="none"/>
                        </wps:style>
                        <wps:bodyPr/>
                      </wps:wsp>
                      <wps:wsp>
                        <wps:cNvPr id="74221" name="Shape 74221"/>
                        <wps:cNvSpPr/>
                        <wps:spPr>
                          <a:xfrm>
                            <a:off x="24269" y="136913"/>
                            <a:ext cx="43074" cy="77727"/>
                          </a:xfrm>
                          <a:custGeom>
                            <a:avLst/>
                            <a:gdLst/>
                            <a:ahLst/>
                            <a:cxnLst/>
                            <a:rect l="0" t="0" r="0" b="0"/>
                            <a:pathLst>
                              <a:path w="43074" h="77727">
                                <a:moveTo>
                                  <a:pt x="0" y="0"/>
                                </a:moveTo>
                                <a:lnTo>
                                  <a:pt x="43074" y="77727"/>
                                </a:lnTo>
                              </a:path>
                            </a:pathLst>
                          </a:custGeom>
                          <a:ln w="1718" cap="sq">
                            <a:round/>
                          </a:ln>
                        </wps:spPr>
                        <wps:style>
                          <a:lnRef idx="1">
                            <a:srgbClr val="000000"/>
                          </a:lnRef>
                          <a:fillRef idx="0">
                            <a:srgbClr val="000000">
                              <a:alpha val="0"/>
                            </a:srgbClr>
                          </a:fillRef>
                          <a:effectRef idx="0">
                            <a:scrgbClr r="0" g="0" b="0"/>
                          </a:effectRef>
                          <a:fontRef idx="none"/>
                        </wps:style>
                        <wps:bodyPr/>
                      </wps:wsp>
                      <wps:wsp>
                        <wps:cNvPr id="74222" name="Shape 74222"/>
                        <wps:cNvSpPr/>
                        <wps:spPr>
                          <a:xfrm>
                            <a:off x="67344" y="9353"/>
                            <a:ext cx="46721" cy="205584"/>
                          </a:xfrm>
                          <a:custGeom>
                            <a:avLst/>
                            <a:gdLst/>
                            <a:ahLst/>
                            <a:cxnLst/>
                            <a:rect l="0" t="0" r="0" b="0"/>
                            <a:pathLst>
                              <a:path w="46721" h="205584">
                                <a:moveTo>
                                  <a:pt x="0" y="205584"/>
                                </a:moveTo>
                                <a:lnTo>
                                  <a:pt x="46721" y="0"/>
                                </a:lnTo>
                              </a:path>
                            </a:pathLst>
                          </a:custGeom>
                          <a:ln w="1718" cap="sq">
                            <a:round/>
                          </a:ln>
                        </wps:spPr>
                        <wps:style>
                          <a:lnRef idx="1">
                            <a:srgbClr val="000000"/>
                          </a:lnRef>
                          <a:fillRef idx="0">
                            <a:srgbClr val="000000">
                              <a:alpha val="0"/>
                            </a:srgbClr>
                          </a:fillRef>
                          <a:effectRef idx="0">
                            <a:scrgbClr r="0" g="0" b="0"/>
                          </a:effectRef>
                          <a:fontRef idx="none"/>
                        </wps:style>
                        <wps:bodyPr/>
                      </wps:wsp>
                      <wps:wsp>
                        <wps:cNvPr id="74223" name="Shape 74223"/>
                        <wps:cNvSpPr/>
                        <wps:spPr>
                          <a:xfrm>
                            <a:off x="114065" y="9046"/>
                            <a:ext cx="510036" cy="0"/>
                          </a:xfrm>
                          <a:custGeom>
                            <a:avLst/>
                            <a:gdLst/>
                            <a:ahLst/>
                            <a:cxnLst/>
                            <a:rect l="0" t="0" r="0" b="0"/>
                            <a:pathLst>
                              <a:path w="510036">
                                <a:moveTo>
                                  <a:pt x="0" y="0"/>
                                </a:moveTo>
                                <a:lnTo>
                                  <a:pt x="510036" y="0"/>
                                </a:lnTo>
                              </a:path>
                            </a:pathLst>
                          </a:custGeom>
                          <a:ln w="1718" cap="sq">
                            <a:round/>
                          </a:ln>
                        </wps:spPr>
                        <wps:style>
                          <a:lnRef idx="1">
                            <a:srgbClr val="000000"/>
                          </a:lnRef>
                          <a:fillRef idx="0">
                            <a:srgbClr val="000000">
                              <a:alpha val="0"/>
                            </a:srgbClr>
                          </a:fillRef>
                          <a:effectRef idx="0">
                            <a:scrgbClr r="0" g="0" b="0"/>
                          </a:effectRef>
                          <a:fontRef idx="none"/>
                        </wps:style>
                        <wps:bodyPr/>
                      </wps:wsp>
                      <wps:wsp>
                        <wps:cNvPr id="74224" name="Shape 74224"/>
                        <wps:cNvSpPr/>
                        <wps:spPr>
                          <a:xfrm>
                            <a:off x="0" y="0"/>
                            <a:ext cx="619368" cy="210339"/>
                          </a:xfrm>
                          <a:custGeom>
                            <a:avLst/>
                            <a:gdLst/>
                            <a:ahLst/>
                            <a:cxnLst/>
                            <a:rect l="0" t="0" r="0" b="0"/>
                            <a:pathLst>
                              <a:path w="619368" h="210339">
                                <a:moveTo>
                                  <a:pt x="105975" y="0"/>
                                </a:moveTo>
                                <a:lnTo>
                                  <a:pt x="619368" y="0"/>
                                </a:lnTo>
                                <a:lnTo>
                                  <a:pt x="619368" y="8605"/>
                                </a:lnTo>
                                <a:lnTo>
                                  <a:pt x="112386" y="8604"/>
                                </a:lnTo>
                                <a:lnTo>
                                  <a:pt x="66877" y="210339"/>
                                </a:lnTo>
                                <a:lnTo>
                                  <a:pt x="58332" y="210339"/>
                                </a:lnTo>
                                <a:lnTo>
                                  <a:pt x="14955" y="138546"/>
                                </a:lnTo>
                                <a:lnTo>
                                  <a:pt x="3054" y="145962"/>
                                </a:lnTo>
                                <a:lnTo>
                                  <a:pt x="0" y="141215"/>
                                </a:lnTo>
                                <a:lnTo>
                                  <a:pt x="24118" y="126085"/>
                                </a:lnTo>
                                <a:lnTo>
                                  <a:pt x="62598" y="191055"/>
                                </a:lnTo>
                                <a:lnTo>
                                  <a:pt x="105975" y="0"/>
                                </a:lnTo>
                                <a:close/>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668991" style="width:49.1418pt;height:16.9242pt;position:absolute;z-index:-2147483615;mso-position-horizontal-relative:text;mso-position-horizontal:absolute;margin-left:281.577pt;mso-position-vertical-relative:text;margin-top:-0.908875pt;" coordsize="6241,2149">
                <v:shape id="Shape 74220" style="position:absolute;width:180;height:112;left:62;top:1369;" coordsize="18010,11274" path="m0,11274l18010,0">
                  <v:stroke weight="0.135307pt" endcap="square" joinstyle="round" on="true" color="#000000"/>
                  <v:fill on="false" color="#000000" opacity="0"/>
                </v:shape>
                <v:shape id="Shape 74221" style="position:absolute;width:430;height:777;left:242;top:1369;" coordsize="43074,77727" path="m0,0l43074,77727">
                  <v:stroke weight="0.135307pt" endcap="square" joinstyle="round" on="true" color="#000000"/>
                  <v:fill on="false" color="#000000" opacity="0"/>
                </v:shape>
                <v:shape id="Shape 74222" style="position:absolute;width:467;height:2055;left:673;top:93;" coordsize="46721,205584" path="m0,205584l46721,0">
                  <v:stroke weight="0.135307pt" endcap="square" joinstyle="round" on="true" color="#000000"/>
                  <v:fill on="false" color="#000000" opacity="0"/>
                </v:shape>
                <v:shape id="Shape 74223" style="position:absolute;width:5100;height:0;left:1140;top:90;" coordsize="510036,0" path="m0,0l510036,0">
                  <v:stroke weight="0.135307pt" endcap="square" joinstyle="round" on="true" color="#000000"/>
                  <v:fill on="false" color="#000000" opacity="0"/>
                </v:shape>
                <v:shape id="Shape 74224" style="position:absolute;width:6193;height:2103;left:0;top:0;" coordsize="619368,210339" path="m105975,0l619368,0l619368,8605l112386,8604l66877,210339l58332,210339l14955,138546l3054,145962l0,141215l24118,126085l62598,191055l105975,0x">
                  <v:stroke weight="0pt" endcap="square" joinstyle="round" on="false" color="#000000" opacity="0"/>
                  <v:fill on="true" color="#000000"/>
                </v:shape>
              </v:group>
            </w:pict>
          </mc:Fallback>
        </mc:AlternateContent>
      </w:r>
      <w:r>
        <w:rPr>
          <w:rFonts w:ascii="Calibri" w:eastAsia="Calibri" w:hAnsi="Calibri" w:cs="Calibri"/>
          <w:sz w:val="22"/>
        </w:rPr>
        <w:tab/>
      </w:r>
      <w:r>
        <w:t xml:space="preserve">                                               </w:t>
      </w:r>
      <w:r>
        <w:rPr>
          <w:i/>
        </w:rPr>
        <w:t>І</w:t>
      </w:r>
      <w:r>
        <w:rPr>
          <w:i/>
          <w:vertAlign w:val="subscript"/>
        </w:rPr>
        <w:t xml:space="preserve">ЭУ </w:t>
      </w:r>
      <w:r>
        <w:rPr>
          <w:rFonts w:ascii="Segoe UI Symbol" w:eastAsia="Segoe UI Symbol" w:hAnsi="Segoe UI Symbol" w:cs="Segoe UI Symbol"/>
        </w:rPr>
        <w:t></w:t>
      </w:r>
      <w:r>
        <w:rPr>
          <w:rFonts w:ascii="Segoe UI Symbol" w:eastAsia="Segoe UI Symbol" w:hAnsi="Segoe UI Symbol" w:cs="Segoe UI Symbol"/>
        </w:rPr>
        <w:tab/>
      </w:r>
      <w:r>
        <w:rPr>
          <w:i/>
        </w:rPr>
        <w:t>К</w:t>
      </w:r>
      <w:r>
        <w:rPr>
          <w:i/>
          <w:vertAlign w:val="subscript"/>
        </w:rPr>
        <w:t>Б</w:t>
      </w:r>
      <w:r>
        <w:rPr>
          <w:rFonts w:ascii="Segoe UI Symbol" w:eastAsia="Segoe UI Symbol" w:hAnsi="Segoe UI Symbol" w:cs="Segoe UI Symbol"/>
        </w:rPr>
        <w:t></w:t>
      </w:r>
      <w:r>
        <w:rPr>
          <w:i/>
        </w:rPr>
        <w:t>К</w:t>
      </w:r>
      <w:r>
        <w:rPr>
          <w:i/>
          <w:vertAlign w:val="subscript"/>
        </w:rPr>
        <w:t xml:space="preserve">З </w:t>
      </w:r>
      <w:r>
        <w:t xml:space="preserve">,                                                (8) </w:t>
      </w:r>
    </w:p>
    <w:p w:rsidR="002C0F56" w:rsidRDefault="00E67C6E">
      <w:pPr>
        <w:spacing w:after="0"/>
        <w:ind w:left="994" w:right="302"/>
      </w:pPr>
      <w:r>
        <w:t>Предложенные показатели могут быть использованы для сравнения проектной деятельности за один период и/или в динамике. Этот подход способствует надежному измерению проектных решений в сфере экологической безопасности и «зеленого» роста в определенной отрасл</w:t>
      </w:r>
      <w:r>
        <w:t xml:space="preserve">и деятельности. Он также определяет более эффективный уровень использования ресурсов проекта, создает эталон «озеленения» проекта.  </w:t>
      </w:r>
    </w:p>
    <w:p w:rsidR="002C0F56" w:rsidRDefault="00E67C6E">
      <w:pPr>
        <w:ind w:left="994" w:right="302"/>
      </w:pPr>
      <w:r>
        <w:t>На этом завершается этап качественного анализа проектов и начинается этап количественного анализа, который требует определе</w:t>
      </w:r>
      <w:r>
        <w:t xml:space="preserve">ния показателей институционально-социальной и финансово-экономической устойчивости. С целью уменьшения трудоемкости процедуры оценки инновационных проектов для «зеленого» роста экономики примем совокупность положительно оцененных показателей ИСУ равной 1, </w:t>
      </w:r>
      <w:r>
        <w:t xml:space="preserve">если они учитываются в документах проекта и 0 – если не учитываются. </w:t>
      </w:r>
    </w:p>
    <w:p w:rsidR="002C0F56" w:rsidRDefault="00E67C6E">
      <w:pPr>
        <w:ind w:left="994" w:right="302"/>
      </w:pPr>
      <w:r>
        <w:t xml:space="preserve">С целью обобщения анализа финансово-экономической устойчивости инновационного проекта предлагаем использовать следующие показатели [3]: </w:t>
      </w:r>
    </w:p>
    <w:p w:rsidR="002C0F56" w:rsidRDefault="00E67C6E">
      <w:pPr>
        <w:spacing w:after="12"/>
        <w:ind w:left="1558" w:right="302" w:firstLine="0"/>
      </w:pPr>
      <w:r>
        <w:t xml:space="preserve">Чистая приведенная стоимость. </w:t>
      </w:r>
    </w:p>
    <w:p w:rsidR="002C0F56" w:rsidRDefault="00E67C6E">
      <w:pPr>
        <w:spacing w:after="125"/>
        <w:ind w:left="994" w:right="302"/>
      </w:pPr>
      <w:r>
        <w:t>1. Значение чистой</w:t>
      </w:r>
      <w:r>
        <w:t xml:space="preserve"> выгоды по проекту приведенной к началу расчетного периода: </w:t>
      </w:r>
    </w:p>
    <w:p w:rsidR="002C0F56" w:rsidRDefault="00E67C6E">
      <w:pPr>
        <w:spacing w:after="0" w:line="259" w:lineRule="auto"/>
        <w:ind w:left="1250" w:hanging="10"/>
        <w:jc w:val="center"/>
      </w:pPr>
      <w:r>
        <w:rPr>
          <w:i/>
          <w:sz w:val="20"/>
        </w:rPr>
        <w:t xml:space="preserve">n </w:t>
      </w:r>
      <w:r>
        <w:rPr>
          <w:i/>
        </w:rPr>
        <w:t>В</w:t>
      </w:r>
      <w:r>
        <w:rPr>
          <w:sz w:val="24"/>
        </w:rPr>
        <w:t>( )</w:t>
      </w:r>
      <w:r>
        <w:rPr>
          <w:i/>
          <w:sz w:val="24"/>
        </w:rPr>
        <w:t xml:space="preserve">і </w:t>
      </w:r>
      <w:r>
        <w:rPr>
          <w:rFonts w:ascii="Segoe UI Symbol" w:eastAsia="Segoe UI Symbol" w:hAnsi="Segoe UI Symbol" w:cs="Segoe UI Symbol"/>
        </w:rPr>
        <w:t></w:t>
      </w:r>
      <w:r>
        <w:rPr>
          <w:i/>
        </w:rPr>
        <w:t>С</w:t>
      </w:r>
      <w:r>
        <w:rPr>
          <w:sz w:val="24"/>
        </w:rPr>
        <w:t>( )</w:t>
      </w:r>
      <w:r>
        <w:rPr>
          <w:i/>
          <w:sz w:val="24"/>
        </w:rPr>
        <w:t>і</w:t>
      </w:r>
    </w:p>
    <w:p w:rsidR="002C0F56" w:rsidRDefault="00E67C6E">
      <w:pPr>
        <w:tabs>
          <w:tab w:val="center" w:pos="3551"/>
          <w:tab w:val="center" w:pos="8462"/>
        </w:tabs>
        <w:spacing w:after="80"/>
        <w:ind w:left="0" w:firstLine="0"/>
        <w:jc w:val="left"/>
      </w:pPr>
      <w:r>
        <w:rPr>
          <w:rFonts w:ascii="Calibri" w:eastAsia="Calibri" w:hAnsi="Calibri" w:cs="Calibri"/>
          <w:noProof/>
          <w:sz w:val="22"/>
        </w:rPr>
        <mc:AlternateContent>
          <mc:Choice Requires="wpg">
            <w:drawing>
              <wp:anchor distT="0" distB="0" distL="114300" distR="114300" simplePos="0" relativeHeight="251685888" behindDoc="1" locked="0" layoutInCell="1" allowOverlap="1">
                <wp:simplePos x="0" y="0"/>
                <wp:positionH relativeFrom="column">
                  <wp:posOffset>3599810</wp:posOffset>
                </wp:positionH>
                <wp:positionV relativeFrom="paragraph">
                  <wp:posOffset>105057</wp:posOffset>
                </wp:positionV>
                <wp:extent cx="736905" cy="175467"/>
                <wp:effectExtent l="0" t="0" r="0" b="0"/>
                <wp:wrapNone/>
                <wp:docPr id="668992" name="Group 668992"/>
                <wp:cNvGraphicFramePr/>
                <a:graphic xmlns:a="http://schemas.openxmlformats.org/drawingml/2006/main">
                  <a:graphicData uri="http://schemas.microsoft.com/office/word/2010/wordprocessingGroup">
                    <wpg:wgp>
                      <wpg:cNvGrpSpPr/>
                      <wpg:grpSpPr>
                        <a:xfrm>
                          <a:off x="0" y="0"/>
                          <a:ext cx="736905" cy="175467"/>
                          <a:chOff x="0" y="0"/>
                          <a:chExt cx="736905" cy="175467"/>
                        </a:xfrm>
                      </wpg:grpSpPr>
                      <wps:wsp>
                        <wps:cNvPr id="74269" name="Shape 74269"/>
                        <wps:cNvSpPr/>
                        <wps:spPr>
                          <a:xfrm>
                            <a:off x="475109" y="24852"/>
                            <a:ext cx="0" cy="150615"/>
                          </a:xfrm>
                          <a:custGeom>
                            <a:avLst/>
                            <a:gdLst/>
                            <a:ahLst/>
                            <a:cxnLst/>
                            <a:rect l="0" t="0" r="0" b="0"/>
                            <a:pathLst>
                              <a:path h="150615">
                                <a:moveTo>
                                  <a:pt x="0" y="0"/>
                                </a:moveTo>
                                <a:lnTo>
                                  <a:pt x="0" y="150615"/>
                                </a:lnTo>
                              </a:path>
                            </a:pathLst>
                          </a:custGeom>
                          <a:ln w="6069" cap="flat">
                            <a:round/>
                          </a:ln>
                        </wps:spPr>
                        <wps:style>
                          <a:lnRef idx="1">
                            <a:srgbClr val="000000"/>
                          </a:lnRef>
                          <a:fillRef idx="0">
                            <a:srgbClr val="000000">
                              <a:alpha val="0"/>
                            </a:srgbClr>
                          </a:fillRef>
                          <a:effectRef idx="0">
                            <a:scrgbClr r="0" g="0" b="0"/>
                          </a:effectRef>
                          <a:fontRef idx="none"/>
                        </wps:style>
                        <wps:bodyPr/>
                      </wps:wsp>
                      <wps:wsp>
                        <wps:cNvPr id="74270" name="Shape 74270"/>
                        <wps:cNvSpPr/>
                        <wps:spPr>
                          <a:xfrm>
                            <a:off x="663985" y="24852"/>
                            <a:ext cx="0" cy="150615"/>
                          </a:xfrm>
                          <a:custGeom>
                            <a:avLst/>
                            <a:gdLst/>
                            <a:ahLst/>
                            <a:cxnLst/>
                            <a:rect l="0" t="0" r="0" b="0"/>
                            <a:pathLst>
                              <a:path h="150615">
                                <a:moveTo>
                                  <a:pt x="0" y="0"/>
                                </a:moveTo>
                                <a:lnTo>
                                  <a:pt x="0" y="150615"/>
                                </a:lnTo>
                              </a:path>
                            </a:pathLst>
                          </a:custGeom>
                          <a:ln w="6069" cap="flat">
                            <a:round/>
                          </a:ln>
                        </wps:spPr>
                        <wps:style>
                          <a:lnRef idx="1">
                            <a:srgbClr val="000000"/>
                          </a:lnRef>
                          <a:fillRef idx="0">
                            <a:srgbClr val="000000">
                              <a:alpha val="0"/>
                            </a:srgbClr>
                          </a:fillRef>
                          <a:effectRef idx="0">
                            <a:scrgbClr r="0" g="0" b="0"/>
                          </a:effectRef>
                          <a:fontRef idx="none"/>
                        </wps:style>
                        <wps:bodyPr/>
                      </wps:wsp>
                      <wps:wsp>
                        <wps:cNvPr id="74271" name="Shape 74271"/>
                        <wps:cNvSpPr/>
                        <wps:spPr>
                          <a:xfrm>
                            <a:off x="0" y="0"/>
                            <a:ext cx="736905" cy="0"/>
                          </a:xfrm>
                          <a:custGeom>
                            <a:avLst/>
                            <a:gdLst/>
                            <a:ahLst/>
                            <a:cxnLst/>
                            <a:rect l="0" t="0" r="0" b="0"/>
                            <a:pathLst>
                              <a:path w="736905">
                                <a:moveTo>
                                  <a:pt x="0" y="0"/>
                                </a:moveTo>
                                <a:lnTo>
                                  <a:pt x="736905" y="0"/>
                                </a:lnTo>
                              </a:path>
                            </a:pathLst>
                          </a:custGeom>
                          <a:ln w="88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8992" style="width:58.024pt;height:13.8163pt;position:absolute;z-index:-2147483567;mso-position-horizontal-relative:text;mso-position-horizontal:absolute;margin-left:283.45pt;mso-position-vertical-relative:text;margin-top:8.27219pt;" coordsize="7369,1754">
                <v:shape id="Shape 74269" style="position:absolute;width:0;height:1506;left:4751;top:248;" coordsize="0,150615" path="m0,0l0,150615">
                  <v:stroke weight="0.477843pt" endcap="flat" joinstyle="round" on="true" color="#000000"/>
                  <v:fill on="false" color="#000000" opacity="0"/>
                </v:shape>
                <v:shape id="Shape 74270" style="position:absolute;width:0;height:1506;left:6639;top:248;" coordsize="0,150615" path="m0,0l0,150615">
                  <v:stroke weight="0.477843pt" endcap="flat" joinstyle="round" on="true" color="#000000"/>
                  <v:fill on="false" color="#000000" opacity="0"/>
                </v:shape>
                <v:shape id="Shape 74271" style="position:absolute;width:7369;height:0;left:0;top:0;" coordsize="736905,0" path="m0,0l736905,0">
                  <v:stroke weight="0.692877pt" endcap="flat" joinstyle="round" on="true" color="#000000"/>
                  <v:fill on="false" color="#000000" opacity="0"/>
                </v:shape>
              </v:group>
            </w:pict>
          </mc:Fallback>
        </mc:AlternateContent>
      </w:r>
      <w:r>
        <w:rPr>
          <w:rFonts w:ascii="Calibri" w:eastAsia="Calibri" w:hAnsi="Calibri" w:cs="Calibri"/>
          <w:sz w:val="22"/>
        </w:rPr>
        <w:tab/>
      </w:r>
      <w:r>
        <w:t xml:space="preserve">                                              </w:t>
      </w:r>
      <w:r>
        <w:rPr>
          <w:i/>
        </w:rPr>
        <w:t>Э</w:t>
      </w:r>
      <w:r>
        <w:rPr>
          <w:rFonts w:ascii="Segoe UI Symbol" w:eastAsia="Segoe UI Symbol" w:hAnsi="Segoe UI Symbol" w:cs="Segoe UI Symbol"/>
        </w:rPr>
        <w:t xml:space="preserve"> </w:t>
      </w:r>
      <w:r>
        <w:rPr>
          <w:rFonts w:ascii="Segoe UI Symbol" w:eastAsia="Segoe UI Symbol" w:hAnsi="Segoe UI Symbol" w:cs="Segoe UI Symbol"/>
        </w:rPr>
        <w:t></w:t>
      </w:r>
      <w:r>
        <w:rPr>
          <w:rFonts w:ascii="Segoe UI Symbol" w:eastAsia="Segoe UI Symbol" w:hAnsi="Segoe UI Symbol" w:cs="Segoe UI Symbol"/>
        </w:rPr>
        <w:tab/>
      </w:r>
      <w:r>
        <w:rPr>
          <w:i/>
          <w:vertAlign w:val="subscript"/>
        </w:rPr>
        <w:t>t i</w:t>
      </w:r>
      <w:r>
        <w:rPr>
          <w:rFonts w:ascii="Segoe UI Symbol" w:eastAsia="Segoe UI Symbol" w:hAnsi="Segoe UI Symbol" w:cs="Segoe UI Symbol"/>
          <w:sz w:val="20"/>
        </w:rPr>
        <w:t xml:space="preserve"> </w:t>
      </w:r>
      <w:r>
        <w:t>,</w:t>
      </w:r>
      <w:r>
        <w:t xml:space="preserve">                                              (9) </w:t>
      </w:r>
    </w:p>
    <w:p w:rsidR="002C0F56" w:rsidRDefault="00E67C6E">
      <w:pPr>
        <w:spacing w:after="126" w:line="268" w:lineRule="auto"/>
        <w:ind w:left="1262" w:right="558" w:hanging="10"/>
        <w:jc w:val="center"/>
      </w:pPr>
      <w:r>
        <w:rPr>
          <w:i/>
          <w:sz w:val="20"/>
        </w:rPr>
        <w:t xml:space="preserve">i </w:t>
      </w:r>
      <w:r>
        <w:rPr>
          <w:rFonts w:ascii="Segoe UI Symbol" w:eastAsia="Segoe UI Symbol" w:hAnsi="Segoe UI Symbol" w:cs="Segoe UI Symbol"/>
          <w:sz w:val="20"/>
        </w:rPr>
        <w:t xml:space="preserve"> </w:t>
      </w:r>
      <w:r>
        <w:rPr>
          <w:sz w:val="20"/>
        </w:rPr>
        <w:t xml:space="preserve">1 </w:t>
      </w:r>
      <w:r>
        <w:t>(1</w:t>
      </w:r>
      <w:r>
        <w:rPr>
          <w:rFonts w:ascii="Segoe UI Symbol" w:eastAsia="Segoe UI Symbol" w:hAnsi="Segoe UI Symbol" w:cs="Segoe UI Symbol"/>
        </w:rPr>
        <w:t xml:space="preserve"> </w:t>
      </w:r>
      <w:r>
        <w:rPr>
          <w:i/>
        </w:rPr>
        <w:t>r</w:t>
      </w:r>
      <w:r>
        <w:t>)</w:t>
      </w:r>
    </w:p>
    <w:p w:rsidR="002C0F56" w:rsidRDefault="00E67C6E">
      <w:pPr>
        <w:spacing w:after="114"/>
        <w:ind w:left="1558" w:right="302" w:firstLine="0"/>
      </w:pPr>
      <w:r>
        <w:t xml:space="preserve">где </w:t>
      </w:r>
      <w:r>
        <w:rPr>
          <w:i/>
        </w:rPr>
        <w:t>В</w:t>
      </w:r>
      <w:r>
        <w:rPr>
          <w:sz w:val="24"/>
        </w:rPr>
        <w:t>( )</w:t>
      </w:r>
      <w:r>
        <w:rPr>
          <w:i/>
          <w:sz w:val="37"/>
          <w:vertAlign w:val="subscript"/>
        </w:rPr>
        <w:t>і</w:t>
      </w:r>
      <w:r>
        <w:t xml:space="preserve"> – </w:t>
      </w:r>
      <w:r>
        <w:t xml:space="preserve">выручка от продажи продукции, которая будет произведена в </w:t>
      </w:r>
    </w:p>
    <w:p w:rsidR="002C0F56" w:rsidRDefault="00E67C6E">
      <w:pPr>
        <w:ind w:left="994" w:right="302" w:firstLine="0"/>
      </w:pPr>
      <w:r>
        <w:t xml:space="preserve">результате инвестиций в </w:t>
      </w:r>
      <w:r>
        <w:rPr>
          <w:i/>
        </w:rPr>
        <w:t>i</w:t>
      </w:r>
      <w:r>
        <w:t xml:space="preserve">-м году; </w:t>
      </w:r>
    </w:p>
    <w:p w:rsidR="002C0F56" w:rsidRDefault="00E67C6E">
      <w:pPr>
        <w:spacing w:after="0" w:line="421" w:lineRule="auto"/>
        <w:ind w:left="1558" w:right="3844" w:firstLine="27"/>
      </w:pPr>
      <w:r>
        <w:rPr>
          <w:i/>
        </w:rPr>
        <w:lastRenderedPageBreak/>
        <w:t>С</w:t>
      </w:r>
      <w:r>
        <w:rPr>
          <w:sz w:val="24"/>
        </w:rPr>
        <w:t>( )</w:t>
      </w:r>
      <w:r>
        <w:rPr>
          <w:i/>
          <w:sz w:val="37"/>
          <w:vertAlign w:val="subscript"/>
        </w:rPr>
        <w:t>і</w:t>
      </w:r>
      <w:r>
        <w:t xml:space="preserve"> – полные затраты по проекту в </w:t>
      </w:r>
      <w:r>
        <w:rPr>
          <w:i/>
        </w:rPr>
        <w:t>i</w:t>
      </w:r>
      <w:r>
        <w:t xml:space="preserve">-м году; </w:t>
      </w:r>
      <w:r>
        <w:rPr>
          <w:i/>
        </w:rPr>
        <w:t>r</w:t>
      </w:r>
      <w:r>
        <w:t xml:space="preserve"> – ставка дисконта; </w:t>
      </w:r>
    </w:p>
    <w:p w:rsidR="002C0F56" w:rsidRDefault="00E67C6E">
      <w:pPr>
        <w:ind w:left="1558" w:right="302" w:firstLine="0"/>
      </w:pPr>
      <w:r>
        <w:rPr>
          <w:i/>
        </w:rPr>
        <w:t xml:space="preserve">t </w:t>
      </w:r>
      <w:r>
        <w:t xml:space="preserve">– год, к которому приводятся экономические показатели и год, в котором </w:t>
      </w:r>
    </w:p>
    <w:p w:rsidR="002C0F56" w:rsidRDefault="00E67C6E">
      <w:pPr>
        <w:spacing w:after="78"/>
        <w:ind w:left="1558" w:right="2339" w:hanging="564"/>
      </w:pPr>
      <w:r>
        <w:rPr>
          <w:rFonts w:ascii="Calibri" w:eastAsia="Calibri" w:hAnsi="Calibri" w:cs="Calibri"/>
          <w:noProof/>
          <w:sz w:val="22"/>
        </w:rPr>
        <mc:AlternateContent>
          <mc:Choice Requires="wpg">
            <w:drawing>
              <wp:anchor distT="0" distB="0" distL="114300" distR="114300" simplePos="0" relativeHeight="251686912" behindDoc="1" locked="0" layoutInCell="1" allowOverlap="1">
                <wp:simplePos x="0" y="0"/>
                <wp:positionH relativeFrom="column">
                  <wp:posOffset>3177746</wp:posOffset>
                </wp:positionH>
                <wp:positionV relativeFrom="paragraph">
                  <wp:posOffset>190081</wp:posOffset>
                </wp:positionV>
                <wp:extent cx="305558" cy="210927"/>
                <wp:effectExtent l="0" t="0" r="0" b="0"/>
                <wp:wrapNone/>
                <wp:docPr id="668993" name="Group 668993"/>
                <wp:cNvGraphicFramePr/>
                <a:graphic xmlns:a="http://schemas.openxmlformats.org/drawingml/2006/main">
                  <a:graphicData uri="http://schemas.microsoft.com/office/word/2010/wordprocessingGroup">
                    <wpg:wgp>
                      <wpg:cNvGrpSpPr/>
                      <wpg:grpSpPr>
                        <a:xfrm>
                          <a:off x="0" y="0"/>
                          <a:ext cx="305558" cy="210927"/>
                          <a:chOff x="0" y="0"/>
                          <a:chExt cx="305558" cy="210927"/>
                        </a:xfrm>
                      </wpg:grpSpPr>
                      <wps:wsp>
                        <wps:cNvPr id="74336" name="Shape 74336"/>
                        <wps:cNvSpPr/>
                        <wps:spPr>
                          <a:xfrm>
                            <a:off x="0" y="0"/>
                            <a:ext cx="0" cy="210927"/>
                          </a:xfrm>
                          <a:custGeom>
                            <a:avLst/>
                            <a:gdLst/>
                            <a:ahLst/>
                            <a:cxnLst/>
                            <a:rect l="0" t="0" r="0" b="0"/>
                            <a:pathLst>
                              <a:path h="210927">
                                <a:moveTo>
                                  <a:pt x="0" y="0"/>
                                </a:moveTo>
                                <a:lnTo>
                                  <a:pt x="0" y="210927"/>
                                </a:lnTo>
                              </a:path>
                            </a:pathLst>
                          </a:custGeom>
                          <a:ln w="8911" cap="flat">
                            <a:round/>
                          </a:ln>
                        </wps:spPr>
                        <wps:style>
                          <a:lnRef idx="1">
                            <a:srgbClr val="000000"/>
                          </a:lnRef>
                          <a:fillRef idx="0">
                            <a:srgbClr val="000000">
                              <a:alpha val="0"/>
                            </a:srgbClr>
                          </a:fillRef>
                          <a:effectRef idx="0">
                            <a:scrgbClr r="0" g="0" b="0"/>
                          </a:effectRef>
                          <a:fontRef idx="none"/>
                        </wps:style>
                        <wps:bodyPr/>
                      </wps:wsp>
                      <wps:wsp>
                        <wps:cNvPr id="74337" name="Shape 74337"/>
                        <wps:cNvSpPr/>
                        <wps:spPr>
                          <a:xfrm>
                            <a:off x="305557" y="1"/>
                            <a:ext cx="0" cy="210926"/>
                          </a:xfrm>
                          <a:custGeom>
                            <a:avLst/>
                            <a:gdLst/>
                            <a:ahLst/>
                            <a:cxnLst/>
                            <a:rect l="0" t="0" r="0" b="0"/>
                            <a:pathLst>
                              <a:path h="210926">
                                <a:moveTo>
                                  <a:pt x="0" y="0"/>
                                </a:moveTo>
                                <a:lnTo>
                                  <a:pt x="0" y="210926"/>
                                </a:lnTo>
                              </a:path>
                            </a:pathLst>
                          </a:custGeom>
                          <a:ln w="8911"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8993" style="width:24.0597pt;height:16.6084pt;position:absolute;z-index:-2147483501;mso-position-horizontal-relative:text;mso-position-horizontal:absolute;margin-left:250.216pt;mso-position-vertical-relative:text;margin-top:14.967pt;" coordsize="3055,2109">
                <v:shape id="Shape 74336" style="position:absolute;width:0;height:2109;left:0;top:0;" coordsize="0,210927" path="m0,0l0,210927">
                  <v:stroke weight="0.701629pt" endcap="flat" joinstyle="round" on="true" color="#000000"/>
                  <v:fill on="false" color="#000000" opacity="0"/>
                </v:shape>
                <v:shape id="Shape 74337" style="position:absolute;width:0;height:2109;left:3055;top:0;" coordsize="0,210926" path="m0,0l0,210926">
                  <v:stroke weight="0.701629pt" endcap="flat" joinstyle="round" on="true" color="#000000"/>
                  <v:fill on="false" color="#000000" opacity="0"/>
                </v:shape>
              </v:group>
            </w:pict>
          </mc:Fallback>
        </mc:AlternateContent>
      </w:r>
      <w:r>
        <w:t>реализуются экономические показатели (доходы и расходы); (1 +</w:t>
      </w:r>
      <w:r>
        <w:rPr>
          <w:i/>
        </w:rPr>
        <w:t xml:space="preserve"> r</w:t>
      </w:r>
      <w:r>
        <w:t xml:space="preserve">) – показатель степени </w:t>
      </w:r>
      <w:r>
        <w:rPr>
          <w:i/>
        </w:rPr>
        <w:t xml:space="preserve">t </w:t>
      </w:r>
      <w:r>
        <w:rPr>
          <w:rFonts w:ascii="Segoe UI Symbol" w:eastAsia="Segoe UI Symbol" w:hAnsi="Segoe UI Symbol" w:cs="Segoe UI Symbol"/>
        </w:rPr>
        <w:t></w:t>
      </w:r>
      <w:r>
        <w:rPr>
          <w:i/>
        </w:rPr>
        <w:t xml:space="preserve">i </w:t>
      </w:r>
      <w:r>
        <w:t xml:space="preserve">. </w:t>
      </w:r>
    </w:p>
    <w:p w:rsidR="002C0F56" w:rsidRDefault="00E67C6E">
      <w:pPr>
        <w:numPr>
          <w:ilvl w:val="0"/>
          <w:numId w:val="233"/>
        </w:numPr>
        <w:spacing w:after="2"/>
        <w:ind w:right="302" w:hanging="281"/>
      </w:pPr>
      <w:r>
        <w:t xml:space="preserve">Коэффициент эффективности бизнес-плана рассчитывается по формуле </w:t>
      </w:r>
      <w:r>
        <w:rPr>
          <w:i/>
          <w:sz w:val="31"/>
          <w:vertAlign w:val="superscript"/>
        </w:rPr>
        <w:t>n</w:t>
      </w:r>
      <w:r>
        <w:rPr>
          <w:i/>
          <w:sz w:val="31"/>
          <w:vertAlign w:val="superscript"/>
        </w:rPr>
        <w:tab/>
      </w:r>
      <w:r>
        <w:rPr>
          <w:i/>
        </w:rPr>
        <w:t>В</w:t>
      </w:r>
      <w:r>
        <w:rPr>
          <w:sz w:val="24"/>
        </w:rPr>
        <w:t>( )</w:t>
      </w:r>
      <w:r>
        <w:rPr>
          <w:i/>
          <w:sz w:val="24"/>
        </w:rPr>
        <w:t>і</w:t>
      </w:r>
    </w:p>
    <w:p w:rsidR="002C0F56" w:rsidRDefault="00E67C6E">
      <w:pPr>
        <w:spacing w:after="0" w:line="259" w:lineRule="auto"/>
        <w:ind w:left="5096" w:hanging="10"/>
        <w:jc w:val="left"/>
      </w:pPr>
      <w:r>
        <w:rPr>
          <w:rFonts w:ascii="Segoe UI Symbol" w:eastAsia="Segoe UI Symbol" w:hAnsi="Segoe UI Symbol" w:cs="Segoe UI Symbol"/>
        </w:rPr>
        <w:t></w:t>
      </w:r>
    </w:p>
    <w:p w:rsidR="002C0F56" w:rsidRDefault="00E67C6E">
      <w:pPr>
        <w:spacing w:after="3" w:line="259" w:lineRule="auto"/>
        <w:ind w:left="1243" w:right="862" w:hanging="10"/>
        <w:jc w:val="center"/>
      </w:pPr>
      <w:r>
        <w:rPr>
          <w:rFonts w:ascii="Calibri" w:eastAsia="Calibri" w:hAnsi="Calibri" w:cs="Calibri"/>
          <w:noProof/>
          <w:sz w:val="22"/>
        </w:rPr>
        <mc:AlternateContent>
          <mc:Choice Requires="wpg">
            <w:drawing>
              <wp:anchor distT="0" distB="0" distL="114300" distR="114300" simplePos="0" relativeHeight="251687936" behindDoc="1" locked="0" layoutInCell="1" allowOverlap="1">
                <wp:simplePos x="0" y="0"/>
                <wp:positionH relativeFrom="column">
                  <wp:posOffset>3199209</wp:posOffset>
                </wp:positionH>
                <wp:positionV relativeFrom="paragraph">
                  <wp:posOffset>-85040</wp:posOffset>
                </wp:positionV>
                <wp:extent cx="853887" cy="740875"/>
                <wp:effectExtent l="0" t="0" r="0" b="0"/>
                <wp:wrapNone/>
                <wp:docPr id="668994" name="Group 668994"/>
                <wp:cNvGraphicFramePr/>
                <a:graphic xmlns:a="http://schemas.openxmlformats.org/drawingml/2006/main">
                  <a:graphicData uri="http://schemas.microsoft.com/office/word/2010/wordprocessingGroup">
                    <wpg:wgp>
                      <wpg:cNvGrpSpPr/>
                      <wpg:grpSpPr>
                        <a:xfrm>
                          <a:off x="0" y="0"/>
                          <a:ext cx="853887" cy="740875"/>
                          <a:chOff x="0" y="0"/>
                          <a:chExt cx="853887" cy="740875"/>
                        </a:xfrm>
                      </wpg:grpSpPr>
                      <wps:wsp>
                        <wps:cNvPr id="74348" name="Shape 74348"/>
                        <wps:cNvSpPr/>
                        <wps:spPr>
                          <a:xfrm>
                            <a:off x="600704" y="32226"/>
                            <a:ext cx="0" cy="151091"/>
                          </a:xfrm>
                          <a:custGeom>
                            <a:avLst/>
                            <a:gdLst/>
                            <a:ahLst/>
                            <a:cxnLst/>
                            <a:rect l="0" t="0" r="0" b="0"/>
                            <a:pathLst>
                              <a:path h="151091">
                                <a:moveTo>
                                  <a:pt x="0" y="0"/>
                                </a:moveTo>
                                <a:lnTo>
                                  <a:pt x="0" y="151091"/>
                                </a:lnTo>
                              </a:path>
                            </a:pathLst>
                          </a:custGeom>
                          <a:ln w="6086" cap="flat">
                            <a:round/>
                          </a:ln>
                        </wps:spPr>
                        <wps:style>
                          <a:lnRef idx="1">
                            <a:srgbClr val="000000"/>
                          </a:lnRef>
                          <a:fillRef idx="0">
                            <a:srgbClr val="000000">
                              <a:alpha val="0"/>
                            </a:srgbClr>
                          </a:fillRef>
                          <a:effectRef idx="0">
                            <a:scrgbClr r="0" g="0" b="0"/>
                          </a:effectRef>
                          <a:fontRef idx="none"/>
                        </wps:style>
                        <wps:bodyPr/>
                      </wps:wsp>
                      <wps:wsp>
                        <wps:cNvPr id="74349" name="Shape 74349"/>
                        <wps:cNvSpPr/>
                        <wps:spPr>
                          <a:xfrm>
                            <a:off x="790585" y="32226"/>
                            <a:ext cx="0" cy="151091"/>
                          </a:xfrm>
                          <a:custGeom>
                            <a:avLst/>
                            <a:gdLst/>
                            <a:ahLst/>
                            <a:cxnLst/>
                            <a:rect l="0" t="0" r="0" b="0"/>
                            <a:pathLst>
                              <a:path h="151091">
                                <a:moveTo>
                                  <a:pt x="0" y="0"/>
                                </a:moveTo>
                                <a:lnTo>
                                  <a:pt x="0" y="151091"/>
                                </a:lnTo>
                              </a:path>
                            </a:pathLst>
                          </a:custGeom>
                          <a:ln w="6086" cap="flat">
                            <a:round/>
                          </a:ln>
                        </wps:spPr>
                        <wps:style>
                          <a:lnRef idx="1">
                            <a:srgbClr val="000000"/>
                          </a:lnRef>
                          <a:fillRef idx="0">
                            <a:srgbClr val="000000">
                              <a:alpha val="0"/>
                            </a:srgbClr>
                          </a:fillRef>
                          <a:effectRef idx="0">
                            <a:scrgbClr r="0" g="0" b="0"/>
                          </a:effectRef>
                          <a:fontRef idx="none"/>
                        </wps:style>
                        <wps:bodyPr/>
                      </wps:wsp>
                      <wps:wsp>
                        <wps:cNvPr id="74350" name="Shape 74350"/>
                        <wps:cNvSpPr/>
                        <wps:spPr>
                          <a:xfrm>
                            <a:off x="204493" y="0"/>
                            <a:ext cx="635386" cy="0"/>
                          </a:xfrm>
                          <a:custGeom>
                            <a:avLst/>
                            <a:gdLst/>
                            <a:ahLst/>
                            <a:cxnLst/>
                            <a:rect l="0" t="0" r="0" b="0"/>
                            <a:pathLst>
                              <a:path w="635386">
                                <a:moveTo>
                                  <a:pt x="0" y="0"/>
                                </a:moveTo>
                                <a:lnTo>
                                  <a:pt x="635386" y="0"/>
                                </a:lnTo>
                              </a:path>
                            </a:pathLst>
                          </a:custGeom>
                          <a:ln w="4260" cap="flat">
                            <a:round/>
                          </a:ln>
                        </wps:spPr>
                        <wps:style>
                          <a:lnRef idx="1">
                            <a:srgbClr val="000000"/>
                          </a:lnRef>
                          <a:fillRef idx="0">
                            <a:srgbClr val="000000">
                              <a:alpha val="0"/>
                            </a:srgbClr>
                          </a:fillRef>
                          <a:effectRef idx="0">
                            <a:scrgbClr r="0" g="0" b="0"/>
                          </a:effectRef>
                          <a:fontRef idx="none"/>
                        </wps:style>
                        <wps:bodyPr/>
                      </wps:wsp>
                      <wps:wsp>
                        <wps:cNvPr id="74351" name="Shape 74351"/>
                        <wps:cNvSpPr/>
                        <wps:spPr>
                          <a:xfrm>
                            <a:off x="600704" y="589784"/>
                            <a:ext cx="0" cy="151091"/>
                          </a:xfrm>
                          <a:custGeom>
                            <a:avLst/>
                            <a:gdLst/>
                            <a:ahLst/>
                            <a:cxnLst/>
                            <a:rect l="0" t="0" r="0" b="0"/>
                            <a:pathLst>
                              <a:path h="151091">
                                <a:moveTo>
                                  <a:pt x="0" y="0"/>
                                </a:moveTo>
                                <a:lnTo>
                                  <a:pt x="0" y="151091"/>
                                </a:lnTo>
                              </a:path>
                            </a:pathLst>
                          </a:custGeom>
                          <a:ln w="6086" cap="flat">
                            <a:round/>
                          </a:ln>
                        </wps:spPr>
                        <wps:style>
                          <a:lnRef idx="1">
                            <a:srgbClr val="000000"/>
                          </a:lnRef>
                          <a:fillRef idx="0">
                            <a:srgbClr val="000000">
                              <a:alpha val="0"/>
                            </a:srgbClr>
                          </a:fillRef>
                          <a:effectRef idx="0">
                            <a:scrgbClr r="0" g="0" b="0"/>
                          </a:effectRef>
                          <a:fontRef idx="none"/>
                        </wps:style>
                        <wps:bodyPr/>
                      </wps:wsp>
                      <wps:wsp>
                        <wps:cNvPr id="74352" name="Shape 74352"/>
                        <wps:cNvSpPr/>
                        <wps:spPr>
                          <a:xfrm>
                            <a:off x="790585" y="589784"/>
                            <a:ext cx="0" cy="151091"/>
                          </a:xfrm>
                          <a:custGeom>
                            <a:avLst/>
                            <a:gdLst/>
                            <a:ahLst/>
                            <a:cxnLst/>
                            <a:rect l="0" t="0" r="0" b="0"/>
                            <a:pathLst>
                              <a:path h="151091">
                                <a:moveTo>
                                  <a:pt x="0" y="0"/>
                                </a:moveTo>
                                <a:lnTo>
                                  <a:pt x="0" y="151091"/>
                                </a:lnTo>
                              </a:path>
                            </a:pathLst>
                          </a:custGeom>
                          <a:ln w="6086" cap="flat">
                            <a:round/>
                          </a:ln>
                        </wps:spPr>
                        <wps:style>
                          <a:lnRef idx="1">
                            <a:srgbClr val="000000"/>
                          </a:lnRef>
                          <a:fillRef idx="0">
                            <a:srgbClr val="000000">
                              <a:alpha val="0"/>
                            </a:srgbClr>
                          </a:fillRef>
                          <a:effectRef idx="0">
                            <a:scrgbClr r="0" g="0" b="0"/>
                          </a:effectRef>
                          <a:fontRef idx="none"/>
                        </wps:style>
                        <wps:bodyPr/>
                      </wps:wsp>
                      <wps:wsp>
                        <wps:cNvPr id="74353" name="Shape 74353"/>
                        <wps:cNvSpPr/>
                        <wps:spPr>
                          <a:xfrm>
                            <a:off x="204493" y="557558"/>
                            <a:ext cx="635385" cy="0"/>
                          </a:xfrm>
                          <a:custGeom>
                            <a:avLst/>
                            <a:gdLst/>
                            <a:ahLst/>
                            <a:cxnLst/>
                            <a:rect l="0" t="0" r="0" b="0"/>
                            <a:pathLst>
                              <a:path w="635385">
                                <a:moveTo>
                                  <a:pt x="0" y="0"/>
                                </a:moveTo>
                                <a:lnTo>
                                  <a:pt x="635385" y="0"/>
                                </a:lnTo>
                              </a:path>
                            </a:pathLst>
                          </a:custGeom>
                          <a:ln w="4260" cap="flat">
                            <a:round/>
                          </a:ln>
                        </wps:spPr>
                        <wps:style>
                          <a:lnRef idx="1">
                            <a:srgbClr val="000000"/>
                          </a:lnRef>
                          <a:fillRef idx="0">
                            <a:srgbClr val="000000">
                              <a:alpha val="0"/>
                            </a:srgbClr>
                          </a:fillRef>
                          <a:effectRef idx="0">
                            <a:scrgbClr r="0" g="0" b="0"/>
                          </a:effectRef>
                          <a:fontRef idx="none"/>
                        </wps:style>
                        <wps:bodyPr/>
                      </wps:wsp>
                      <wps:wsp>
                        <wps:cNvPr id="74354" name="Shape 74354"/>
                        <wps:cNvSpPr/>
                        <wps:spPr>
                          <a:xfrm>
                            <a:off x="0" y="323162"/>
                            <a:ext cx="853887" cy="0"/>
                          </a:xfrm>
                          <a:custGeom>
                            <a:avLst/>
                            <a:gdLst/>
                            <a:ahLst/>
                            <a:cxnLst/>
                            <a:rect l="0" t="0" r="0" b="0"/>
                            <a:pathLst>
                              <a:path w="853887">
                                <a:moveTo>
                                  <a:pt x="0" y="0"/>
                                </a:moveTo>
                                <a:lnTo>
                                  <a:pt x="853887" y="0"/>
                                </a:lnTo>
                              </a:path>
                            </a:pathLst>
                          </a:custGeom>
                          <a:ln w="88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8994" style="width:67.2352pt;height:58.3366pt;position:absolute;z-index:-2147483486;mso-position-horizontal-relative:text;mso-position-horizontal:absolute;margin-left:251.906pt;mso-position-vertical-relative:text;margin-top:-6.69617pt;" coordsize="8538,7408">
                <v:shape id="Shape 74348" style="position:absolute;width:0;height:1510;left:6007;top:322;" coordsize="0,151091" path="m0,0l0,151091">
                  <v:stroke weight="0.479223pt" endcap="flat" joinstyle="round" on="true" color="#000000"/>
                  <v:fill on="false" color="#000000" opacity="0"/>
                </v:shape>
                <v:shape id="Shape 74349" style="position:absolute;width:0;height:1510;left:7905;top:322;" coordsize="0,151091" path="m0,0l0,151091">
                  <v:stroke weight="0.479223pt" endcap="flat" joinstyle="round" on="true" color="#000000"/>
                  <v:fill on="false" color="#000000" opacity="0"/>
                </v:shape>
                <v:shape id="Shape 74350" style="position:absolute;width:6353;height:0;left:2044;top:0;" coordsize="635386,0" path="m0,0l635386,0">
                  <v:stroke weight="0.335453pt" endcap="flat" joinstyle="round" on="true" color="#000000"/>
                  <v:fill on="false" color="#000000" opacity="0"/>
                </v:shape>
                <v:shape id="Shape 74351" style="position:absolute;width:0;height:1510;left:6007;top:5897;" coordsize="0,151091" path="m0,0l0,151091">
                  <v:stroke weight="0.479223pt" endcap="flat" joinstyle="round" on="true" color="#000000"/>
                  <v:fill on="false" color="#000000" opacity="0"/>
                </v:shape>
                <v:shape id="Shape 74352" style="position:absolute;width:0;height:1510;left:7905;top:5897;" coordsize="0,151091" path="m0,0l0,151091">
                  <v:stroke weight="0.479223pt" endcap="flat" joinstyle="round" on="true" color="#000000"/>
                  <v:fill on="false" color="#000000" opacity="0"/>
                </v:shape>
                <v:shape id="Shape 74353" style="position:absolute;width:6353;height:0;left:2044;top:5575;" coordsize="635385,0" path="m0,0l635385,0">
                  <v:stroke weight="0.335453pt" endcap="flat" joinstyle="round" on="true" color="#000000"/>
                  <v:fill on="false" color="#000000" opacity="0"/>
                </v:shape>
                <v:shape id="Shape 74354" style="position:absolute;width:8538;height:0;left:0;top:3231;" coordsize="853887,0" path="m0,0l853887,0">
                  <v:stroke weight="0.694878pt" endcap="flat" joinstyle="round" on="true" color="#000000"/>
                  <v:fill on="false" color="#000000" opacity="0"/>
                </v:shape>
              </v:group>
            </w:pict>
          </mc:Fallback>
        </mc:AlternateContent>
      </w:r>
      <w:r>
        <w:rPr>
          <w:i/>
          <w:sz w:val="20"/>
        </w:rPr>
        <w:t>i</w:t>
      </w:r>
      <w:r>
        <w:rPr>
          <w:rFonts w:ascii="Segoe UI Symbol" w:eastAsia="Segoe UI Symbol" w:hAnsi="Segoe UI Symbol" w:cs="Segoe UI Symbol"/>
          <w:sz w:val="20"/>
        </w:rPr>
        <w:t></w:t>
      </w:r>
      <w:r>
        <w:rPr>
          <w:sz w:val="20"/>
        </w:rPr>
        <w:t>1</w:t>
      </w:r>
      <w:r>
        <w:t>(1</w:t>
      </w:r>
      <w:r>
        <w:rPr>
          <w:rFonts w:ascii="Segoe UI Symbol" w:eastAsia="Segoe UI Symbol" w:hAnsi="Segoe UI Symbol" w:cs="Segoe UI Symbol"/>
        </w:rPr>
        <w:t></w:t>
      </w:r>
      <w:r>
        <w:rPr>
          <w:i/>
        </w:rPr>
        <w:t>r</w:t>
      </w:r>
      <w:r>
        <w:t xml:space="preserve">) </w:t>
      </w:r>
      <w:r>
        <w:rPr>
          <w:i/>
          <w:sz w:val="20"/>
        </w:rPr>
        <w:t>t i</w:t>
      </w:r>
      <w:r>
        <w:rPr>
          <w:rFonts w:ascii="Segoe UI Symbol" w:eastAsia="Segoe UI Symbol" w:hAnsi="Segoe UI Symbol" w:cs="Segoe UI Symbol"/>
          <w:sz w:val="20"/>
        </w:rPr>
        <w:t></w:t>
      </w:r>
    </w:p>
    <w:p w:rsidR="002C0F56" w:rsidRDefault="00E67C6E">
      <w:pPr>
        <w:spacing w:after="12"/>
        <w:ind w:left="1558" w:right="302" w:firstLine="0"/>
      </w:pPr>
      <w:r>
        <w:t xml:space="preserve">                                           </w:t>
      </w:r>
      <w:r>
        <w:rPr>
          <w:i/>
        </w:rPr>
        <w:t xml:space="preserve">е </w:t>
      </w:r>
      <w:r>
        <w:rPr>
          <w:rFonts w:ascii="Segoe UI Symbol" w:eastAsia="Segoe UI Symbol" w:hAnsi="Segoe UI Symbol" w:cs="Segoe UI Symbol"/>
        </w:rPr>
        <w:t></w:t>
      </w:r>
      <w:r>
        <w:t>,</w:t>
      </w:r>
      <w:r>
        <w:t xml:space="preserve">                                                 (10) </w:t>
      </w:r>
    </w:p>
    <w:p w:rsidR="002C0F56" w:rsidRDefault="00E67C6E">
      <w:pPr>
        <w:tabs>
          <w:tab w:val="center" w:pos="5186"/>
          <w:tab w:val="center" w:pos="5845"/>
        </w:tabs>
        <w:spacing w:after="0" w:line="259" w:lineRule="auto"/>
        <w:ind w:left="0" w:firstLine="0"/>
        <w:jc w:val="left"/>
      </w:pPr>
      <w:r>
        <w:rPr>
          <w:rFonts w:ascii="Calibri" w:eastAsia="Calibri" w:hAnsi="Calibri" w:cs="Calibri"/>
          <w:sz w:val="22"/>
        </w:rPr>
        <w:tab/>
      </w:r>
      <w:r>
        <w:rPr>
          <w:i/>
          <w:sz w:val="31"/>
          <w:vertAlign w:val="superscript"/>
        </w:rPr>
        <w:t>n</w:t>
      </w:r>
      <w:r>
        <w:rPr>
          <w:i/>
          <w:sz w:val="31"/>
          <w:vertAlign w:val="superscript"/>
        </w:rPr>
        <w:tab/>
      </w:r>
      <w:r>
        <w:rPr>
          <w:i/>
        </w:rPr>
        <w:t>С</w:t>
      </w:r>
      <w:r>
        <w:rPr>
          <w:sz w:val="24"/>
        </w:rPr>
        <w:t>( )</w:t>
      </w:r>
      <w:r>
        <w:rPr>
          <w:i/>
          <w:sz w:val="24"/>
        </w:rPr>
        <w:t>і</w:t>
      </w:r>
    </w:p>
    <w:p w:rsidR="002C0F56" w:rsidRDefault="00E67C6E">
      <w:pPr>
        <w:spacing w:after="0" w:line="259" w:lineRule="auto"/>
        <w:ind w:left="5096" w:hanging="10"/>
        <w:jc w:val="left"/>
      </w:pPr>
      <w:r>
        <w:rPr>
          <w:rFonts w:ascii="Segoe UI Symbol" w:eastAsia="Segoe UI Symbol" w:hAnsi="Segoe UI Symbol" w:cs="Segoe UI Symbol"/>
        </w:rPr>
        <w:t></w:t>
      </w:r>
    </w:p>
    <w:p w:rsidR="002C0F56" w:rsidRDefault="00E67C6E">
      <w:pPr>
        <w:spacing w:after="3" w:line="259" w:lineRule="auto"/>
        <w:ind w:left="1243" w:right="862" w:hanging="10"/>
        <w:jc w:val="center"/>
      </w:pPr>
      <w:r>
        <w:rPr>
          <w:i/>
          <w:sz w:val="20"/>
        </w:rPr>
        <w:t>i</w:t>
      </w:r>
      <w:r>
        <w:rPr>
          <w:rFonts w:ascii="Segoe UI Symbol" w:eastAsia="Segoe UI Symbol" w:hAnsi="Segoe UI Symbol" w:cs="Segoe UI Symbol"/>
          <w:sz w:val="20"/>
        </w:rPr>
        <w:t></w:t>
      </w:r>
      <w:r>
        <w:rPr>
          <w:sz w:val="20"/>
        </w:rPr>
        <w:t>1</w:t>
      </w:r>
      <w:r>
        <w:t>(1</w:t>
      </w:r>
      <w:r>
        <w:rPr>
          <w:rFonts w:ascii="Segoe UI Symbol" w:eastAsia="Segoe UI Symbol" w:hAnsi="Segoe UI Symbol" w:cs="Segoe UI Symbol"/>
        </w:rPr>
        <w:t></w:t>
      </w:r>
      <w:r>
        <w:rPr>
          <w:i/>
        </w:rPr>
        <w:t>r</w:t>
      </w:r>
      <w:r>
        <w:t xml:space="preserve">) </w:t>
      </w:r>
      <w:r>
        <w:rPr>
          <w:i/>
          <w:sz w:val="20"/>
        </w:rPr>
        <w:t>t i</w:t>
      </w:r>
      <w:r>
        <w:rPr>
          <w:rFonts w:ascii="Segoe UI Symbol" w:eastAsia="Segoe UI Symbol" w:hAnsi="Segoe UI Symbol" w:cs="Segoe UI Symbol"/>
          <w:sz w:val="20"/>
        </w:rPr>
        <w:t></w:t>
      </w:r>
    </w:p>
    <w:p w:rsidR="002C0F56" w:rsidRDefault="00E67C6E">
      <w:pPr>
        <w:numPr>
          <w:ilvl w:val="0"/>
          <w:numId w:val="233"/>
        </w:numPr>
        <w:spacing w:after="306"/>
        <w:ind w:right="302" w:hanging="281"/>
      </w:pPr>
      <w:r>
        <w:t xml:space="preserve">Период окупаемости проекта определяют по формуле: </w:t>
      </w:r>
    </w:p>
    <w:p w:rsidR="002C0F56" w:rsidRDefault="00E67C6E">
      <w:pPr>
        <w:spacing w:after="0" w:line="259" w:lineRule="auto"/>
        <w:ind w:left="1250" w:right="203" w:hanging="10"/>
        <w:jc w:val="center"/>
      </w:pPr>
      <w:r>
        <w:rPr>
          <w:rFonts w:ascii="Segoe UI Symbol" w:eastAsia="Segoe UI Symbol" w:hAnsi="Segoe UI Symbol" w:cs="Segoe UI Symbol"/>
        </w:rPr>
        <w:t></w:t>
      </w:r>
      <w:r>
        <w:rPr>
          <w:rFonts w:ascii="Segoe UI Symbol" w:eastAsia="Segoe UI Symbol" w:hAnsi="Segoe UI Symbol" w:cs="Segoe UI Symbol"/>
        </w:rPr>
        <w:t xml:space="preserve"> </w:t>
      </w:r>
      <w:r>
        <w:rPr>
          <w:i/>
          <w:sz w:val="20"/>
        </w:rPr>
        <w:t xml:space="preserve">n </w:t>
      </w:r>
      <w:r>
        <w:rPr>
          <w:i/>
        </w:rPr>
        <w:t>В</w:t>
      </w:r>
      <w:r>
        <w:rPr>
          <w:sz w:val="24"/>
        </w:rPr>
        <w:t>( )</w:t>
      </w:r>
      <w:r>
        <w:rPr>
          <w:i/>
          <w:sz w:val="24"/>
        </w:rPr>
        <w:t xml:space="preserve">і </w:t>
      </w:r>
      <w:r>
        <w:rPr>
          <w:rFonts w:ascii="Segoe UI Symbol" w:eastAsia="Segoe UI Symbol" w:hAnsi="Segoe UI Symbol" w:cs="Segoe UI Symbol"/>
        </w:rPr>
        <w:t></w:t>
      </w:r>
      <w:r>
        <w:rPr>
          <w:i/>
        </w:rPr>
        <w:t>С</w:t>
      </w:r>
      <w:r>
        <w:rPr>
          <w:sz w:val="24"/>
        </w:rPr>
        <w:t>( )</w:t>
      </w:r>
      <w:r>
        <w:rPr>
          <w:i/>
          <w:sz w:val="24"/>
        </w:rPr>
        <w:t xml:space="preserve">і </w:t>
      </w:r>
      <w:r>
        <w:rPr>
          <w:rFonts w:ascii="Segoe UI Symbol" w:eastAsia="Segoe UI Symbol" w:hAnsi="Segoe UI Symbol" w:cs="Segoe UI Symbol"/>
        </w:rPr>
        <w:t></w:t>
      </w:r>
      <w:r>
        <w:rPr>
          <w:rFonts w:ascii="Segoe UI Symbol" w:eastAsia="Segoe UI Symbol" w:hAnsi="Segoe UI Symbol" w:cs="Segoe UI Symbol"/>
        </w:rPr>
        <w:t></w:t>
      </w:r>
    </w:p>
    <w:p w:rsidR="002C0F56" w:rsidRDefault="00E67C6E">
      <w:pPr>
        <w:tabs>
          <w:tab w:val="center" w:pos="3517"/>
          <w:tab w:val="center" w:pos="8405"/>
        </w:tabs>
        <w:ind w:left="0" w:firstLine="0"/>
        <w:jc w:val="left"/>
      </w:pPr>
      <w:r>
        <w:rPr>
          <w:rFonts w:ascii="Calibri" w:eastAsia="Calibri" w:hAnsi="Calibri" w:cs="Calibri"/>
          <w:noProof/>
          <w:sz w:val="22"/>
        </w:rPr>
        <mc:AlternateContent>
          <mc:Choice Requires="wpg">
            <w:drawing>
              <wp:anchor distT="0" distB="0" distL="114300" distR="114300" simplePos="0" relativeHeight="251688960" behindDoc="1" locked="0" layoutInCell="1" allowOverlap="1">
                <wp:simplePos x="0" y="0"/>
                <wp:positionH relativeFrom="column">
                  <wp:posOffset>3558831</wp:posOffset>
                </wp:positionH>
                <wp:positionV relativeFrom="paragraph">
                  <wp:posOffset>98525</wp:posOffset>
                </wp:positionV>
                <wp:extent cx="739063" cy="174799"/>
                <wp:effectExtent l="0" t="0" r="0" b="0"/>
                <wp:wrapNone/>
                <wp:docPr id="667937" name="Group 667937"/>
                <wp:cNvGraphicFramePr/>
                <a:graphic xmlns:a="http://schemas.openxmlformats.org/drawingml/2006/main">
                  <a:graphicData uri="http://schemas.microsoft.com/office/word/2010/wordprocessingGroup">
                    <wpg:wgp>
                      <wpg:cNvGrpSpPr/>
                      <wpg:grpSpPr>
                        <a:xfrm>
                          <a:off x="0" y="0"/>
                          <a:ext cx="739063" cy="174799"/>
                          <a:chOff x="0" y="0"/>
                          <a:chExt cx="739063" cy="174799"/>
                        </a:xfrm>
                      </wpg:grpSpPr>
                      <wps:wsp>
                        <wps:cNvPr id="74411" name="Shape 74411"/>
                        <wps:cNvSpPr/>
                        <wps:spPr>
                          <a:xfrm>
                            <a:off x="476278" y="24971"/>
                            <a:ext cx="0" cy="149828"/>
                          </a:xfrm>
                          <a:custGeom>
                            <a:avLst/>
                            <a:gdLst/>
                            <a:ahLst/>
                            <a:cxnLst/>
                            <a:rect l="0" t="0" r="0" b="0"/>
                            <a:pathLst>
                              <a:path h="149828">
                                <a:moveTo>
                                  <a:pt x="0" y="0"/>
                                </a:moveTo>
                                <a:lnTo>
                                  <a:pt x="0" y="149828"/>
                                </a:lnTo>
                              </a:path>
                            </a:pathLst>
                          </a:custGeom>
                          <a:ln w="6098" cap="flat">
                            <a:round/>
                          </a:ln>
                        </wps:spPr>
                        <wps:style>
                          <a:lnRef idx="1">
                            <a:srgbClr val="000000"/>
                          </a:lnRef>
                          <a:fillRef idx="0">
                            <a:srgbClr val="000000">
                              <a:alpha val="0"/>
                            </a:srgbClr>
                          </a:fillRef>
                          <a:effectRef idx="0">
                            <a:scrgbClr r="0" g="0" b="0"/>
                          </a:effectRef>
                          <a:fontRef idx="none"/>
                        </wps:style>
                        <wps:bodyPr/>
                      </wps:wsp>
                      <wps:wsp>
                        <wps:cNvPr id="74412" name="Shape 74412"/>
                        <wps:cNvSpPr/>
                        <wps:spPr>
                          <a:xfrm>
                            <a:off x="666180" y="24972"/>
                            <a:ext cx="0" cy="149827"/>
                          </a:xfrm>
                          <a:custGeom>
                            <a:avLst/>
                            <a:gdLst/>
                            <a:ahLst/>
                            <a:cxnLst/>
                            <a:rect l="0" t="0" r="0" b="0"/>
                            <a:pathLst>
                              <a:path h="149827">
                                <a:moveTo>
                                  <a:pt x="0" y="0"/>
                                </a:moveTo>
                                <a:lnTo>
                                  <a:pt x="0" y="149827"/>
                                </a:lnTo>
                              </a:path>
                            </a:pathLst>
                          </a:custGeom>
                          <a:ln w="6098" cap="flat">
                            <a:round/>
                          </a:ln>
                        </wps:spPr>
                        <wps:style>
                          <a:lnRef idx="1">
                            <a:srgbClr val="000000"/>
                          </a:lnRef>
                          <a:fillRef idx="0">
                            <a:srgbClr val="000000">
                              <a:alpha val="0"/>
                            </a:srgbClr>
                          </a:fillRef>
                          <a:effectRef idx="0">
                            <a:scrgbClr r="0" g="0" b="0"/>
                          </a:effectRef>
                          <a:fontRef idx="none"/>
                        </wps:style>
                        <wps:bodyPr/>
                      </wps:wsp>
                      <wps:wsp>
                        <wps:cNvPr id="74413" name="Shape 74413"/>
                        <wps:cNvSpPr/>
                        <wps:spPr>
                          <a:xfrm>
                            <a:off x="0" y="0"/>
                            <a:ext cx="739063" cy="0"/>
                          </a:xfrm>
                          <a:custGeom>
                            <a:avLst/>
                            <a:gdLst/>
                            <a:ahLst/>
                            <a:cxnLst/>
                            <a:rect l="0" t="0" r="0" b="0"/>
                            <a:pathLst>
                              <a:path w="739063">
                                <a:moveTo>
                                  <a:pt x="0" y="0"/>
                                </a:moveTo>
                                <a:lnTo>
                                  <a:pt x="739063" y="0"/>
                                </a:lnTo>
                              </a:path>
                            </a:pathLst>
                          </a:custGeom>
                          <a:ln w="8842"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7937" style="width:58.1939pt;height:13.7637pt;position:absolute;z-index:-2147483635;mso-position-horizontal-relative:text;mso-position-horizontal:absolute;margin-left:280.223pt;mso-position-vertical-relative:text;margin-top:7.75784pt;" coordsize="7390,1747">
                <v:shape id="Shape 74411" style="position:absolute;width:0;height:1498;left:4762;top:249;" coordsize="0,149828" path="m0,0l0,149828">
                  <v:stroke weight="0.480142pt" endcap="flat" joinstyle="round" on="true" color="#000000"/>
                  <v:fill on="false" color="#000000" opacity="0"/>
                </v:shape>
                <v:shape id="Shape 74412" style="position:absolute;width:0;height:1498;left:6661;top:249;" coordsize="0,149827" path="m0,0l0,149827">
                  <v:stroke weight="0.480142pt" endcap="flat" joinstyle="round" on="true" color="#000000"/>
                  <v:fill on="false" color="#000000" opacity="0"/>
                </v:shape>
                <v:shape id="Shape 74413" style="position:absolute;width:7390;height:0;left:0;top:0;" coordsize="739063,0" path="m0,0l739063,0">
                  <v:stroke weight="0.69621pt" endcap="flat" joinstyle="round" on="true" color="#000000"/>
                  <v:fill on="false" color="#000000" opacity="0"/>
                </v:shape>
              </v:group>
            </w:pict>
          </mc:Fallback>
        </mc:AlternateContent>
      </w:r>
      <w:r>
        <w:rPr>
          <w:rFonts w:ascii="Calibri" w:eastAsia="Calibri" w:hAnsi="Calibri" w:cs="Calibri"/>
          <w:sz w:val="22"/>
        </w:rPr>
        <w:tab/>
      </w:r>
      <w:r>
        <w:t xml:space="preserve">                                      </w:t>
      </w:r>
      <w:r>
        <w:rPr>
          <w:i/>
        </w:rPr>
        <w:t>Т</w:t>
      </w:r>
      <w:r>
        <w:rPr>
          <w:i/>
          <w:sz w:val="37"/>
          <w:vertAlign w:val="subscript"/>
        </w:rPr>
        <w:t xml:space="preserve">ок </w:t>
      </w:r>
      <w:r>
        <w:rPr>
          <w:rFonts w:ascii="Segoe UI Symbol" w:eastAsia="Segoe UI Symbol" w:hAnsi="Segoe UI Symbol" w:cs="Segoe UI Symbol"/>
        </w:rPr>
        <w:t xml:space="preserve"> </w:t>
      </w:r>
      <w:r>
        <w:rPr>
          <w:i/>
        </w:rPr>
        <w:t>і</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ab/>
      </w:r>
      <w:r>
        <w:rPr>
          <w:i/>
          <w:vertAlign w:val="subscript"/>
        </w:rPr>
        <w:t>t i</w:t>
      </w:r>
      <w:r>
        <w:rPr>
          <w:rFonts w:ascii="Segoe UI Symbol" w:eastAsia="Segoe UI Symbol" w:hAnsi="Segoe UI Symbol" w:cs="Segoe UI Symbol"/>
          <w:sz w:val="20"/>
        </w:rPr>
        <w:t xml:space="preserve"> </w:t>
      </w:r>
      <w:r>
        <w:rPr>
          <w:rFonts w:ascii="Segoe UI Symbol" w:eastAsia="Segoe UI Symbol" w:hAnsi="Segoe UI Symbol" w:cs="Segoe UI Symbol"/>
        </w:rPr>
        <w:t></w:t>
      </w:r>
      <w:r>
        <w:t xml:space="preserve">,                                          (11) </w:t>
      </w:r>
    </w:p>
    <w:p w:rsidR="002C0F56" w:rsidRDefault="00E67C6E">
      <w:pPr>
        <w:tabs>
          <w:tab w:val="center" w:pos="5683"/>
          <w:tab w:val="center" w:pos="6860"/>
        </w:tabs>
        <w:spacing w:after="117" w:line="259" w:lineRule="auto"/>
        <w:ind w:left="0" w:firstLine="0"/>
        <w:jc w:val="left"/>
      </w:pPr>
      <w:r>
        <w:rPr>
          <w:rFonts w:ascii="Calibri" w:eastAsia="Calibri" w:hAnsi="Calibri" w:cs="Calibri"/>
          <w:sz w:val="22"/>
        </w:rPr>
        <w:tab/>
      </w:r>
      <w:r>
        <w:rPr>
          <w:rFonts w:ascii="Segoe UI Symbol" w:eastAsia="Segoe UI Symbol" w:hAnsi="Segoe UI Symbol" w:cs="Segoe UI Symbol"/>
        </w:rPr>
        <w:t></w:t>
      </w:r>
      <w:r>
        <w:rPr>
          <w:rFonts w:ascii="Segoe UI Symbol" w:eastAsia="Segoe UI Symbol" w:hAnsi="Segoe UI Symbol" w:cs="Segoe UI Symbol"/>
        </w:rPr>
        <w:t></w:t>
      </w:r>
      <w:r>
        <w:rPr>
          <w:i/>
          <w:sz w:val="20"/>
        </w:rPr>
        <w:t xml:space="preserve">i </w:t>
      </w:r>
      <w:r>
        <w:rPr>
          <w:rFonts w:ascii="Segoe UI Symbol" w:eastAsia="Segoe UI Symbol" w:hAnsi="Segoe UI Symbol" w:cs="Segoe UI Symbol"/>
          <w:sz w:val="20"/>
        </w:rPr>
        <w:t xml:space="preserve"> </w:t>
      </w:r>
      <w:r>
        <w:rPr>
          <w:sz w:val="20"/>
        </w:rPr>
        <w:t xml:space="preserve">1 </w:t>
      </w:r>
      <w:r>
        <w:t>(1</w:t>
      </w:r>
      <w:r>
        <w:rPr>
          <w:rFonts w:ascii="Segoe UI Symbol" w:eastAsia="Segoe UI Symbol" w:hAnsi="Segoe UI Symbol" w:cs="Segoe UI Symbol"/>
        </w:rPr>
        <w:t xml:space="preserve"> </w:t>
      </w:r>
      <w:r>
        <w:rPr>
          <w:i/>
        </w:rPr>
        <w:t>r</w:t>
      </w:r>
      <w:r>
        <w:t>)</w:t>
      </w:r>
      <w:r>
        <w:tab/>
      </w:r>
      <w:r>
        <w:rPr>
          <w:rFonts w:ascii="Segoe UI Symbol" w:eastAsia="Segoe UI Symbol" w:hAnsi="Segoe UI Symbol" w:cs="Segoe UI Symbol"/>
        </w:rPr>
        <w:t></w:t>
      </w:r>
      <w:r>
        <w:rPr>
          <w:rFonts w:ascii="Segoe UI Symbol" w:eastAsia="Segoe UI Symbol" w:hAnsi="Segoe UI Symbol" w:cs="Segoe UI Symbol"/>
        </w:rPr>
        <w:t></w:t>
      </w:r>
    </w:p>
    <w:p w:rsidR="002C0F56" w:rsidRDefault="00E67C6E">
      <w:pPr>
        <w:spacing w:after="90"/>
        <w:ind w:left="994" w:right="302"/>
      </w:pPr>
      <w:r>
        <w:t>Далее, для оценки проектов и их отбора на этапе количественного анализа сформируем матрицу (Ω</w:t>
      </w:r>
      <w:r>
        <w:rPr>
          <w:i/>
          <w:vertAlign w:val="subscript"/>
        </w:rPr>
        <w:t>i,j</w:t>
      </w:r>
      <w:r>
        <w:t xml:space="preserve">), где </w:t>
      </w:r>
      <w:r>
        <w:rPr>
          <w:i/>
        </w:rPr>
        <w:t>i</w:t>
      </w:r>
      <w:r>
        <w:t xml:space="preserve"> – номер проекта в строке проектов, </w:t>
      </w:r>
      <w:r>
        <w:rPr>
          <w:i/>
        </w:rPr>
        <w:t>j</w:t>
      </w:r>
      <w:r>
        <w:t xml:space="preserve"> – показатель проекта в столбце показателей проектов [3]. Для каждого показателя проекта будем </w:t>
      </w:r>
      <w:r>
        <w:t xml:space="preserve">находить его максимально эффективные значения и формировать матрицу, которая включит найденные значения для </w:t>
      </w:r>
      <w:r>
        <w:rPr>
          <w:i/>
        </w:rPr>
        <w:t>p</w:t>
      </w:r>
      <w:r>
        <w:rPr>
          <w:i/>
          <w:vertAlign w:val="subscript"/>
        </w:rPr>
        <w:t>i</w:t>
      </w:r>
      <w:r>
        <w:rPr>
          <w:vertAlign w:val="subscript"/>
        </w:rPr>
        <w:t>+1</w:t>
      </w:r>
      <w:r>
        <w:t xml:space="preserve">-го – эталонного проекта: </w:t>
      </w:r>
    </w:p>
    <w:p w:rsidR="002C0F56" w:rsidRDefault="00E67C6E">
      <w:pPr>
        <w:spacing w:after="302" w:line="259" w:lineRule="auto"/>
        <w:ind w:left="5375" w:hanging="10"/>
        <w:jc w:val="center"/>
      </w:pPr>
      <w:r>
        <w:rPr>
          <w:rFonts w:ascii="Calibri" w:eastAsia="Calibri" w:hAnsi="Calibri" w:cs="Calibri"/>
          <w:noProof/>
          <w:sz w:val="22"/>
        </w:rPr>
        <mc:AlternateContent>
          <mc:Choice Requires="wpg">
            <w:drawing>
              <wp:anchor distT="0" distB="0" distL="114300" distR="114300" simplePos="0" relativeHeight="251689984" behindDoc="0" locked="0" layoutInCell="1" allowOverlap="1">
                <wp:simplePos x="0" y="0"/>
                <wp:positionH relativeFrom="column">
                  <wp:posOffset>3406722</wp:posOffset>
                </wp:positionH>
                <wp:positionV relativeFrom="paragraph">
                  <wp:posOffset>-22614</wp:posOffset>
                </wp:positionV>
                <wp:extent cx="8528" cy="1150213"/>
                <wp:effectExtent l="0" t="0" r="0" b="0"/>
                <wp:wrapSquare wrapText="bothSides"/>
                <wp:docPr id="667938" name="Group 667938"/>
                <wp:cNvGraphicFramePr/>
                <a:graphic xmlns:a="http://schemas.openxmlformats.org/drawingml/2006/main">
                  <a:graphicData uri="http://schemas.microsoft.com/office/word/2010/wordprocessingGroup">
                    <wpg:wgp>
                      <wpg:cNvGrpSpPr/>
                      <wpg:grpSpPr>
                        <a:xfrm>
                          <a:off x="0" y="0"/>
                          <a:ext cx="8528" cy="1150213"/>
                          <a:chOff x="0" y="0"/>
                          <a:chExt cx="8528" cy="1150213"/>
                        </a:xfrm>
                      </wpg:grpSpPr>
                      <wps:wsp>
                        <wps:cNvPr id="74465" name="Shape 74465"/>
                        <wps:cNvSpPr/>
                        <wps:spPr>
                          <a:xfrm>
                            <a:off x="0" y="0"/>
                            <a:ext cx="0" cy="1150213"/>
                          </a:xfrm>
                          <a:custGeom>
                            <a:avLst/>
                            <a:gdLst/>
                            <a:ahLst/>
                            <a:cxnLst/>
                            <a:rect l="0" t="0" r="0" b="0"/>
                            <a:pathLst>
                              <a:path h="1150213">
                                <a:moveTo>
                                  <a:pt x="0" y="0"/>
                                </a:moveTo>
                                <a:lnTo>
                                  <a:pt x="0" y="1150213"/>
                                </a:lnTo>
                              </a:path>
                            </a:pathLst>
                          </a:custGeom>
                          <a:ln w="852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7938" style="width:3.05176e-05pt;height:90.568pt;position:absolute;mso-position-horizontal-relative:text;mso-position-horizontal:absolute;margin-left:268.246pt;mso-position-vertical-relative:text;margin-top:-1.78067pt;" coordsize="0,11502">
                <v:shape id="Shape 74465" style="position:absolute;width:0;height:11502;left:0;top:0;" coordsize="0,1150213" path="m0,0l0,1150213">
                  <v:stroke weight="0.671527pt" endcap="flat" joinstyle="round" on="true" color="#000000"/>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91008" behindDoc="0" locked="0" layoutInCell="1" allowOverlap="1">
                <wp:simplePos x="0" y="0"/>
                <wp:positionH relativeFrom="column">
                  <wp:posOffset>4495884</wp:posOffset>
                </wp:positionH>
                <wp:positionV relativeFrom="paragraph">
                  <wp:posOffset>-22613</wp:posOffset>
                </wp:positionV>
                <wp:extent cx="8528" cy="1150213"/>
                <wp:effectExtent l="0" t="0" r="0" b="0"/>
                <wp:wrapSquare wrapText="bothSides"/>
                <wp:docPr id="667939" name="Group 667939"/>
                <wp:cNvGraphicFramePr/>
                <a:graphic xmlns:a="http://schemas.openxmlformats.org/drawingml/2006/main">
                  <a:graphicData uri="http://schemas.microsoft.com/office/word/2010/wordprocessingGroup">
                    <wpg:wgp>
                      <wpg:cNvGrpSpPr/>
                      <wpg:grpSpPr>
                        <a:xfrm>
                          <a:off x="0" y="0"/>
                          <a:ext cx="8528" cy="1150213"/>
                          <a:chOff x="0" y="0"/>
                          <a:chExt cx="8528" cy="1150213"/>
                        </a:xfrm>
                      </wpg:grpSpPr>
                      <wps:wsp>
                        <wps:cNvPr id="74466" name="Shape 74466"/>
                        <wps:cNvSpPr/>
                        <wps:spPr>
                          <a:xfrm>
                            <a:off x="0" y="0"/>
                            <a:ext cx="0" cy="1150213"/>
                          </a:xfrm>
                          <a:custGeom>
                            <a:avLst/>
                            <a:gdLst/>
                            <a:ahLst/>
                            <a:cxnLst/>
                            <a:rect l="0" t="0" r="0" b="0"/>
                            <a:pathLst>
                              <a:path h="1150213">
                                <a:moveTo>
                                  <a:pt x="0" y="0"/>
                                </a:moveTo>
                                <a:lnTo>
                                  <a:pt x="0" y="1150213"/>
                                </a:lnTo>
                              </a:path>
                            </a:pathLst>
                          </a:custGeom>
                          <a:ln w="852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67939" style="width:0.671527pt;height:90.568pt;position:absolute;mso-position-horizontal-relative:text;mso-position-horizontal:absolute;margin-left:354.007pt;mso-position-vertical-relative:text;margin-top:-1.78064pt;" coordsize="85,11502">
                <v:shape id="Shape 74466" style="position:absolute;width:0;height:11502;left:0;top:0;" coordsize="0,1150213" path="m0,0l0,1150213">
                  <v:stroke weight="0.671527pt" endcap="flat" joinstyle="round" on="true" color="#000000"/>
                  <v:fill on="false" color="#000000" opacity="0"/>
                </v:shape>
                <w10:wrap type="square"/>
              </v:group>
            </w:pict>
          </mc:Fallback>
        </mc:AlternateContent>
      </w:r>
      <w:r>
        <w:rPr>
          <w:i/>
        </w:rPr>
        <w:t>p</w:t>
      </w:r>
      <w:r>
        <w:rPr>
          <w:sz w:val="20"/>
        </w:rPr>
        <w:t>1</w:t>
      </w:r>
      <w:r>
        <w:t>...</w:t>
      </w:r>
      <w:r>
        <w:rPr>
          <w:i/>
        </w:rPr>
        <w:t>p p</w:t>
      </w:r>
      <w:r>
        <w:rPr>
          <w:i/>
          <w:sz w:val="20"/>
        </w:rPr>
        <w:t>i</w:t>
      </w:r>
      <w:r>
        <w:t xml:space="preserve">, </w:t>
      </w:r>
      <w:r>
        <w:rPr>
          <w:i/>
          <w:sz w:val="20"/>
        </w:rPr>
        <w:t>i</w:t>
      </w:r>
      <w:r>
        <w:rPr>
          <w:rFonts w:ascii="Segoe UI Symbol" w:eastAsia="Segoe UI Symbol" w:hAnsi="Segoe UI Symbol" w:cs="Segoe UI Symbol"/>
          <w:sz w:val="20"/>
        </w:rPr>
        <w:t></w:t>
      </w:r>
      <w:r>
        <w:rPr>
          <w:sz w:val="20"/>
        </w:rPr>
        <w:t>1</w:t>
      </w:r>
    </w:p>
    <w:p w:rsidR="002C0F56" w:rsidRDefault="00E67C6E">
      <w:pPr>
        <w:spacing w:after="5" w:line="259" w:lineRule="auto"/>
        <w:ind w:left="5375" w:hanging="10"/>
        <w:jc w:val="center"/>
      </w:pPr>
      <w:r>
        <w:rPr>
          <w:i/>
        </w:rPr>
        <w:t>j</w:t>
      </w:r>
      <w:r>
        <w:rPr>
          <w:vertAlign w:val="subscript"/>
        </w:rPr>
        <w:t>1</w:t>
      </w:r>
      <w:r>
        <w:rPr>
          <w:sz w:val="20"/>
        </w:rPr>
        <w:t>,1</w:t>
      </w:r>
      <w:r>
        <w:t>...</w:t>
      </w:r>
      <w:r>
        <w:rPr>
          <w:i/>
        </w:rPr>
        <w:t>j</w:t>
      </w:r>
      <w:r>
        <w:rPr>
          <w:i/>
          <w:vertAlign w:val="subscript"/>
        </w:rPr>
        <w:t>i</w:t>
      </w:r>
      <w:r>
        <w:rPr>
          <w:sz w:val="20"/>
        </w:rPr>
        <w:t>,1</w:t>
      </w:r>
      <w:r>
        <w:t xml:space="preserve">, </w:t>
      </w:r>
      <w:r>
        <w:rPr>
          <w:i/>
        </w:rPr>
        <w:t>j</w:t>
      </w:r>
      <w:r>
        <w:rPr>
          <w:i/>
          <w:vertAlign w:val="subscript"/>
        </w:rPr>
        <w:t>i</w:t>
      </w:r>
      <w:r>
        <w:rPr>
          <w:sz w:val="20"/>
        </w:rPr>
        <w:t>max</w:t>
      </w:r>
      <w:r>
        <w:rPr>
          <w:rFonts w:ascii="Segoe UI Symbol" w:eastAsia="Segoe UI Symbol" w:hAnsi="Segoe UI Symbol" w:cs="Segoe UI Symbol"/>
          <w:sz w:val="31"/>
          <w:vertAlign w:val="subscript"/>
        </w:rPr>
        <w:t></w:t>
      </w:r>
      <w:r>
        <w:rPr>
          <w:sz w:val="20"/>
        </w:rPr>
        <w:t>1,1</w:t>
      </w:r>
    </w:p>
    <w:p w:rsidR="002C0F56" w:rsidRDefault="00E67C6E">
      <w:pPr>
        <w:spacing w:after="12"/>
        <w:ind w:left="1558" w:right="302" w:firstLine="0"/>
      </w:pPr>
      <w:r>
        <w:t xml:space="preserve">                                   (</w:t>
      </w:r>
      <w:r>
        <w:rPr>
          <w:rFonts w:ascii="Segoe UI Symbol" w:eastAsia="Segoe UI Symbol" w:hAnsi="Segoe UI Symbol" w:cs="Segoe UI Symbol"/>
        </w:rPr>
        <w:t></w:t>
      </w:r>
      <w:r>
        <w:rPr>
          <w:i/>
          <w:sz w:val="24"/>
        </w:rPr>
        <w:t>ij</w:t>
      </w:r>
      <w:r>
        <w:t>)</w:t>
      </w:r>
      <w:r>
        <w:rPr>
          <w:sz w:val="37"/>
          <w:vertAlign w:val="subscript"/>
        </w:rPr>
        <w:t xml:space="preserve">max </w:t>
      </w:r>
      <w:r>
        <w:rPr>
          <w:rFonts w:ascii="Segoe UI Symbol" w:eastAsia="Segoe UI Symbol" w:hAnsi="Segoe UI Symbol" w:cs="Segoe UI Symbol"/>
        </w:rPr>
        <w:t></w:t>
      </w:r>
      <w:r>
        <w:t xml:space="preserve">,                           </w:t>
      </w:r>
      <w:r>
        <w:t xml:space="preserve">             (12) </w:t>
      </w:r>
    </w:p>
    <w:p w:rsidR="002C0F56" w:rsidRDefault="00E67C6E">
      <w:pPr>
        <w:spacing w:after="284" w:line="268" w:lineRule="auto"/>
        <w:ind w:left="5375" w:hanging="10"/>
        <w:jc w:val="center"/>
      </w:pPr>
      <w:r>
        <w:t>...</w:t>
      </w:r>
    </w:p>
    <w:p w:rsidR="002C0F56" w:rsidRDefault="00E67C6E">
      <w:pPr>
        <w:spacing w:after="5" w:line="259" w:lineRule="auto"/>
        <w:ind w:left="5375" w:hanging="10"/>
        <w:jc w:val="center"/>
      </w:pPr>
      <w:r>
        <w:rPr>
          <w:i/>
        </w:rPr>
        <w:t>j</w:t>
      </w:r>
      <w:r>
        <w:rPr>
          <w:vertAlign w:val="subscript"/>
        </w:rPr>
        <w:t>1</w:t>
      </w:r>
      <w:r>
        <w:rPr>
          <w:sz w:val="20"/>
        </w:rPr>
        <w:t>,</w:t>
      </w:r>
      <w:r>
        <w:rPr>
          <w:i/>
          <w:sz w:val="20"/>
        </w:rPr>
        <w:t>n</w:t>
      </w:r>
      <w:r>
        <w:t>...</w:t>
      </w:r>
      <w:r>
        <w:rPr>
          <w:i/>
        </w:rPr>
        <w:t>j</w:t>
      </w:r>
      <w:r>
        <w:rPr>
          <w:i/>
          <w:vertAlign w:val="subscript"/>
        </w:rPr>
        <w:t>i n</w:t>
      </w:r>
      <w:r>
        <w:rPr>
          <w:sz w:val="20"/>
        </w:rPr>
        <w:t xml:space="preserve">, </w:t>
      </w:r>
      <w:r>
        <w:t xml:space="preserve">, </w:t>
      </w:r>
      <w:r>
        <w:rPr>
          <w:i/>
        </w:rPr>
        <w:t>j</w:t>
      </w:r>
      <w:r>
        <w:rPr>
          <w:i/>
          <w:vertAlign w:val="subscript"/>
        </w:rPr>
        <w:t>i</w:t>
      </w:r>
      <w:r>
        <w:rPr>
          <w:sz w:val="20"/>
        </w:rPr>
        <w:t>max</w:t>
      </w:r>
      <w:r>
        <w:rPr>
          <w:rFonts w:ascii="Segoe UI Symbol" w:eastAsia="Segoe UI Symbol" w:hAnsi="Segoe UI Symbol" w:cs="Segoe UI Symbol"/>
          <w:sz w:val="31"/>
          <w:vertAlign w:val="subscript"/>
        </w:rPr>
        <w:t></w:t>
      </w:r>
      <w:r>
        <w:rPr>
          <w:sz w:val="20"/>
        </w:rPr>
        <w:t>1,</w:t>
      </w:r>
      <w:r>
        <w:rPr>
          <w:i/>
          <w:sz w:val="20"/>
        </w:rPr>
        <w:t>n</w:t>
      </w:r>
    </w:p>
    <w:p w:rsidR="002C0F56" w:rsidRDefault="00E67C6E">
      <w:pPr>
        <w:spacing w:after="144"/>
        <w:ind w:left="994" w:right="302"/>
      </w:pPr>
      <w:r>
        <w:t>На следующем этапе каждый из показателей матрицы (Ω</w:t>
      </w:r>
      <w:r>
        <w:rPr>
          <w:i/>
          <w:vertAlign w:val="subscript"/>
        </w:rPr>
        <w:t>i,j</w:t>
      </w:r>
      <w:r>
        <w:t xml:space="preserve">) проходит процедуру определения соответствия эталонному значению: </w:t>
      </w:r>
    </w:p>
    <w:p w:rsidR="002C0F56" w:rsidRDefault="00E67C6E">
      <w:pPr>
        <w:spacing w:after="0" w:line="259" w:lineRule="auto"/>
        <w:ind w:left="1767" w:firstLine="0"/>
        <w:jc w:val="center"/>
      </w:pPr>
      <w:r>
        <w:rPr>
          <w:i/>
        </w:rPr>
        <w:t>j</w:t>
      </w:r>
      <w:r>
        <w:rPr>
          <w:i/>
          <w:vertAlign w:val="superscript"/>
        </w:rPr>
        <w:t>i n</w:t>
      </w:r>
      <w:r>
        <w:rPr>
          <w:vertAlign w:val="superscript"/>
        </w:rPr>
        <w:t>,</w:t>
      </w:r>
    </w:p>
    <w:p w:rsidR="002C0F56" w:rsidRDefault="00E67C6E">
      <w:pPr>
        <w:spacing w:after="61"/>
        <w:ind w:left="1558" w:right="302" w:firstLine="0"/>
      </w:pPr>
      <w:r>
        <w:t xml:space="preserve">                                      (</w:t>
      </w:r>
      <w:r>
        <w:rPr>
          <w:rFonts w:ascii="Segoe UI Symbol" w:eastAsia="Segoe UI Symbol" w:hAnsi="Segoe UI Symbol" w:cs="Segoe UI Symbol"/>
        </w:rPr>
        <w:t></w:t>
      </w:r>
      <w:r>
        <w:rPr>
          <w:i/>
          <w:sz w:val="24"/>
        </w:rPr>
        <w:t>ij</w:t>
      </w:r>
      <w:r>
        <w:t>)</w:t>
      </w:r>
      <w:r>
        <w:rPr>
          <w:sz w:val="37"/>
          <w:vertAlign w:val="subscript"/>
        </w:rPr>
        <w:t xml:space="preserve">max </w:t>
      </w:r>
      <w:r>
        <w:t xml:space="preserve">: </w:t>
      </w:r>
      <w:r>
        <w:rPr>
          <w:i/>
        </w:rPr>
        <w:t>x</w:t>
      </w:r>
      <w:r>
        <w:rPr>
          <w:i/>
          <w:sz w:val="37"/>
          <w:vertAlign w:val="subscript"/>
        </w:rPr>
        <w:t xml:space="preserve">ij </w:t>
      </w:r>
      <w:r>
        <w:rPr>
          <w:rFonts w:ascii="Segoe UI Symbol" w:eastAsia="Segoe UI Symbol" w:hAnsi="Segoe UI Symbol" w:cs="Segoe UI Symbol"/>
        </w:rPr>
        <w:t xml:space="preserve"> </w:t>
      </w:r>
      <w:r>
        <w:rPr>
          <w:rFonts w:ascii="Calibri" w:eastAsia="Calibri" w:hAnsi="Calibri" w:cs="Calibri"/>
          <w:noProof/>
          <w:sz w:val="22"/>
        </w:rPr>
        <mc:AlternateContent>
          <mc:Choice Requires="wpg">
            <w:drawing>
              <wp:inline distT="0" distB="0" distL="0" distR="0">
                <wp:extent cx="390778" cy="8432"/>
                <wp:effectExtent l="0" t="0" r="0" b="0"/>
                <wp:docPr id="667940" name="Group 667940"/>
                <wp:cNvGraphicFramePr/>
                <a:graphic xmlns:a="http://schemas.openxmlformats.org/drawingml/2006/main">
                  <a:graphicData uri="http://schemas.microsoft.com/office/word/2010/wordprocessingGroup">
                    <wpg:wgp>
                      <wpg:cNvGrpSpPr/>
                      <wpg:grpSpPr>
                        <a:xfrm>
                          <a:off x="0" y="0"/>
                          <a:ext cx="390778" cy="8432"/>
                          <a:chOff x="0" y="0"/>
                          <a:chExt cx="390778" cy="8432"/>
                        </a:xfrm>
                      </wpg:grpSpPr>
                      <wps:wsp>
                        <wps:cNvPr id="74499" name="Shape 74499"/>
                        <wps:cNvSpPr/>
                        <wps:spPr>
                          <a:xfrm>
                            <a:off x="0" y="0"/>
                            <a:ext cx="390778" cy="0"/>
                          </a:xfrm>
                          <a:custGeom>
                            <a:avLst/>
                            <a:gdLst/>
                            <a:ahLst/>
                            <a:cxnLst/>
                            <a:rect l="0" t="0" r="0" b="0"/>
                            <a:pathLst>
                              <a:path w="390778">
                                <a:moveTo>
                                  <a:pt x="0" y="0"/>
                                </a:moveTo>
                                <a:lnTo>
                                  <a:pt x="390778" y="0"/>
                                </a:lnTo>
                              </a:path>
                            </a:pathLst>
                          </a:custGeom>
                          <a:ln w="843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7940" style="width:30.7699pt;height:0.663943pt;mso-position-horizontal-relative:char;mso-position-vertical-relative:line" coordsize="3907,84">
                <v:shape id="Shape 74499" style="position:absolute;width:3907;height:0;left:0;top:0;" coordsize="390778,0" path="m0,0l390778,0">
                  <v:stroke weight="0.663943pt" endcap="flat" joinstyle="round" on="true" color="#000000"/>
                  <v:fill on="false" color="#000000" opacity="0"/>
                </v:shape>
              </v:group>
            </w:pict>
          </mc:Fallback>
        </mc:AlternateContent>
      </w:r>
      <w:r>
        <w:rPr>
          <w:vertAlign w:val="subscript"/>
        </w:rPr>
        <w:t>max</w:t>
      </w:r>
      <w:r>
        <w:t xml:space="preserve">                                              (13) </w:t>
      </w:r>
    </w:p>
    <w:p w:rsidR="002C0F56" w:rsidRDefault="00E67C6E">
      <w:pPr>
        <w:spacing w:after="0" w:line="259" w:lineRule="auto"/>
        <w:ind w:left="1766" w:firstLine="0"/>
        <w:jc w:val="center"/>
      </w:pPr>
      <w:r>
        <w:rPr>
          <w:i/>
          <w:sz w:val="43"/>
          <w:vertAlign w:val="subscript"/>
        </w:rPr>
        <w:lastRenderedPageBreak/>
        <w:t>j</w:t>
      </w:r>
      <w:r>
        <w:rPr>
          <w:i/>
          <w:vertAlign w:val="subscript"/>
        </w:rPr>
        <w:t>i</w:t>
      </w:r>
      <w:r>
        <w:rPr>
          <w:rFonts w:ascii="Segoe UI Symbol" w:eastAsia="Segoe UI Symbol" w:hAnsi="Segoe UI Symbol" w:cs="Segoe UI Symbol"/>
          <w:sz w:val="20"/>
        </w:rPr>
        <w:t></w:t>
      </w:r>
      <w:r>
        <w:rPr>
          <w:vertAlign w:val="subscript"/>
        </w:rPr>
        <w:t>1,</w:t>
      </w:r>
      <w:r>
        <w:rPr>
          <w:i/>
          <w:vertAlign w:val="subscript"/>
        </w:rPr>
        <w:t>n</w:t>
      </w:r>
    </w:p>
    <w:p w:rsidR="002C0F56" w:rsidRDefault="00E67C6E">
      <w:pPr>
        <w:spacing w:after="2"/>
        <w:ind w:left="994" w:right="302"/>
      </w:pPr>
      <w:r>
        <w:t>Итоговое значение рейтинга инновационного проекта отражает степень приближения ключевых показателей к цели (идеального значения) с учетом значимости соответствующего показателя в системе оценки, че</w:t>
      </w:r>
      <w:r>
        <w:t xml:space="preserve">м ближе значение рейтинга к 2,5, тем более привлекательный проект. </w:t>
      </w:r>
    </w:p>
    <w:p w:rsidR="002C0F56" w:rsidRDefault="00E67C6E">
      <w:pPr>
        <w:spacing w:after="285"/>
        <w:ind w:left="994" w:right="302"/>
      </w:pPr>
      <w:r>
        <w:t>Для каждого инновационного проекта, претендующего на включение в множество предварительно сформированного портфеля проектов, значение его рейтинговой оценки может быть определено зависимос</w:t>
      </w:r>
      <w:r>
        <w:t xml:space="preserve">тью [3]: </w:t>
      </w:r>
    </w:p>
    <w:p w:rsidR="002C0F56" w:rsidRDefault="00E67C6E">
      <w:pPr>
        <w:tabs>
          <w:tab w:val="center" w:pos="3899"/>
          <w:tab w:val="center" w:pos="9720"/>
        </w:tabs>
        <w:spacing w:after="310"/>
        <w:ind w:left="0" w:firstLine="0"/>
        <w:jc w:val="left"/>
      </w:pPr>
      <w:r>
        <w:rPr>
          <w:rFonts w:ascii="Calibri" w:eastAsia="Calibri" w:hAnsi="Calibri" w:cs="Calibri"/>
          <w:noProof/>
          <w:sz w:val="22"/>
        </w:rPr>
        <mc:AlternateContent>
          <mc:Choice Requires="wpg">
            <w:drawing>
              <wp:anchor distT="0" distB="0" distL="114300" distR="114300" simplePos="0" relativeHeight="251692032" behindDoc="1" locked="0" layoutInCell="1" allowOverlap="1">
                <wp:simplePos x="0" y="0"/>
                <wp:positionH relativeFrom="column">
                  <wp:posOffset>1350474</wp:posOffset>
                </wp:positionH>
                <wp:positionV relativeFrom="paragraph">
                  <wp:posOffset>-92923</wp:posOffset>
                </wp:positionV>
                <wp:extent cx="2633995" cy="305395"/>
                <wp:effectExtent l="0" t="0" r="0" b="0"/>
                <wp:wrapNone/>
                <wp:docPr id="667941" name="Group 667941"/>
                <wp:cNvGraphicFramePr/>
                <a:graphic xmlns:a="http://schemas.openxmlformats.org/drawingml/2006/main">
                  <a:graphicData uri="http://schemas.microsoft.com/office/word/2010/wordprocessingGroup">
                    <wpg:wgp>
                      <wpg:cNvGrpSpPr/>
                      <wpg:grpSpPr>
                        <a:xfrm>
                          <a:off x="0" y="0"/>
                          <a:ext cx="2633995" cy="305395"/>
                          <a:chOff x="0" y="0"/>
                          <a:chExt cx="2633995" cy="305395"/>
                        </a:xfrm>
                      </wpg:grpSpPr>
                      <wps:wsp>
                        <wps:cNvPr id="74527" name="Shape 74527"/>
                        <wps:cNvSpPr/>
                        <wps:spPr>
                          <a:xfrm>
                            <a:off x="6587" y="192703"/>
                            <a:ext cx="17165" cy="15664"/>
                          </a:xfrm>
                          <a:custGeom>
                            <a:avLst/>
                            <a:gdLst/>
                            <a:ahLst/>
                            <a:cxnLst/>
                            <a:rect l="0" t="0" r="0" b="0"/>
                            <a:pathLst>
                              <a:path w="17165" h="15664">
                                <a:moveTo>
                                  <a:pt x="0" y="15664"/>
                                </a:moveTo>
                                <a:lnTo>
                                  <a:pt x="17165" y="0"/>
                                </a:lnTo>
                              </a:path>
                            </a:pathLst>
                          </a:custGeom>
                          <a:ln w="1745" cap="sq">
                            <a:round/>
                          </a:ln>
                        </wps:spPr>
                        <wps:style>
                          <a:lnRef idx="1">
                            <a:srgbClr val="000000"/>
                          </a:lnRef>
                          <a:fillRef idx="0">
                            <a:srgbClr val="000000">
                              <a:alpha val="0"/>
                            </a:srgbClr>
                          </a:fillRef>
                          <a:effectRef idx="0">
                            <a:scrgbClr r="0" g="0" b="0"/>
                          </a:effectRef>
                          <a:fontRef idx="none"/>
                        </wps:style>
                        <wps:bodyPr/>
                      </wps:wsp>
                      <wps:wsp>
                        <wps:cNvPr id="74528" name="Shape 74528"/>
                        <wps:cNvSpPr/>
                        <wps:spPr>
                          <a:xfrm>
                            <a:off x="24056" y="192703"/>
                            <a:ext cx="43222" cy="112390"/>
                          </a:xfrm>
                          <a:custGeom>
                            <a:avLst/>
                            <a:gdLst/>
                            <a:ahLst/>
                            <a:cxnLst/>
                            <a:rect l="0" t="0" r="0" b="0"/>
                            <a:pathLst>
                              <a:path w="43222" h="112390">
                                <a:moveTo>
                                  <a:pt x="0" y="0"/>
                                </a:moveTo>
                                <a:lnTo>
                                  <a:pt x="43222" y="112390"/>
                                </a:lnTo>
                              </a:path>
                            </a:pathLst>
                          </a:custGeom>
                          <a:ln w="1745" cap="sq">
                            <a:round/>
                          </a:ln>
                        </wps:spPr>
                        <wps:style>
                          <a:lnRef idx="1">
                            <a:srgbClr val="000000"/>
                          </a:lnRef>
                          <a:fillRef idx="0">
                            <a:srgbClr val="000000">
                              <a:alpha val="0"/>
                            </a:srgbClr>
                          </a:fillRef>
                          <a:effectRef idx="0">
                            <a:scrgbClr r="0" g="0" b="0"/>
                          </a:effectRef>
                          <a:fontRef idx="none"/>
                        </wps:style>
                        <wps:bodyPr/>
                      </wps:wsp>
                      <wps:wsp>
                        <wps:cNvPr id="74529" name="Shape 74529"/>
                        <wps:cNvSpPr/>
                        <wps:spPr>
                          <a:xfrm>
                            <a:off x="67278" y="9487"/>
                            <a:ext cx="47212" cy="295908"/>
                          </a:xfrm>
                          <a:custGeom>
                            <a:avLst/>
                            <a:gdLst/>
                            <a:ahLst/>
                            <a:cxnLst/>
                            <a:rect l="0" t="0" r="0" b="0"/>
                            <a:pathLst>
                              <a:path w="47212" h="295908">
                                <a:moveTo>
                                  <a:pt x="0" y="295908"/>
                                </a:moveTo>
                                <a:lnTo>
                                  <a:pt x="47212" y="0"/>
                                </a:lnTo>
                              </a:path>
                            </a:pathLst>
                          </a:custGeom>
                          <a:ln w="1745" cap="sq">
                            <a:round/>
                          </a:ln>
                        </wps:spPr>
                        <wps:style>
                          <a:lnRef idx="1">
                            <a:srgbClr val="000000"/>
                          </a:lnRef>
                          <a:fillRef idx="0">
                            <a:srgbClr val="000000">
                              <a:alpha val="0"/>
                            </a:srgbClr>
                          </a:fillRef>
                          <a:effectRef idx="0">
                            <a:scrgbClr r="0" g="0" b="0"/>
                          </a:effectRef>
                          <a:fontRef idx="none"/>
                        </wps:style>
                        <wps:bodyPr/>
                      </wps:wsp>
                      <wps:wsp>
                        <wps:cNvPr id="74530" name="Shape 74530"/>
                        <wps:cNvSpPr/>
                        <wps:spPr>
                          <a:xfrm>
                            <a:off x="114490" y="9188"/>
                            <a:ext cx="2519505" cy="1"/>
                          </a:xfrm>
                          <a:custGeom>
                            <a:avLst/>
                            <a:gdLst/>
                            <a:ahLst/>
                            <a:cxnLst/>
                            <a:rect l="0" t="0" r="0" b="0"/>
                            <a:pathLst>
                              <a:path w="2519505" h="1">
                                <a:moveTo>
                                  <a:pt x="0" y="0"/>
                                </a:moveTo>
                                <a:lnTo>
                                  <a:pt x="2519505" y="1"/>
                                </a:lnTo>
                              </a:path>
                            </a:pathLst>
                          </a:custGeom>
                          <a:ln w="1745" cap="sq">
                            <a:round/>
                          </a:ln>
                        </wps:spPr>
                        <wps:style>
                          <a:lnRef idx="1">
                            <a:srgbClr val="000000"/>
                          </a:lnRef>
                          <a:fillRef idx="0">
                            <a:srgbClr val="000000">
                              <a:alpha val="0"/>
                            </a:srgbClr>
                          </a:fillRef>
                          <a:effectRef idx="0">
                            <a:scrgbClr r="0" g="0" b="0"/>
                          </a:effectRef>
                          <a:fontRef idx="none"/>
                        </wps:style>
                        <wps:bodyPr/>
                      </wps:wsp>
                      <wps:wsp>
                        <wps:cNvPr id="74531" name="Shape 74531"/>
                        <wps:cNvSpPr/>
                        <wps:spPr>
                          <a:xfrm>
                            <a:off x="0" y="0"/>
                            <a:ext cx="2629562" cy="300723"/>
                          </a:xfrm>
                          <a:custGeom>
                            <a:avLst/>
                            <a:gdLst/>
                            <a:ahLst/>
                            <a:cxnLst/>
                            <a:rect l="0" t="0" r="0" b="0"/>
                            <a:pathLst>
                              <a:path w="2629562" h="300723">
                                <a:moveTo>
                                  <a:pt x="106066" y="0"/>
                                </a:moveTo>
                                <a:lnTo>
                                  <a:pt x="2629562" y="0"/>
                                </a:lnTo>
                                <a:lnTo>
                                  <a:pt x="2629562" y="8740"/>
                                </a:lnTo>
                                <a:lnTo>
                                  <a:pt x="113413" y="8739"/>
                                </a:lnTo>
                                <a:lnTo>
                                  <a:pt x="66822" y="300723"/>
                                </a:lnTo>
                                <a:lnTo>
                                  <a:pt x="58246" y="300723"/>
                                </a:lnTo>
                                <a:lnTo>
                                  <a:pt x="14707" y="195857"/>
                                </a:lnTo>
                                <a:lnTo>
                                  <a:pt x="3978" y="206107"/>
                                </a:lnTo>
                                <a:lnTo>
                                  <a:pt x="0" y="201891"/>
                                </a:lnTo>
                                <a:lnTo>
                                  <a:pt x="24208" y="180797"/>
                                </a:lnTo>
                                <a:lnTo>
                                  <a:pt x="62528" y="273303"/>
                                </a:lnTo>
                                <a:lnTo>
                                  <a:pt x="106066" y="0"/>
                                </a:lnTo>
                                <a:close/>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667941" style="width:207.401pt;height:24.0468pt;position:absolute;z-index:-2147483518;mso-position-horizontal-relative:text;mso-position-horizontal:absolute;margin-left:106.336pt;mso-position-vertical-relative:text;margin-top:-7.31683pt;" coordsize="26339,3053">
                <v:shape id="Shape 74527" style="position:absolute;width:171;height:156;left:65;top:1927;" coordsize="17165,15664" path="m0,15664l17165,0">
                  <v:stroke weight="0.137432pt" endcap="square" joinstyle="round" on="true" color="#000000"/>
                  <v:fill on="false" color="#000000" opacity="0"/>
                </v:shape>
                <v:shape id="Shape 74528" style="position:absolute;width:432;height:1123;left:240;top:1927;" coordsize="43222,112390" path="m0,0l43222,112390">
                  <v:stroke weight="0.137432pt" endcap="square" joinstyle="round" on="true" color="#000000"/>
                  <v:fill on="false" color="#000000" opacity="0"/>
                </v:shape>
                <v:shape id="Shape 74529" style="position:absolute;width:472;height:2959;left:672;top:94;" coordsize="47212,295908" path="m0,295908l47212,0">
                  <v:stroke weight="0.137432pt" endcap="square" joinstyle="round" on="true" color="#000000"/>
                  <v:fill on="false" color="#000000" opacity="0"/>
                </v:shape>
                <v:shape id="Shape 74530" style="position:absolute;width:25195;height:0;left:1144;top:91;" coordsize="2519505,1" path="m0,0l2519505,1">
                  <v:stroke weight="0.137432pt" endcap="square" joinstyle="round" on="true" color="#000000"/>
                  <v:fill on="false" color="#000000" opacity="0"/>
                </v:shape>
                <v:shape id="Shape 74531" style="position:absolute;width:26295;height:3007;left:0;top:0;" coordsize="2629562,300723" path="m106066,0l2629562,0l2629562,8740l113413,8739l66822,300723l58246,300723l14707,195857l3978,206107l0,201891l24208,180797l62528,273303l106066,0x">
                  <v:stroke weight="0pt" endcap="square" joinstyle="round" on="false" color="#000000" opacity="0"/>
                  <v:fill on="true" color="#000000"/>
                </v:shape>
              </v:group>
            </w:pict>
          </mc:Fallback>
        </mc:AlternateContent>
      </w:r>
      <w:r>
        <w:rPr>
          <w:rFonts w:ascii="Calibri" w:eastAsia="Calibri" w:hAnsi="Calibri" w:cs="Calibri"/>
          <w:sz w:val="22"/>
        </w:rPr>
        <w:tab/>
      </w:r>
      <w:r>
        <w:rPr>
          <w:i/>
        </w:rPr>
        <w:t xml:space="preserve">W </w:t>
      </w:r>
      <w:r>
        <w:rPr>
          <w:rFonts w:ascii="Segoe UI Symbol" w:eastAsia="Segoe UI Symbol" w:hAnsi="Segoe UI Symbol" w:cs="Segoe UI Symbol"/>
        </w:rPr>
        <w:t xml:space="preserve"> </w:t>
      </w:r>
      <w:r>
        <w:t>(1</w:t>
      </w:r>
      <w:r>
        <w:rPr>
          <w:rFonts w:ascii="Segoe UI Symbol" w:eastAsia="Segoe UI Symbol" w:hAnsi="Segoe UI Symbol" w:cs="Segoe UI Symbol"/>
        </w:rPr>
        <w:t></w:t>
      </w:r>
      <w:r>
        <w:rPr>
          <w:i/>
        </w:rPr>
        <w:t>x</w:t>
      </w:r>
      <w:r>
        <w:rPr>
          <w:sz w:val="20"/>
        </w:rPr>
        <w:t xml:space="preserve">1, </w:t>
      </w:r>
      <w:r>
        <w:rPr>
          <w:i/>
          <w:sz w:val="20"/>
        </w:rPr>
        <w:t xml:space="preserve">j </w:t>
      </w:r>
      <w:r>
        <w:t>)</w:t>
      </w:r>
      <w:r>
        <w:rPr>
          <w:sz w:val="20"/>
        </w:rPr>
        <w:t xml:space="preserve">2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(1 </w:t>
      </w:r>
      <w:r>
        <w:rPr>
          <w:i/>
        </w:rPr>
        <w:t>x</w:t>
      </w:r>
      <w:r>
        <w:rPr>
          <w:sz w:val="20"/>
        </w:rPr>
        <w:t xml:space="preserve">2, </w:t>
      </w:r>
      <w:r>
        <w:rPr>
          <w:i/>
          <w:sz w:val="20"/>
        </w:rPr>
        <w:t xml:space="preserve">j </w:t>
      </w:r>
      <w:r>
        <w:t>)</w:t>
      </w:r>
      <w:r>
        <w:rPr>
          <w:sz w:val="20"/>
        </w:rPr>
        <w:t xml:space="preserve">2 </w:t>
      </w:r>
      <w:r>
        <w:rPr>
          <w:rFonts w:ascii="Segoe UI Symbol" w:eastAsia="Segoe UI Symbol" w:hAnsi="Segoe UI Symbol" w:cs="Segoe UI Symbol"/>
        </w:rPr>
        <w:t></w:t>
      </w:r>
      <w:r>
        <w:t>...(1</w:t>
      </w:r>
      <w:r>
        <w:rPr>
          <w:rFonts w:ascii="Segoe UI Symbol" w:eastAsia="Segoe UI Symbol" w:hAnsi="Segoe UI Symbol" w:cs="Segoe UI Symbol"/>
        </w:rPr>
        <w:t></w:t>
      </w:r>
      <w:r>
        <w:rPr>
          <w:i/>
        </w:rPr>
        <w:t>x</w:t>
      </w:r>
      <w:r>
        <w:rPr>
          <w:i/>
          <w:sz w:val="20"/>
        </w:rPr>
        <w:t>i j</w:t>
      </w:r>
      <w:r>
        <w:rPr>
          <w:sz w:val="20"/>
        </w:rPr>
        <w:t xml:space="preserve">, </w:t>
      </w:r>
      <w:r>
        <w:t>)</w:t>
      </w:r>
      <w:r>
        <w:rPr>
          <w:sz w:val="20"/>
        </w:rPr>
        <w:t>2</w:t>
      </w:r>
      <w:r>
        <w:t xml:space="preserve"> </w:t>
      </w:r>
      <w:r>
        <w:tab/>
        <w:t xml:space="preserve">2.14)( </w:t>
      </w:r>
    </w:p>
    <w:p w:rsidR="002C0F56" w:rsidRDefault="00E67C6E">
      <w:pPr>
        <w:ind w:left="994" w:right="302"/>
      </w:pPr>
      <w:r>
        <w:t xml:space="preserve">После этапа качественного и количественного оценивания инновационных проектов определяются приоритетные проекты. </w:t>
      </w:r>
    </w:p>
    <w:p w:rsidR="002C0F56" w:rsidRDefault="00E67C6E">
      <w:pPr>
        <w:ind w:left="994" w:right="302"/>
      </w:pPr>
      <w:r>
        <w:t>Таким образом, подход к формированию портфеля инновационных проектов «зеленого» роста экономики Донецкого региона на основе принципов государственно-частного партнерства, основанного на определении их рейтинговой оценки путем организации процесса сравнител</w:t>
      </w:r>
      <w:r>
        <w:t xml:space="preserve">ьной оценки критериальных показателей экологической, институционально-социальной и финансово-экономической устойчивости проекта обеспечит надлежащий уровень принятия управленческих решений.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34"/>
        </w:numPr>
        <w:ind w:right="302"/>
      </w:pPr>
      <w:r>
        <w:t xml:space="preserve">Михайлов С.Н. Оценка уровня инвестиционной </w:t>
      </w:r>
      <w:r>
        <w:t xml:space="preserve">конкурентоспособности предприятий строительной отрасли / С.Н. Михайлов, </w:t>
      </w:r>
    </w:p>
    <w:p w:rsidR="002C0F56" w:rsidRDefault="00E67C6E">
      <w:pPr>
        <w:ind w:left="994" w:right="302" w:firstLine="0"/>
      </w:pPr>
      <w:r>
        <w:t xml:space="preserve">Е.В.Чаплыгина // Проблемы современной экономики. – № 3(39). – 2011. – С. 85–88.  </w:t>
      </w:r>
    </w:p>
    <w:p w:rsidR="002C0F56" w:rsidRDefault="00E67C6E">
      <w:pPr>
        <w:numPr>
          <w:ilvl w:val="0"/>
          <w:numId w:val="234"/>
        </w:numPr>
        <w:ind w:right="302"/>
      </w:pPr>
      <w:r>
        <w:t>Дегтярьова І.Б. Наукові основи підвищення ефективності еколого</w:t>
      </w:r>
      <w:r>
        <w:t xml:space="preserve">економічних систем з урахуванням синергетичних ефектів: дисертація на здобуття наукового ступеня канд. екон. наук / І.Б. Дегтярьова ; наук. кер. Л.Г. Мельник. – Суми: СумДУ, 2009. – 218 с.  </w:t>
      </w:r>
    </w:p>
    <w:p w:rsidR="002C0F56" w:rsidRDefault="00E67C6E">
      <w:pPr>
        <w:numPr>
          <w:ilvl w:val="0"/>
          <w:numId w:val="234"/>
        </w:numPr>
        <w:spacing w:after="5"/>
        <w:ind w:right="302"/>
      </w:pPr>
      <w:r>
        <w:t>Подаенко М.Ю. Предварительное формирование портфеля проектов / М.</w:t>
      </w:r>
      <w:r>
        <w:t xml:space="preserve"> Ю. Подаенко, В. К. Кошкин, Л. С. Чернова // Управління розвитком складних систем. – 2013. – Вип. 13. – С. 37–39.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0" w:line="267" w:lineRule="auto"/>
        <w:ind w:left="3401" w:right="305" w:firstLine="347"/>
        <w:jc w:val="right"/>
      </w:pPr>
      <w:r>
        <w:rPr>
          <w:b/>
        </w:rPr>
        <w:t xml:space="preserve">Смирнова В.И. </w:t>
      </w:r>
      <w:r>
        <w:t xml:space="preserve">Научный руководитель: Тиндова М.Г., к.э.н., доц. </w:t>
      </w:r>
      <w:r>
        <w:rPr>
          <w:i/>
        </w:rPr>
        <w:t xml:space="preserve">Саратовский социально-экономический институт (филиал)  </w:t>
      </w:r>
    </w:p>
    <w:p w:rsidR="002C0F56" w:rsidRDefault="00E67C6E">
      <w:pPr>
        <w:spacing w:after="0" w:line="267" w:lineRule="auto"/>
        <w:ind w:left="905" w:right="308" w:hanging="10"/>
        <w:jc w:val="right"/>
      </w:pPr>
      <w:r>
        <w:rPr>
          <w:i/>
        </w:rPr>
        <w:t>РЭУ им. Г.В.Плеха</w:t>
      </w:r>
      <w:r>
        <w:rPr>
          <w:i/>
        </w:rPr>
        <w:t xml:space="preserve">нова </w:t>
      </w:r>
    </w:p>
    <w:p w:rsidR="002C0F56" w:rsidRDefault="00E67C6E">
      <w:pPr>
        <w:spacing w:after="0" w:line="259" w:lineRule="auto"/>
        <w:ind w:left="1558" w:firstLine="0"/>
        <w:jc w:val="left"/>
      </w:pPr>
      <w:r>
        <w:rPr>
          <w:b/>
        </w:rPr>
        <w:lastRenderedPageBreak/>
        <w:t xml:space="preserve"> </w:t>
      </w:r>
    </w:p>
    <w:p w:rsidR="002C0F56" w:rsidRDefault="00E67C6E">
      <w:pPr>
        <w:pStyle w:val="1"/>
        <w:spacing w:after="15" w:line="271" w:lineRule="auto"/>
        <w:ind w:left="1176" w:right="0"/>
        <w:jc w:val="left"/>
      </w:pPr>
      <w:r>
        <w:t xml:space="preserve">ДИНАМИЧЕСКИЙ АНАЛИЗ ВЛИЯНИЯ РЕМОНТА НА СТОИМОСТЬ </w:t>
      </w:r>
    </w:p>
    <w:p w:rsidR="002C0F56" w:rsidRDefault="00E67C6E">
      <w:pPr>
        <w:pStyle w:val="1"/>
        <w:ind w:left="700" w:right="5"/>
      </w:pPr>
      <w:r>
        <w:t xml:space="preserve">КВАРТИР В ПФО </w:t>
      </w:r>
    </w:p>
    <w:p w:rsidR="002C0F56" w:rsidRDefault="00E67C6E">
      <w:pPr>
        <w:spacing w:after="0" w:line="259" w:lineRule="auto"/>
        <w:ind w:left="1558" w:firstLine="0"/>
        <w:jc w:val="left"/>
      </w:pPr>
      <w:r>
        <w:rPr>
          <w:b/>
        </w:rPr>
        <w:t xml:space="preserve"> </w:t>
      </w:r>
    </w:p>
    <w:p w:rsidR="002C0F56" w:rsidRDefault="00E67C6E">
      <w:pPr>
        <w:ind w:left="994" w:right="302"/>
      </w:pPr>
      <w:r>
        <w:t xml:space="preserve">Рынок жилья продолжает оставаться одним из динамично развивающихся рынков. По данным Росгосстата [1] в 2015 г. доля трудовых ресурсов так </w:t>
      </w:r>
      <w:r>
        <w:t>или иначе занятая в данной отрасли составляет около 45%, а доля ВВП – около 8%. Всё это приводит к необходимости корректной оценки объектов жилой недвижимости. Методы оценки согласно российскому законодательству независимо от объекта оценки должны применят</w:t>
      </w:r>
      <w:r>
        <w:t xml:space="preserve">ься одинаковые, а именно, сравнительный подход. Поэтому разность в стоимости новостроек и объектов вторичного рынка осуществляется за счёт факторов их различающих (ремонт, возраст дома и т.д.).  </w:t>
      </w:r>
    </w:p>
    <w:p w:rsidR="002C0F56" w:rsidRDefault="00E67C6E">
      <w:pPr>
        <w:ind w:left="994" w:right="302"/>
      </w:pPr>
      <w:r>
        <w:t>Цель работы состоит в изучении влияния ремонта на различия в</w:t>
      </w:r>
      <w:r>
        <w:t xml:space="preserve"> стоимости квартир на первичном и вторичном рынках. </w:t>
      </w:r>
    </w:p>
    <w:p w:rsidR="002C0F56" w:rsidRDefault="00E67C6E">
      <w:pPr>
        <w:spacing w:after="0"/>
        <w:ind w:left="994" w:right="302"/>
      </w:pPr>
      <w:r>
        <w:t>Любая квартира относится к первичному рынку, если осуществляется её первая продажа от застройщика. Любые следующие сделки происходят уже на вторичном рынке. Поэтому для целей исследования мы можем отобра</w:t>
      </w:r>
      <w:r>
        <w:t>ть квартиры, которые будут отличаться только одним фактором – ремонтом – на первичных и вторичных рынках, остальные факторы при этом, такие как местоположение и возраст дома, будут идентичными. В качестве объекта исследования рассмотрим временные ряды изме</w:t>
      </w:r>
      <w:r>
        <w:t xml:space="preserve">нения стоимости 1 кв.м. жилья на первичном и вторичном рынках субъектов ПФО за 2000 – 2005 г.г. [1] </w:t>
      </w:r>
    </w:p>
    <w:p w:rsidR="002C0F56" w:rsidRDefault="00E67C6E">
      <w:pPr>
        <w:spacing w:after="0"/>
        <w:ind w:left="994" w:right="302"/>
      </w:pPr>
      <w:r>
        <w:t xml:space="preserve">Теория оценки рыночной стоимости объектов недвижимости, а именно сравнительного подхода, требует внесения процентных корректировок на различия в стоимости </w:t>
      </w:r>
      <w:r>
        <w:t>объектов-аналогов [2]. Поэтому, если считать, что основным отличием новостроек и квартир на вторичном рынке является наличие ремонта у последних, то стоимость 1 кв.м. жилой недвижимости на вторичном рынке можно найти по формуле: С</w:t>
      </w:r>
      <w:r>
        <w:rPr>
          <w:vertAlign w:val="subscript"/>
        </w:rPr>
        <w:t>вт</w:t>
      </w:r>
      <w:r>
        <w:rPr>
          <w:sz w:val="20"/>
        </w:rPr>
        <w:t>.</w:t>
      </w:r>
      <w:r>
        <w:rPr>
          <w:vertAlign w:val="subscript"/>
        </w:rPr>
        <w:t>р</w:t>
      </w:r>
      <w:r>
        <w:rPr>
          <w:sz w:val="20"/>
        </w:rPr>
        <w:t xml:space="preserve">. </w:t>
      </w:r>
      <w:r>
        <w:rPr>
          <w:rFonts w:ascii="Segoe UI Symbol" w:eastAsia="Segoe UI Symbol" w:hAnsi="Segoe UI Symbol" w:cs="Segoe UI Symbol"/>
        </w:rPr>
        <w:t xml:space="preserve"> </w:t>
      </w:r>
      <w:r>
        <w:t>С</w:t>
      </w:r>
      <w:r>
        <w:rPr>
          <w:vertAlign w:val="subscript"/>
        </w:rPr>
        <w:t xml:space="preserve">нов </w:t>
      </w:r>
      <w:r>
        <w:rPr>
          <w:rFonts w:ascii="Segoe UI Symbol" w:eastAsia="Segoe UI Symbol" w:hAnsi="Segoe UI Symbol" w:cs="Segoe UI Symbol"/>
        </w:rPr>
        <w:t xml:space="preserve"> </w:t>
      </w:r>
      <w:r>
        <w:rPr>
          <w:sz w:val="43"/>
          <w:vertAlign w:val="superscript"/>
        </w:rPr>
        <w:t>k</w:t>
      </w:r>
      <w:r>
        <w:rPr>
          <w:vertAlign w:val="subscript"/>
        </w:rPr>
        <w:t>рем</w:t>
      </w:r>
      <w:r>
        <w:t>, где С</w:t>
      </w:r>
      <w:r>
        <w:rPr>
          <w:vertAlign w:val="subscript"/>
        </w:rPr>
        <w:t>вт.р.</w:t>
      </w:r>
      <w:r>
        <w:t xml:space="preserve"> – стоимость 1 кв.м. на вторичном рынке; С</w:t>
      </w:r>
      <w:r>
        <w:rPr>
          <w:vertAlign w:val="subscript"/>
        </w:rPr>
        <w:t>нов</w:t>
      </w:r>
      <w:r>
        <w:t xml:space="preserve"> – стоимость 1 кв.м. на первичном рынке; k</w:t>
      </w:r>
      <w:r>
        <w:rPr>
          <w:vertAlign w:val="subscript"/>
        </w:rPr>
        <w:t>рем</w:t>
      </w:r>
      <w:r>
        <w:t xml:space="preserve"> – процентная корректировка на ремонт.  </w:t>
      </w:r>
    </w:p>
    <w:p w:rsidR="002C0F56" w:rsidRDefault="00E67C6E">
      <w:pPr>
        <w:tabs>
          <w:tab w:val="center" w:pos="2040"/>
          <w:tab w:val="center" w:pos="3679"/>
          <w:tab w:val="center" w:pos="5715"/>
          <w:tab w:val="center" w:pos="7674"/>
          <w:tab w:val="center" w:pos="8896"/>
          <w:tab w:val="center" w:pos="10068"/>
        </w:tabs>
        <w:spacing w:after="450" w:line="270" w:lineRule="auto"/>
        <w:ind w:left="0" w:firstLine="0"/>
        <w:jc w:val="left"/>
      </w:pPr>
      <w:r>
        <w:rPr>
          <w:rFonts w:ascii="Calibri" w:eastAsia="Calibri" w:hAnsi="Calibri" w:cs="Calibri"/>
          <w:sz w:val="22"/>
        </w:rPr>
        <w:tab/>
      </w:r>
      <w:r>
        <w:t xml:space="preserve">Обычно </w:t>
      </w:r>
      <w:r>
        <w:tab/>
        <w:t xml:space="preserve">процентная </w:t>
      </w:r>
      <w:r>
        <w:tab/>
        <w:t xml:space="preserve">корректировка </w:t>
      </w:r>
      <w:r>
        <w:tab/>
        <w:t xml:space="preserve">находится </w:t>
      </w:r>
      <w:r>
        <w:tab/>
        <w:t xml:space="preserve">по </w:t>
      </w:r>
      <w:r>
        <w:tab/>
        <w:t xml:space="preserve">формуле: </w:t>
      </w:r>
    </w:p>
    <w:p w:rsidR="002C0F56" w:rsidRDefault="00E67C6E">
      <w:pPr>
        <w:ind w:left="994" w:right="302" w:firstLine="37"/>
      </w:pPr>
      <w:r>
        <w:rPr>
          <w:rFonts w:ascii="Calibri" w:eastAsia="Calibri" w:hAnsi="Calibri" w:cs="Calibri"/>
          <w:noProof/>
          <w:sz w:val="22"/>
        </w:rPr>
        <mc:AlternateContent>
          <mc:Choice Requires="wpg">
            <w:drawing>
              <wp:anchor distT="0" distB="0" distL="114300" distR="114300" simplePos="0" relativeHeight="251693056" behindDoc="0" locked="0" layoutInCell="1" allowOverlap="1">
                <wp:simplePos x="0" y="0"/>
                <wp:positionH relativeFrom="column">
                  <wp:posOffset>1404550</wp:posOffset>
                </wp:positionH>
                <wp:positionV relativeFrom="paragraph">
                  <wp:posOffset>98864</wp:posOffset>
                </wp:positionV>
                <wp:extent cx="655663" cy="6333"/>
                <wp:effectExtent l="0" t="0" r="0" b="0"/>
                <wp:wrapNone/>
                <wp:docPr id="670400" name="Group 670400"/>
                <wp:cNvGraphicFramePr/>
                <a:graphic xmlns:a="http://schemas.openxmlformats.org/drawingml/2006/main">
                  <a:graphicData uri="http://schemas.microsoft.com/office/word/2010/wordprocessingGroup">
                    <wpg:wgp>
                      <wpg:cNvGrpSpPr/>
                      <wpg:grpSpPr>
                        <a:xfrm>
                          <a:off x="0" y="0"/>
                          <a:ext cx="655663" cy="6333"/>
                          <a:chOff x="0" y="0"/>
                          <a:chExt cx="655663" cy="6333"/>
                        </a:xfrm>
                      </wpg:grpSpPr>
                      <wps:wsp>
                        <wps:cNvPr id="74777" name="Shape 74777"/>
                        <wps:cNvSpPr/>
                        <wps:spPr>
                          <a:xfrm>
                            <a:off x="0" y="0"/>
                            <a:ext cx="111312" cy="0"/>
                          </a:xfrm>
                          <a:custGeom>
                            <a:avLst/>
                            <a:gdLst/>
                            <a:ahLst/>
                            <a:cxnLst/>
                            <a:rect l="0" t="0" r="0" b="0"/>
                            <a:pathLst>
                              <a:path w="111312">
                                <a:moveTo>
                                  <a:pt x="0" y="0"/>
                                </a:moveTo>
                                <a:lnTo>
                                  <a:pt x="111312" y="0"/>
                                </a:lnTo>
                              </a:path>
                            </a:pathLst>
                          </a:custGeom>
                          <a:ln w="6333" cap="flat">
                            <a:round/>
                          </a:ln>
                        </wps:spPr>
                        <wps:style>
                          <a:lnRef idx="1">
                            <a:srgbClr val="000000"/>
                          </a:lnRef>
                          <a:fillRef idx="0">
                            <a:srgbClr val="000000">
                              <a:alpha val="0"/>
                            </a:srgbClr>
                          </a:fillRef>
                          <a:effectRef idx="0">
                            <a:scrgbClr r="0" g="0" b="0"/>
                          </a:effectRef>
                          <a:fontRef idx="none"/>
                        </wps:style>
                        <wps:bodyPr/>
                      </wps:wsp>
                      <wps:wsp>
                        <wps:cNvPr id="74778" name="Shape 74778"/>
                        <wps:cNvSpPr/>
                        <wps:spPr>
                          <a:xfrm>
                            <a:off x="355025" y="0"/>
                            <a:ext cx="300639" cy="0"/>
                          </a:xfrm>
                          <a:custGeom>
                            <a:avLst/>
                            <a:gdLst/>
                            <a:ahLst/>
                            <a:cxnLst/>
                            <a:rect l="0" t="0" r="0" b="0"/>
                            <a:pathLst>
                              <a:path w="300639">
                                <a:moveTo>
                                  <a:pt x="0" y="0"/>
                                </a:moveTo>
                                <a:lnTo>
                                  <a:pt x="300639" y="0"/>
                                </a:lnTo>
                              </a:path>
                            </a:pathLst>
                          </a:custGeom>
                          <a:ln w="6333"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70400" style="width:51.627pt;height:3.05176e-05pt;position:absolute;z-index:43;mso-position-horizontal-relative:text;mso-position-horizontal:absolute;margin-left:110.594pt;mso-position-vertical-relative:text;margin-top:7.78456pt;" coordsize="6556,0">
                <v:shape id="Shape 74777" style="position:absolute;width:1113;height:0;left:0;top:0;" coordsize="111312,0" path="m0,0l111312,0">
                  <v:stroke weight="0.498629pt" endcap="flat" joinstyle="round" on="true" color="#000000"/>
                  <v:fill on="false" color="#000000" opacity="0"/>
                </v:shape>
                <v:shape id="Shape 74778" style="position:absolute;width:3006;height:0;left:3550;top:0;" coordsize="300639,0" path="m0,0l300639,0">
                  <v:stroke weight="0.498629pt" endcap="flat" joinstyle="round" on="true" color="#000000"/>
                  <v:fill on="false" color="#000000" opacity="0"/>
                </v:shape>
              </v:group>
            </w:pict>
          </mc:Fallback>
        </mc:AlternateContent>
      </w:r>
      <w:r>
        <w:t>k</w:t>
      </w:r>
      <w:r>
        <w:rPr>
          <w:sz w:val="20"/>
        </w:rPr>
        <w:t xml:space="preserve">рем </w:t>
      </w:r>
      <w:r>
        <w:rPr>
          <w:rFonts w:ascii="Segoe UI Symbol" w:eastAsia="Segoe UI Symbol" w:hAnsi="Segoe UI Symbol" w:cs="Segoe UI Symbol"/>
        </w:rPr>
        <w:t></w:t>
      </w:r>
      <w:r>
        <w:t>1</w:t>
      </w:r>
      <w:r>
        <w:rPr>
          <w:rFonts w:ascii="Segoe UI Symbol" w:eastAsia="Segoe UI Symbol" w:hAnsi="Segoe UI Symbol" w:cs="Segoe UI Symbol"/>
        </w:rPr>
        <w:t xml:space="preserve"> </w:t>
      </w:r>
      <w:r>
        <w:rPr>
          <w:sz w:val="43"/>
          <w:vertAlign w:val="superscript"/>
        </w:rPr>
        <w:t xml:space="preserve">1 </w:t>
      </w:r>
      <w:r>
        <w:rPr>
          <w:rFonts w:ascii="Segoe UI Symbol" w:eastAsia="Segoe UI Symbol" w:hAnsi="Segoe UI Symbol" w:cs="Segoe UI Symbol"/>
          <w:sz w:val="62"/>
          <w:vertAlign w:val="superscript"/>
        </w:rPr>
        <w:t></w:t>
      </w:r>
      <w:r>
        <w:rPr>
          <w:vertAlign w:val="superscript"/>
        </w:rPr>
        <w:t xml:space="preserve">n </w:t>
      </w:r>
      <w:r>
        <w:rPr>
          <w:sz w:val="43"/>
          <w:vertAlign w:val="superscript"/>
        </w:rPr>
        <w:t>C</w:t>
      </w:r>
      <w:r>
        <w:rPr>
          <w:sz w:val="20"/>
        </w:rPr>
        <w:t>бр</w:t>
      </w:r>
      <w:r>
        <w:rPr>
          <w:vertAlign w:val="superscript"/>
        </w:rPr>
        <w:t xml:space="preserve">iр </w:t>
      </w:r>
      <w:r>
        <w:t xml:space="preserve">, где </w:t>
      </w:r>
      <w:r>
        <w:rPr>
          <w:sz w:val="43"/>
          <w:vertAlign w:val="superscript"/>
        </w:rPr>
        <w:t>C</w:t>
      </w:r>
      <w:r>
        <w:rPr>
          <w:sz w:val="20"/>
        </w:rPr>
        <w:t>i</w:t>
      </w:r>
      <w:r>
        <w:rPr>
          <w:vertAlign w:val="superscript"/>
        </w:rPr>
        <w:t>p</w:t>
      </w:r>
      <w:r>
        <w:t xml:space="preserve"> – стоимость 1 </w:t>
      </w:r>
      <w:r>
        <w:t xml:space="preserve">кв.м. аналога с ремонтом; </w:t>
      </w:r>
      <w:r>
        <w:rPr>
          <w:sz w:val="43"/>
          <w:vertAlign w:val="superscript"/>
        </w:rPr>
        <w:t>C</w:t>
      </w:r>
      <w:r>
        <w:rPr>
          <w:sz w:val="20"/>
        </w:rPr>
        <w:t>i</w:t>
      </w:r>
      <w:r>
        <w:rPr>
          <w:vertAlign w:val="superscript"/>
        </w:rPr>
        <w:t>бр</w:t>
      </w:r>
      <w:r>
        <w:t xml:space="preserve"> – </w:t>
      </w:r>
      <w:r>
        <w:t xml:space="preserve">n </w:t>
      </w:r>
      <w:r>
        <w:rPr>
          <w:vertAlign w:val="subscript"/>
        </w:rPr>
        <w:t>i</w:t>
      </w:r>
      <w:r>
        <w:rPr>
          <w:rFonts w:ascii="Segoe UI Symbol" w:eastAsia="Segoe UI Symbol" w:hAnsi="Segoe UI Symbol" w:cs="Segoe UI Symbol"/>
          <w:vertAlign w:val="subscript"/>
        </w:rPr>
        <w:t></w:t>
      </w:r>
      <w:r>
        <w:rPr>
          <w:vertAlign w:val="subscript"/>
        </w:rPr>
        <w:t xml:space="preserve">1 </w:t>
      </w:r>
      <w:r>
        <w:t>C</w:t>
      </w:r>
      <w:r>
        <w:rPr>
          <w:vertAlign w:val="subscript"/>
        </w:rPr>
        <w:t xml:space="preserve">i </w:t>
      </w:r>
      <w:r>
        <w:t>стоимость 1 кв.м. аналога без ремонта [3]. При этом выбор сравниваемых объектов является индивидуальным решением оценщика, что позволяет повлиять на результат в нужную сторону (завысить или занизить влияние ремонта</w:t>
      </w:r>
      <w:r>
        <w:t xml:space="preserve">). Сравнение же рядов динамики изменения стоимости квартир на </w:t>
      </w:r>
      <w:r>
        <w:lastRenderedPageBreak/>
        <w:t xml:space="preserve">первичном и вторичном рынках является беспристрастным критерием влияния ремонта. </w:t>
      </w:r>
    </w:p>
    <w:p w:rsidR="002C0F56" w:rsidRDefault="00E67C6E">
      <w:pPr>
        <w:spacing w:after="0"/>
        <w:ind w:left="994" w:right="302"/>
      </w:pPr>
      <w:r>
        <w:t>С этой целью, находя процентное соотношение стоимости 1 кв.м. на первичном и вторичном рынках, находим изменение</w:t>
      </w:r>
      <w:r>
        <w:t xml:space="preserve"> влияния ценообразующего фактора «ремонт». Так, например, в целом по ПФО с 2000 по 2004 наличие ремонта было незначимым фактором и только с 2005 потребители начали отдавать предпочтение квартирам с ремонтом. Данный факт, по нашему мнению, можно объяснить т</w:t>
      </w:r>
      <w:r>
        <w:t>ем, что в 2000 году на рынке было мало новостроек и квартиры с ремонтом были только в «старых» домах. Однако к 2005 году доля новых домов выросла и на вторичном рынке появились квартиры с ремонтом в новых домах, что вывело фактор «ремонта» на лидирующие по</w:t>
      </w:r>
      <w:r>
        <w:t xml:space="preserve">зиции. Аналогичная ситуация складывается и в большинстве отдельных субъектов ПФО. </w:t>
      </w:r>
    </w:p>
    <w:p w:rsidR="002C0F56" w:rsidRDefault="00E67C6E">
      <w:pPr>
        <w:spacing w:after="0" w:line="259" w:lineRule="auto"/>
        <w:ind w:left="1558" w:firstLine="0"/>
        <w:jc w:val="left"/>
      </w:pPr>
      <w:r>
        <w:rPr>
          <w:i/>
        </w:rPr>
        <w:t xml:space="preserve"> </w:t>
      </w:r>
    </w:p>
    <w:p w:rsidR="002C0F56" w:rsidRDefault="00E67C6E">
      <w:pPr>
        <w:spacing w:after="5" w:line="271" w:lineRule="auto"/>
        <w:ind w:left="1983" w:right="396" w:hanging="10"/>
        <w:jc w:val="left"/>
      </w:pPr>
      <w:r>
        <w:rPr>
          <w:i/>
          <w:sz w:val="24"/>
        </w:rPr>
        <w:t>Таблица 1</w:t>
      </w:r>
      <w:r>
        <w:rPr>
          <w:b/>
          <w:sz w:val="24"/>
        </w:rPr>
        <w:t xml:space="preserve"> – Показательные уравнения трендов для k</w:t>
      </w:r>
      <w:r>
        <w:rPr>
          <w:b/>
          <w:sz w:val="24"/>
          <w:vertAlign w:val="subscript"/>
        </w:rPr>
        <w:t>рем</w:t>
      </w:r>
      <w:r>
        <w:rPr>
          <w:b/>
          <w:sz w:val="24"/>
        </w:rPr>
        <w:t xml:space="preserve"> по субъектам ПФО </w:t>
      </w:r>
    </w:p>
    <w:tbl>
      <w:tblPr>
        <w:tblStyle w:val="TableGrid"/>
        <w:tblW w:w="7586" w:type="dxa"/>
        <w:tblInd w:w="2021" w:type="dxa"/>
        <w:tblCellMar>
          <w:top w:w="9" w:type="dxa"/>
          <w:left w:w="108" w:type="dxa"/>
          <w:bottom w:w="0" w:type="dxa"/>
          <w:right w:w="51" w:type="dxa"/>
        </w:tblCellMar>
        <w:tblLook w:val="04A0" w:firstRow="1" w:lastRow="0" w:firstColumn="1" w:lastColumn="0" w:noHBand="0" w:noVBand="1"/>
      </w:tblPr>
      <w:tblGrid>
        <w:gridCol w:w="3397"/>
        <w:gridCol w:w="2952"/>
        <w:gridCol w:w="1237"/>
      </w:tblGrid>
      <w:tr w:rsidR="002C0F56">
        <w:trPr>
          <w:trHeight w:val="286"/>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 </w:t>
            </w:r>
          </w:p>
        </w:tc>
        <w:tc>
          <w:tcPr>
            <w:tcW w:w="29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Уравнение тренда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R</w:t>
            </w:r>
            <w:r>
              <w:rPr>
                <w:sz w:val="24"/>
                <w:vertAlign w:val="superscript"/>
              </w:rPr>
              <w:t>2</w:t>
            </w:r>
            <w:r>
              <w:rPr>
                <w:sz w:val="24"/>
              </w:rPr>
              <w:t xml:space="preserve"> </w:t>
            </w:r>
          </w:p>
        </w:tc>
      </w:tr>
      <w:tr w:rsidR="002C0F56">
        <w:trPr>
          <w:trHeight w:val="286"/>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1 </w:t>
            </w:r>
          </w:p>
        </w:tc>
        <w:tc>
          <w:tcPr>
            <w:tcW w:w="29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7" w:firstLine="0"/>
              <w:jc w:val="center"/>
            </w:pPr>
            <w:r>
              <w:rPr>
                <w:sz w:val="24"/>
              </w:rPr>
              <w:t xml:space="preserve">2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0" w:firstLine="0"/>
              <w:jc w:val="center"/>
            </w:pPr>
            <w:r>
              <w:rPr>
                <w:sz w:val="24"/>
              </w:rPr>
              <w:t xml:space="preserve">3 </w:t>
            </w:r>
          </w:p>
        </w:tc>
      </w:tr>
      <w:tr w:rsidR="002C0F56">
        <w:trPr>
          <w:trHeight w:val="562"/>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b/>
                <w:sz w:val="24"/>
              </w:rPr>
              <w:t xml:space="preserve">Приволжский федеральный округ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14,33</w:t>
            </w:r>
            <w:r>
              <w:rPr>
                <w:rFonts w:ascii="Segoe UI Symbol" w:eastAsia="Segoe UI Symbol" w:hAnsi="Segoe UI Symbol" w:cs="Segoe UI Symbol"/>
              </w:rPr>
              <w:t></w:t>
            </w:r>
            <w:r>
              <w:t>e</w:t>
            </w:r>
            <w:r>
              <w:rPr>
                <w:sz w:val="20"/>
              </w:rPr>
              <w:t>0,07t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0,938 </w:t>
            </w:r>
          </w:p>
        </w:tc>
      </w:tr>
      <w:tr w:rsidR="002C0F56">
        <w:trPr>
          <w:trHeight w:val="492"/>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Республика Башкортостан</w:t>
            </w:r>
            <w:r>
              <w:rPr>
                <w:b/>
                <w:sz w:val="24"/>
              </w:rPr>
              <w:t xml:space="preserve">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8,83</w:t>
            </w:r>
            <w:r>
              <w:rPr>
                <w:rFonts w:ascii="Segoe UI Symbol" w:eastAsia="Segoe UI Symbol" w:hAnsi="Segoe UI Symbol" w:cs="Segoe UI Symbol"/>
              </w:rPr>
              <w:t></w:t>
            </w:r>
            <w:r>
              <w:t>e</w:t>
            </w:r>
            <w:r>
              <w:rPr>
                <w:sz w:val="20"/>
              </w:rPr>
              <w:t>0,09t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0,645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Республика Марий Эл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14,94 </w:t>
            </w:r>
            <w:r>
              <w:rPr>
                <w:rFonts w:ascii="Segoe UI Symbol" w:eastAsia="Segoe UI Symbol" w:hAnsi="Segoe UI Symbol" w:cs="Segoe UI Symbol"/>
              </w:rPr>
              <w:t></w:t>
            </w:r>
            <w:r>
              <w:t>e</w:t>
            </w:r>
            <w:r>
              <w:rPr>
                <w:sz w:val="20"/>
              </w:rPr>
              <w:t>0,07t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0,564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Республика Мордовия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32,73</w:t>
            </w:r>
            <w:r>
              <w:rPr>
                <w:rFonts w:ascii="Segoe UI Symbol" w:eastAsia="Segoe UI Symbol" w:hAnsi="Segoe UI Symbol" w:cs="Segoe UI Symbol"/>
              </w:rPr>
              <w:t></w:t>
            </w:r>
            <w:r>
              <w:t>e</w:t>
            </w:r>
            <w:r>
              <w:rPr>
                <w:sz w:val="20"/>
              </w:rPr>
              <w:t>0,32t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0,796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Республика Татарстан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w:t>
            </w:r>
            <w:r>
              <w:t>1,68</w:t>
            </w:r>
            <w:r>
              <w:rPr>
                <w:rFonts w:ascii="Segoe UI Symbol" w:eastAsia="Segoe UI Symbol" w:hAnsi="Segoe UI Symbol" w:cs="Segoe UI Symbol"/>
              </w:rPr>
              <w:t></w:t>
            </w:r>
            <w:r>
              <w:t>e</w:t>
            </w:r>
            <w:r>
              <w:rPr>
                <w:sz w:val="20"/>
              </w:rPr>
              <w:t>0,04t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0,379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Удмуртская Республика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t>6,71</w:t>
            </w:r>
            <w:r>
              <w:rPr>
                <w:rFonts w:ascii="Segoe UI Symbol" w:eastAsia="Segoe UI Symbol" w:hAnsi="Segoe UI Symbol" w:cs="Segoe UI Symbol"/>
              </w:rPr>
              <w:t></w:t>
            </w:r>
            <w:r>
              <w:t>e</w:t>
            </w:r>
            <w:r>
              <w:rPr>
                <w:rFonts w:ascii="Segoe UI Symbol" w:eastAsia="Segoe UI Symbol" w:hAnsi="Segoe UI Symbol" w:cs="Segoe UI Symbol"/>
                <w:sz w:val="20"/>
              </w:rPr>
              <w:t></w:t>
            </w:r>
            <w:r>
              <w:rPr>
                <w:sz w:val="20"/>
              </w:rPr>
              <w:t>0,04t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0,211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Чувашская Республика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18,01</w:t>
            </w:r>
            <w:r>
              <w:rPr>
                <w:rFonts w:ascii="Segoe UI Symbol" w:eastAsia="Segoe UI Symbol" w:hAnsi="Segoe UI Symbol" w:cs="Segoe UI Symbol"/>
              </w:rPr>
              <w:t></w:t>
            </w:r>
            <w:r>
              <w:t>e</w:t>
            </w:r>
            <w:r>
              <w:rPr>
                <w:sz w:val="20"/>
              </w:rPr>
              <w:t>0,1t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0,629 </w:t>
            </w:r>
          </w:p>
        </w:tc>
      </w:tr>
      <w:tr w:rsidR="002C0F56">
        <w:trPr>
          <w:trHeight w:val="492"/>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Пермский край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rPr>
                <w:sz w:val="43"/>
                <w:vertAlign w:val="superscript"/>
              </w:rPr>
              <w:t>k</w:t>
            </w:r>
            <w:r>
              <w:rPr>
                <w:sz w:val="31"/>
                <w:vertAlign w:val="subscript"/>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10,5</w:t>
            </w:r>
            <w:r>
              <w:rPr>
                <w:rFonts w:ascii="Segoe UI Symbol" w:eastAsia="Segoe UI Symbol" w:hAnsi="Segoe UI Symbol" w:cs="Segoe UI Symbol"/>
              </w:rPr>
              <w:t></w:t>
            </w:r>
            <w:r>
              <w:t>e</w:t>
            </w:r>
            <w:r>
              <w:rPr>
                <w:sz w:val="20"/>
              </w:rPr>
              <w:t>0,0002 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0,023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Кировская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18,71</w:t>
            </w:r>
            <w:r>
              <w:rPr>
                <w:rFonts w:ascii="Segoe UI Symbol" w:eastAsia="Segoe UI Symbol" w:hAnsi="Segoe UI Symbol" w:cs="Segoe UI Symbol"/>
              </w:rPr>
              <w:t></w:t>
            </w:r>
            <w:r>
              <w:t>e</w:t>
            </w:r>
            <w:r>
              <w:rPr>
                <w:sz w:val="20"/>
              </w:rPr>
              <w:t>0,06t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0,524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Нижегородская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36,42 </w:t>
            </w:r>
            <w:r>
              <w:rPr>
                <w:rFonts w:ascii="Segoe UI Symbol" w:eastAsia="Segoe UI Symbol" w:hAnsi="Segoe UI Symbol" w:cs="Segoe UI Symbol"/>
              </w:rPr>
              <w:t></w:t>
            </w:r>
            <w:r>
              <w:t>e</w:t>
            </w:r>
            <w:r>
              <w:rPr>
                <w:sz w:val="20"/>
              </w:rPr>
              <w:t>0,22t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0,813 </w:t>
            </w:r>
          </w:p>
        </w:tc>
      </w:tr>
    </w:tbl>
    <w:p w:rsidR="002C0F56" w:rsidRDefault="00E67C6E">
      <w:pPr>
        <w:spacing w:after="0" w:line="259" w:lineRule="auto"/>
        <w:ind w:left="10" w:right="309" w:hanging="10"/>
        <w:jc w:val="right"/>
      </w:pPr>
      <w:r>
        <w:rPr>
          <w:i/>
          <w:sz w:val="24"/>
        </w:rPr>
        <w:t xml:space="preserve">Продолжение табл. 1 </w:t>
      </w:r>
    </w:p>
    <w:tbl>
      <w:tblPr>
        <w:tblStyle w:val="TableGrid"/>
        <w:tblW w:w="7586" w:type="dxa"/>
        <w:tblInd w:w="2021" w:type="dxa"/>
        <w:tblCellMar>
          <w:top w:w="14" w:type="dxa"/>
          <w:left w:w="108" w:type="dxa"/>
          <w:bottom w:w="0" w:type="dxa"/>
          <w:right w:w="115" w:type="dxa"/>
        </w:tblCellMar>
        <w:tblLook w:val="04A0" w:firstRow="1" w:lastRow="0" w:firstColumn="1" w:lastColumn="0" w:noHBand="0" w:noVBand="1"/>
      </w:tblPr>
      <w:tblGrid>
        <w:gridCol w:w="3397"/>
        <w:gridCol w:w="2952"/>
        <w:gridCol w:w="1237"/>
      </w:tblGrid>
      <w:tr w:rsidR="002C0F56">
        <w:trPr>
          <w:trHeight w:val="288"/>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 w:firstLine="0"/>
              <w:jc w:val="center"/>
            </w:pPr>
            <w:r>
              <w:rPr>
                <w:sz w:val="24"/>
              </w:rPr>
              <w:t xml:space="preserve">1 </w:t>
            </w:r>
          </w:p>
        </w:tc>
        <w:tc>
          <w:tcPr>
            <w:tcW w:w="2952"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4" w:firstLine="0"/>
              <w:jc w:val="center"/>
            </w:pPr>
            <w:r>
              <w:rPr>
                <w:sz w:val="24"/>
              </w:rPr>
              <w:t xml:space="preserve">3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Оренбургская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36,19 </w:t>
            </w:r>
            <w:r>
              <w:rPr>
                <w:rFonts w:ascii="Segoe UI Symbol" w:eastAsia="Segoe UI Symbol" w:hAnsi="Segoe UI Symbol" w:cs="Segoe UI Symbol"/>
              </w:rPr>
              <w:t></w:t>
            </w:r>
            <w:r>
              <w:t>e</w:t>
            </w:r>
            <w:r>
              <w:rPr>
                <w:sz w:val="20"/>
              </w:rPr>
              <w:t>0,24t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0,761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Пензенская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9,08</w:t>
            </w:r>
            <w:r>
              <w:rPr>
                <w:rFonts w:ascii="Segoe UI Symbol" w:eastAsia="Segoe UI Symbol" w:hAnsi="Segoe UI Symbol" w:cs="Segoe UI Symbol"/>
              </w:rPr>
              <w:t></w:t>
            </w:r>
            <w:r>
              <w:t>e</w:t>
            </w:r>
            <w:r>
              <w:rPr>
                <w:sz w:val="20"/>
              </w:rPr>
              <w:t>0,03t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0,367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Самарская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14,67 </w:t>
            </w:r>
            <w:r>
              <w:rPr>
                <w:rFonts w:ascii="Segoe UI Symbol" w:eastAsia="Segoe UI Symbol" w:hAnsi="Segoe UI Symbol" w:cs="Segoe UI Symbol"/>
              </w:rPr>
              <w:t></w:t>
            </w:r>
            <w:r>
              <w:t>e</w:t>
            </w:r>
            <w:r>
              <w:rPr>
                <w:sz w:val="20"/>
              </w:rPr>
              <w:t>0,13t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0,755 </w:t>
            </w:r>
          </w:p>
        </w:tc>
      </w:tr>
      <w:tr w:rsidR="002C0F56">
        <w:trPr>
          <w:trHeight w:val="490"/>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Саратовская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sz w:val="20"/>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1,26 </w:t>
            </w:r>
            <w:r>
              <w:rPr>
                <w:rFonts w:ascii="Segoe UI Symbol" w:eastAsia="Segoe UI Symbol" w:hAnsi="Segoe UI Symbol" w:cs="Segoe UI Symbol"/>
              </w:rPr>
              <w:t></w:t>
            </w:r>
            <w:r>
              <w:t>e</w:t>
            </w:r>
            <w:r>
              <w:rPr>
                <w:rFonts w:ascii="Segoe UI Symbol" w:eastAsia="Segoe UI Symbol" w:hAnsi="Segoe UI Symbol" w:cs="Segoe UI Symbol"/>
                <w:sz w:val="20"/>
              </w:rPr>
              <w:t></w:t>
            </w:r>
            <w:r>
              <w:rPr>
                <w:sz w:val="20"/>
              </w:rPr>
              <w:t>0,03t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0,127 </w:t>
            </w:r>
          </w:p>
        </w:tc>
      </w:tr>
      <w:tr w:rsidR="002C0F56">
        <w:trPr>
          <w:trHeight w:val="492"/>
        </w:trPr>
        <w:tc>
          <w:tcPr>
            <w:tcW w:w="339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lastRenderedPageBreak/>
              <w:t xml:space="preserve">Ульяновская область </w:t>
            </w:r>
          </w:p>
        </w:tc>
        <w:tc>
          <w:tcPr>
            <w:tcW w:w="2952"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36" w:firstLine="0"/>
              <w:jc w:val="left"/>
            </w:pPr>
            <w:r>
              <w:t>k</w:t>
            </w:r>
            <w:r>
              <w:rPr>
                <w:vertAlign w:val="subscript"/>
              </w:rPr>
              <w:t xml:space="preserve">рем </w:t>
            </w:r>
            <w:r>
              <w:rPr>
                <w:rFonts w:ascii="Segoe UI Symbol" w:eastAsia="Segoe UI Symbol" w:hAnsi="Segoe UI Symbol" w:cs="Segoe UI Symbol"/>
              </w:rPr>
              <w:t xml:space="preserve"> </w:t>
            </w:r>
            <w:r>
              <w:rPr>
                <w:rFonts w:ascii="Segoe UI Symbol" w:eastAsia="Segoe UI Symbol" w:hAnsi="Segoe UI Symbol" w:cs="Segoe UI Symbol"/>
              </w:rPr>
              <w:t></w:t>
            </w:r>
            <w:r>
              <w:t>6,95</w:t>
            </w:r>
            <w:r>
              <w:rPr>
                <w:rFonts w:ascii="Segoe UI Symbol" w:eastAsia="Segoe UI Symbol" w:hAnsi="Segoe UI Symbol" w:cs="Segoe UI Symbol"/>
              </w:rPr>
              <w:t></w:t>
            </w:r>
            <w:r>
              <w:t>e</w:t>
            </w:r>
            <w:r>
              <w:rPr>
                <w:sz w:val="20"/>
              </w:rPr>
              <w:t>0,003t</w:t>
            </w:r>
            <w:r>
              <w:rPr>
                <w:sz w:val="24"/>
              </w:rPr>
              <w:t xml:space="preserve"> </w:t>
            </w:r>
          </w:p>
        </w:tc>
        <w:tc>
          <w:tcPr>
            <w:tcW w:w="123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0,01 </w:t>
            </w:r>
          </w:p>
        </w:tc>
      </w:tr>
    </w:tbl>
    <w:p w:rsidR="002C0F56" w:rsidRDefault="00E67C6E">
      <w:pPr>
        <w:spacing w:after="0" w:line="259" w:lineRule="auto"/>
        <w:ind w:left="1558" w:firstLine="0"/>
        <w:jc w:val="left"/>
      </w:pPr>
      <w:r>
        <w:t xml:space="preserve"> </w:t>
      </w:r>
    </w:p>
    <w:p w:rsidR="002C0F56" w:rsidRDefault="00E67C6E">
      <w:pPr>
        <w:spacing w:after="15"/>
        <w:ind w:left="994" w:right="302"/>
      </w:pPr>
      <w:r>
        <w:t>Если полученные результаты представить на графике, то можно предположить, что изменение роли фактора «ремонт» с течением времени проходило, либо линейными, либо экспоненциальными темпами. Для определения тренда, сравним линейную и показательную регрессии:</w:t>
      </w:r>
      <w:r>
        <w:rPr>
          <w:sz w:val="43"/>
          <w:vertAlign w:val="superscript"/>
        </w:rPr>
        <w:t>k</w:t>
      </w:r>
      <w:r>
        <w:rPr>
          <w:vertAlign w:val="subscript"/>
        </w:rPr>
        <w:t xml:space="preserve">рем </w:t>
      </w:r>
      <w:r>
        <w:rPr>
          <w:rFonts w:ascii="Segoe UI Symbol" w:eastAsia="Segoe UI Symbol" w:hAnsi="Segoe UI Symbol" w:cs="Segoe UI Symbol"/>
        </w:rPr>
        <w:t xml:space="preserve"> </w:t>
      </w:r>
      <w:r>
        <w:rPr>
          <w:sz w:val="43"/>
          <w:vertAlign w:val="superscript"/>
        </w:rPr>
        <w:t>b</w:t>
      </w:r>
      <w:r>
        <w:rPr>
          <w:vertAlign w:val="subscript"/>
        </w:rPr>
        <w:t xml:space="preserve">0 </w:t>
      </w:r>
      <w:r>
        <w:rPr>
          <w:rFonts w:ascii="Segoe UI Symbol" w:eastAsia="Segoe UI Symbol" w:hAnsi="Segoe UI Symbol" w:cs="Segoe UI Symbol"/>
        </w:rPr>
        <w:t xml:space="preserve"> </w:t>
      </w:r>
      <w:r>
        <w:rPr>
          <w:sz w:val="43"/>
          <w:vertAlign w:val="superscript"/>
        </w:rPr>
        <w:t>b</w:t>
      </w:r>
      <w:r>
        <w:rPr>
          <w:vertAlign w:val="subscript"/>
        </w:rPr>
        <w:t xml:space="preserve">1 </w:t>
      </w:r>
      <w:r>
        <w:rPr>
          <w:rFonts w:ascii="Segoe UI Symbol" w:eastAsia="Segoe UI Symbol" w:hAnsi="Segoe UI Symbol" w:cs="Segoe UI Symbol"/>
        </w:rPr>
        <w:t xml:space="preserve"> </w:t>
      </w:r>
      <w:r>
        <w:t xml:space="preserve">t </w:t>
      </w:r>
      <w:r>
        <w:rPr>
          <w:rFonts w:ascii="Segoe UI Symbol" w:eastAsia="Segoe UI Symbol" w:hAnsi="Segoe UI Symbol" w:cs="Segoe UI Symbol"/>
        </w:rPr>
        <w:t xml:space="preserve"> </w:t>
      </w:r>
      <w:r>
        <w:rPr>
          <w:rFonts w:ascii="Segoe UI Symbol" w:eastAsia="Segoe UI Symbol" w:hAnsi="Segoe UI Symbol" w:cs="Segoe UI Symbol"/>
        </w:rPr>
        <w:t></w:t>
      </w:r>
      <w:r>
        <w:t xml:space="preserve"> и </w:t>
      </w:r>
      <w:r>
        <w:rPr>
          <w:sz w:val="43"/>
          <w:vertAlign w:val="superscript"/>
        </w:rPr>
        <w:t>k</w:t>
      </w:r>
      <w:r>
        <w:rPr>
          <w:vertAlign w:val="subscript"/>
        </w:rPr>
        <w:t xml:space="preserve">рем </w:t>
      </w:r>
      <w:r>
        <w:rPr>
          <w:rFonts w:ascii="Segoe UI Symbol" w:eastAsia="Segoe UI Symbol" w:hAnsi="Segoe UI Symbol" w:cs="Segoe UI Symbol"/>
        </w:rPr>
        <w:t xml:space="preserve"> </w:t>
      </w:r>
      <w:r>
        <w:rPr>
          <w:sz w:val="43"/>
          <w:vertAlign w:val="superscript"/>
        </w:rPr>
        <w:t>b</w:t>
      </w:r>
      <w:r>
        <w:rPr>
          <w:vertAlign w:val="subscript"/>
        </w:rPr>
        <w:t xml:space="preserve">0 </w:t>
      </w:r>
      <w:r>
        <w:rPr>
          <w:rFonts w:ascii="Segoe UI Symbol" w:eastAsia="Segoe UI Symbol" w:hAnsi="Segoe UI Symbol" w:cs="Segoe UI Symbol"/>
        </w:rPr>
        <w:t></w:t>
      </w:r>
      <w:r>
        <w:t>e</w:t>
      </w:r>
      <w:r>
        <w:rPr>
          <w:vertAlign w:val="superscript"/>
        </w:rPr>
        <w:t>b</w:t>
      </w:r>
      <w:r>
        <w:rPr>
          <w:sz w:val="24"/>
          <w:vertAlign w:val="superscript"/>
        </w:rPr>
        <w:t>1</w:t>
      </w:r>
      <w:r>
        <w:rPr>
          <w:vertAlign w:val="superscript"/>
        </w:rPr>
        <w:t xml:space="preserve">t </w:t>
      </w:r>
      <w:r>
        <w:rPr>
          <w:rFonts w:ascii="Segoe UI Symbol" w:eastAsia="Segoe UI Symbol" w:hAnsi="Segoe UI Symbol" w:cs="Segoe UI Symbol"/>
        </w:rPr>
        <w:t></w:t>
      </w:r>
      <w:r>
        <w:rPr>
          <w:rFonts w:ascii="Segoe UI Symbol" w:eastAsia="Segoe UI Symbol" w:hAnsi="Segoe UI Symbol" w:cs="Segoe UI Symbol"/>
        </w:rPr>
        <w:t xml:space="preserve"> </w:t>
      </w:r>
      <w:r>
        <w:t xml:space="preserve">. Анализ будем осуществлять на основе критериев Стьюдента и Фишера, а также на основе анализа остатков </w:t>
      </w:r>
    </w:p>
    <w:p w:rsidR="002C0F56" w:rsidRDefault="00E67C6E">
      <w:pPr>
        <w:ind w:left="994" w:right="302" w:firstLine="0"/>
      </w:pPr>
      <w:r>
        <w:t xml:space="preserve">[4]. </w:t>
      </w:r>
    </w:p>
    <w:p w:rsidR="002C0F56" w:rsidRDefault="00E67C6E">
      <w:pPr>
        <w:spacing w:after="5"/>
        <w:ind w:left="994" w:right="302"/>
      </w:pPr>
      <w:r>
        <w:t>Регрессионный анализ, проведённый МНК-методом, показал показательную зависимость kрем от времени, за ис</w:t>
      </w:r>
      <w:r>
        <w:t>ключением Удмуртской Республики, Саратовской и Ульяновской областей (здесь параметры оказались незначимыми по критерию Стьюдента у обеих регрессий). Полученные уравнения и их коэффициенты детерминации представлены в табл. 1. Данные модели значимы по критер</w:t>
      </w:r>
      <w:r>
        <w:t>ию Фишера (F&gt;Fкр=4,7). Анализ остатков показал, что М(ε)=0; по критерию Дарбина-Уотсона отсутствует автокорреляция; по критерию Гольфанда-Кванта отсутствует гетероскедастичность; по критерию медианных серий остатки распределены нормально. Таким образом, вы</w:t>
      </w:r>
      <w:r>
        <w:t xml:space="preserve">полняются условия Гаусса-Маркова, что говорит об адекватности построенных моделей [5]. </w:t>
      </w:r>
    </w:p>
    <w:p w:rsidR="002C0F56" w:rsidRDefault="00E67C6E">
      <w:pPr>
        <w:spacing w:after="136" w:line="270" w:lineRule="auto"/>
        <w:ind w:left="10" w:right="315" w:hanging="10"/>
        <w:jc w:val="right"/>
      </w:pPr>
      <w:r>
        <w:t xml:space="preserve">Для проверки гипотезы об усилении влияния ремонта в стоимости 1 кв.м. </w:t>
      </w:r>
    </w:p>
    <w:p w:rsidR="002C0F56" w:rsidRDefault="00E67C6E">
      <w:pPr>
        <w:ind w:left="994" w:right="302" w:firstLine="0"/>
      </w:pPr>
      <w:r>
        <w:t xml:space="preserve">жилой недвижимости построим регрессии вида: </w:t>
      </w:r>
      <w:r>
        <w:rPr>
          <w:sz w:val="43"/>
          <w:vertAlign w:val="superscript"/>
        </w:rPr>
        <w:t>k</w:t>
      </w:r>
      <w:r>
        <w:rPr>
          <w:vertAlign w:val="subscript"/>
        </w:rPr>
        <w:t xml:space="preserve">рем </w:t>
      </w:r>
      <w:r>
        <w:rPr>
          <w:rFonts w:ascii="Segoe UI Symbol" w:eastAsia="Segoe UI Symbol" w:hAnsi="Segoe UI Symbol" w:cs="Segoe UI Symbol"/>
        </w:rPr>
        <w:t xml:space="preserve"> </w:t>
      </w:r>
      <w:r>
        <w:rPr>
          <w:sz w:val="43"/>
          <w:vertAlign w:val="superscript"/>
        </w:rPr>
        <w:t>b</w:t>
      </w:r>
      <w:r>
        <w:rPr>
          <w:vertAlign w:val="subscript"/>
        </w:rPr>
        <w:t xml:space="preserve">0 </w:t>
      </w:r>
      <w:r>
        <w:rPr>
          <w:rFonts w:ascii="Segoe UI Symbol" w:eastAsia="Segoe UI Symbol" w:hAnsi="Segoe UI Symbol" w:cs="Segoe UI Symbol"/>
        </w:rPr>
        <w:t></w:t>
      </w:r>
      <w:r>
        <w:t>e</w:t>
      </w:r>
      <w:r>
        <w:rPr>
          <w:vertAlign w:val="superscript"/>
        </w:rPr>
        <w:t>b</w:t>
      </w:r>
      <w:r>
        <w:rPr>
          <w:sz w:val="24"/>
          <w:vertAlign w:val="superscript"/>
        </w:rPr>
        <w:t>1</w:t>
      </w:r>
      <w:r>
        <w:rPr>
          <w:vertAlign w:val="superscript"/>
        </w:rPr>
        <w:t xml:space="preserve">t </w:t>
      </w:r>
      <w:r>
        <w:rPr>
          <w:rFonts w:ascii="Segoe UI Symbol" w:eastAsia="Segoe UI Symbol" w:hAnsi="Segoe UI Symbol" w:cs="Segoe UI Symbol"/>
        </w:rPr>
        <w:t></w:t>
      </w:r>
      <w:r>
        <w:rPr>
          <w:rFonts w:ascii="Segoe UI Symbol" w:eastAsia="Segoe UI Symbol" w:hAnsi="Segoe UI Symbol" w:cs="Segoe UI Symbol"/>
        </w:rPr>
        <w:t xml:space="preserve"> </w:t>
      </w:r>
      <w:r>
        <w:t xml:space="preserve">. Значимость параметра b1 будет означать, что гипотеза Н0 принимается. В моделях, представленных в табл. 2 незначимыми оказались параметры только в моделях соответствующих республикам Татарстан и Удмуртия, а также Саратовской и Ульяновской областям (здесь </w:t>
      </w:r>
      <w:r>
        <w:t xml:space="preserve">t&lt;tкр=2,36). </w:t>
      </w:r>
    </w:p>
    <w:p w:rsidR="002C0F56" w:rsidRDefault="00E67C6E">
      <w:pPr>
        <w:ind w:left="994" w:right="302"/>
      </w:pPr>
      <w:r>
        <w:t>В качестве заключения следует отметить, что проведенный анализ позволил выявить роль фактора «ремонт» при ценообразовании жилой недвижимости на вторичном рынке по субъектам ПФО. Также были построены показательные тренды изменения влияния данн</w:t>
      </w:r>
      <w:r>
        <w:t>ого фактора, проверены их качество и адекватность. Полученные результаты могут быть использованы непосредственно в процессе определения рыночной стоимости жилой недвижимости, так и в процессе мониторинга за ценообразованием с целью предотвращения спекуляти</w:t>
      </w:r>
      <w:r>
        <w:t xml:space="preserve">вного накручивания цен.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35"/>
        </w:numPr>
        <w:ind w:right="302"/>
      </w:pPr>
      <w:r>
        <w:t xml:space="preserve">Регионы России. Социально-экономические показатели (режим доступа: </w:t>
      </w:r>
      <w:hyperlink r:id="rId1293">
        <w:r>
          <w:t xml:space="preserve">http://www.gks.ru/wps/wcm/connect/rosstat_main/rosstat/ru/statistics/publications/ca </w:t>
        </w:r>
      </w:hyperlink>
      <w:hyperlink r:id="rId1294">
        <w:r>
          <w:t>talog/doc</w:t>
        </w:r>
      </w:hyperlink>
      <w:hyperlink r:id="rId1295">
        <w:r>
          <w:t>)</w:t>
        </w:r>
      </w:hyperlink>
      <w:r>
        <w:t xml:space="preserve"> </w:t>
      </w:r>
    </w:p>
    <w:p w:rsidR="002C0F56" w:rsidRDefault="00E67C6E">
      <w:pPr>
        <w:numPr>
          <w:ilvl w:val="0"/>
          <w:numId w:val="235"/>
        </w:numPr>
        <w:ind w:right="302"/>
      </w:pPr>
      <w:r>
        <w:t xml:space="preserve">Тиндова М.Г. Динамический анализ ввода нового жилья в РФ // Модели, системы, сети в экономике, технике, природе и обществе. – 2016. – № 1(17). – С. 135-142. </w:t>
      </w:r>
    </w:p>
    <w:p w:rsidR="002C0F56" w:rsidRDefault="00E67C6E">
      <w:pPr>
        <w:numPr>
          <w:ilvl w:val="0"/>
          <w:numId w:val="235"/>
        </w:numPr>
        <w:ind w:right="302"/>
      </w:pPr>
      <w:r>
        <w:t>Тиндова М.Г. Нечёткая модель оц</w:t>
      </w:r>
      <w:r>
        <w:t>енки земельных участков // Журнал экономической теории. 2010.</w:t>
      </w:r>
      <w:hyperlink r:id="rId1296">
        <w:r>
          <w:t xml:space="preserve"> № </w:t>
        </w:r>
      </w:hyperlink>
      <w:hyperlink r:id="rId1297">
        <w:r>
          <w:t>4</w:t>
        </w:r>
      </w:hyperlink>
      <w:hyperlink r:id="rId1298">
        <w:r>
          <w:t>.</w:t>
        </w:r>
      </w:hyperlink>
      <w:r>
        <w:t xml:space="preserve"> С. 170-179.  </w:t>
      </w:r>
    </w:p>
    <w:p w:rsidR="002C0F56" w:rsidRDefault="00E67C6E">
      <w:pPr>
        <w:numPr>
          <w:ilvl w:val="0"/>
          <w:numId w:val="235"/>
        </w:numPr>
        <w:ind w:right="302"/>
      </w:pPr>
      <w:r>
        <w:t>Тиндова М.Г. Методы оценки запасов природных ресурсов // Вестник Саратовского государственного социально-экономического университета. 2010.</w:t>
      </w:r>
      <w:hyperlink r:id="rId1299">
        <w:r>
          <w:t xml:space="preserve"> № </w:t>
        </w:r>
      </w:hyperlink>
      <w:hyperlink r:id="rId1300">
        <w:r>
          <w:t>5</w:t>
        </w:r>
      </w:hyperlink>
      <w:hyperlink r:id="rId1301">
        <w:r>
          <w:t>.</w:t>
        </w:r>
      </w:hyperlink>
      <w:r>
        <w:t xml:space="preserve"> С. 156-158. </w:t>
      </w:r>
    </w:p>
    <w:p w:rsidR="002C0F56" w:rsidRDefault="00E67C6E">
      <w:pPr>
        <w:numPr>
          <w:ilvl w:val="0"/>
          <w:numId w:val="235"/>
        </w:numPr>
        <w:spacing w:after="12"/>
        <w:ind w:right="302"/>
      </w:pPr>
      <w:r>
        <w:t>Мендель А.В., Фадеева Н.П. Эконометри</w:t>
      </w:r>
      <w:r>
        <w:t xml:space="preserve">ка практикум / Саратов, 2014.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11"/>
        <w:ind w:left="5992" w:right="308"/>
        <w:jc w:val="right"/>
      </w:pPr>
      <w:r>
        <w:t xml:space="preserve">Стафиевская П.С. </w:t>
      </w:r>
      <w:r>
        <w:rPr>
          <w:b w:val="0"/>
        </w:rPr>
        <w:t xml:space="preserve">Научный руководитель: Васенева И.А. </w:t>
      </w:r>
    </w:p>
    <w:p w:rsidR="002C0F56" w:rsidRDefault="00E67C6E">
      <w:pPr>
        <w:spacing w:after="0" w:line="267" w:lineRule="auto"/>
        <w:ind w:left="905" w:right="307" w:hanging="10"/>
        <w:jc w:val="right"/>
      </w:pPr>
      <w:r>
        <w:rPr>
          <w:i/>
        </w:rPr>
        <w:t xml:space="preserve">Средняя общеобразовательная школа №27 г. Йошкар-Олы   </w:t>
      </w:r>
    </w:p>
    <w:p w:rsidR="002C0F56" w:rsidRDefault="00E67C6E">
      <w:pPr>
        <w:spacing w:after="30" w:line="259" w:lineRule="auto"/>
        <w:ind w:left="1558" w:firstLine="0"/>
        <w:jc w:val="left"/>
      </w:pPr>
      <w:r>
        <w:rPr>
          <w:i/>
        </w:rPr>
        <w:t xml:space="preserve"> </w:t>
      </w:r>
    </w:p>
    <w:p w:rsidR="002C0F56" w:rsidRDefault="00E67C6E">
      <w:pPr>
        <w:pStyle w:val="1"/>
        <w:ind w:left="700" w:right="4"/>
      </w:pPr>
      <w:r>
        <w:t xml:space="preserve">ПОИСК МАТЕМАТИЧЕСКОЙ СОСТАВЛЯЮЩЕЙ </w:t>
      </w:r>
    </w:p>
    <w:p w:rsidR="002C0F56" w:rsidRDefault="00E67C6E">
      <w:pPr>
        <w:spacing w:after="0" w:line="259" w:lineRule="auto"/>
        <w:ind w:left="1558" w:firstLine="0"/>
        <w:jc w:val="left"/>
      </w:pPr>
      <w:r>
        <w:t xml:space="preserve"> </w:t>
      </w:r>
    </w:p>
    <w:p w:rsidR="002C0F56" w:rsidRDefault="00E67C6E">
      <w:pPr>
        <w:ind w:left="994" w:right="302"/>
      </w:pPr>
      <w:r>
        <w:t xml:space="preserve">Роль озер в жизни человека трудно переоценить, так как они, прежде всего, источник чистой пресной воды. Лимнология – это наука, которая включает в себя комплекс таких дисциплин как, география, биология, физика, химия, геология, история и другие.  </w:t>
      </w:r>
    </w:p>
    <w:p w:rsidR="002C0F56" w:rsidRDefault="00E67C6E">
      <w:pPr>
        <w:ind w:left="994" w:right="302"/>
      </w:pPr>
      <w:r>
        <w:t>Все дисц</w:t>
      </w:r>
      <w:r>
        <w:t xml:space="preserve">иплины лимнологии, как науки, изучающей озера, непосредственно связаны с природой. Возникает вопрос: «Как найти общее в этих научных дисциплинах и донести информацию до человека?» </w:t>
      </w:r>
    </w:p>
    <w:p w:rsidR="002C0F56" w:rsidRDefault="00E67C6E">
      <w:pPr>
        <w:ind w:left="994" w:right="302"/>
      </w:pPr>
      <w:r>
        <w:t>Известный ученый Галилео Галилей однажды сказал: «Математика – это язык, на</w:t>
      </w:r>
      <w:r>
        <w:t xml:space="preserve"> котором написана книга природы». Отсюда возникает гипотеза: «Информацию по лимнологии можно раскрыть через математическую составляющую».  </w:t>
      </w:r>
    </w:p>
    <w:p w:rsidR="002C0F56" w:rsidRDefault="00E67C6E">
      <w:pPr>
        <w:ind w:left="994" w:right="302"/>
      </w:pPr>
      <w:r>
        <w:t>Исходя из гипотезы, в работе поставлена цель – разработать брошюру по лимнологии на базе Республики Марий Эл через м</w:t>
      </w:r>
      <w:r>
        <w:t xml:space="preserve">атематическую составляющую. </w:t>
      </w:r>
    </w:p>
    <w:p w:rsidR="002C0F56" w:rsidRDefault="00E67C6E">
      <w:pPr>
        <w:ind w:left="1558" w:right="302" w:firstLine="0"/>
      </w:pPr>
      <w:r>
        <w:t xml:space="preserve">Исходя из цели, были поставлены задачи: </w:t>
      </w:r>
    </w:p>
    <w:p w:rsidR="002C0F56" w:rsidRDefault="00E67C6E">
      <w:pPr>
        <w:numPr>
          <w:ilvl w:val="0"/>
          <w:numId w:val="236"/>
        </w:numPr>
        <w:ind w:right="302"/>
      </w:pPr>
      <w:r>
        <w:t xml:space="preserve">собрать и систематизировать информацию об озерах Республики Марий Эл, которая в цифровой форме отражает познание объекта исследования; </w:t>
      </w:r>
    </w:p>
    <w:p w:rsidR="002C0F56" w:rsidRDefault="00E67C6E">
      <w:pPr>
        <w:numPr>
          <w:ilvl w:val="0"/>
          <w:numId w:val="236"/>
        </w:numPr>
        <w:ind w:right="302"/>
      </w:pPr>
      <w:r>
        <w:t>с помощью математических методов составить задачи,</w:t>
      </w:r>
      <w:r>
        <w:t xml:space="preserve"> условие которых составляет информацию о заданном событии, а полученный результат при их решении может отражать дополнительную информацию; </w:t>
      </w:r>
    </w:p>
    <w:p w:rsidR="002C0F56" w:rsidRDefault="00E67C6E">
      <w:pPr>
        <w:numPr>
          <w:ilvl w:val="0"/>
          <w:numId w:val="236"/>
        </w:numPr>
        <w:ind w:right="302"/>
      </w:pPr>
      <w:r>
        <w:lastRenderedPageBreak/>
        <w:t xml:space="preserve">представить исследования в форме, которая позволяет использовать эти результаты; </w:t>
      </w:r>
    </w:p>
    <w:p w:rsidR="002C0F56" w:rsidRDefault="00E67C6E">
      <w:pPr>
        <w:numPr>
          <w:ilvl w:val="0"/>
          <w:numId w:val="236"/>
        </w:numPr>
        <w:spacing w:after="12"/>
        <w:ind w:right="302"/>
      </w:pPr>
      <w:r>
        <w:t>сделать соответствующие выводы и п</w:t>
      </w:r>
      <w:r>
        <w:t xml:space="preserve">редложения. </w:t>
      </w:r>
    </w:p>
    <w:p w:rsidR="002C0F56" w:rsidRDefault="00E67C6E">
      <w:pPr>
        <w:spacing w:after="10"/>
        <w:ind w:left="994" w:right="302"/>
      </w:pPr>
      <w:r>
        <w:t>Объектом исследования явились озера на территории Республики Марий Эл, в части изучения вопросов их познания с позиции лимнологии. Предметом исследования явилось изучение комплексной науки - лимнологии с позиции математики. В процессе исследов</w:t>
      </w:r>
      <w:r>
        <w:t xml:space="preserve">ания использовались математические, логические методы, анализа и синтеза. </w:t>
      </w:r>
    </w:p>
    <w:p w:rsidR="002C0F56" w:rsidRDefault="00E67C6E">
      <w:pPr>
        <w:spacing w:after="0"/>
        <w:ind w:left="994" w:right="302"/>
      </w:pPr>
      <w:r>
        <w:t>В процессе изучения книг, журналов, архивных данных краеведческого музея, данных периодической печати вся полученная информация была нами систематизирована в четыре основных блока: мифы и реальность возникновения озер, структура и содержание озер, растител</w:t>
      </w:r>
      <w:r>
        <w:t xml:space="preserve">ьный и животный мир озер, охрана и рыболовство[1].   </w:t>
      </w:r>
    </w:p>
    <w:p w:rsidR="002C0F56" w:rsidRDefault="00E67C6E">
      <w:pPr>
        <w:spacing w:after="3"/>
        <w:ind w:left="994" w:right="302"/>
      </w:pPr>
      <w:r>
        <w:t>В каждом блоке была выделена  математическая составляющая, на базе которой составлены задачи, принцип которых заключается в донесении основной и дополнительной информации. При этом дополнительную информ</w:t>
      </w:r>
      <w:r>
        <w:t xml:space="preserve">ацию можно получить только с помощью математических решений[2].  </w:t>
      </w:r>
    </w:p>
    <w:p w:rsidR="002C0F56" w:rsidRDefault="00E67C6E">
      <w:pPr>
        <w:ind w:left="994" w:right="302"/>
      </w:pPr>
      <w:r>
        <w:t xml:space="preserve">Таким образом, по четырем блокам, разработанные 30 задач систематизированы в брошюру под названием «Озера Марийского края: </w:t>
      </w:r>
    </w:p>
    <w:p w:rsidR="002C0F56" w:rsidRDefault="00E67C6E">
      <w:pPr>
        <w:ind w:left="994" w:right="302" w:firstLine="0"/>
      </w:pPr>
      <w:r>
        <w:t xml:space="preserve">математический тренажер». </w:t>
      </w:r>
    </w:p>
    <w:p w:rsidR="002C0F56" w:rsidRDefault="00E67C6E">
      <w:pPr>
        <w:ind w:left="1558" w:right="302" w:firstLine="0"/>
      </w:pPr>
      <w:r>
        <w:t xml:space="preserve">Практическая значимость результатов исследования состоит в следующем:  </w:t>
      </w:r>
    </w:p>
    <w:p w:rsidR="002C0F56" w:rsidRDefault="00E67C6E">
      <w:pPr>
        <w:numPr>
          <w:ilvl w:val="0"/>
          <w:numId w:val="237"/>
        </w:numPr>
        <w:spacing w:after="10"/>
        <w:ind w:right="302"/>
      </w:pPr>
      <w:r>
        <w:t xml:space="preserve">Возможность использования брошюры как информационноиллюстрационного источника с целью донесения информации об озерах Республики Марий Эл через математическую составляющую. </w:t>
      </w:r>
    </w:p>
    <w:p w:rsidR="002C0F56" w:rsidRDefault="00E67C6E">
      <w:pPr>
        <w:numPr>
          <w:ilvl w:val="0"/>
          <w:numId w:val="237"/>
        </w:numPr>
        <w:ind w:right="302"/>
      </w:pPr>
      <w:r>
        <w:t>Организация</w:t>
      </w:r>
      <w:r>
        <w:t xml:space="preserve"> тематической олимпиады, как в рамках класса, так и в дистанционной форме через сайт. </w:t>
      </w:r>
    </w:p>
    <w:p w:rsidR="002C0F56" w:rsidRDefault="00E67C6E">
      <w:pPr>
        <w:numPr>
          <w:ilvl w:val="0"/>
          <w:numId w:val="237"/>
        </w:numPr>
        <w:spacing w:after="12"/>
        <w:ind w:right="302"/>
      </w:pPr>
      <w:r>
        <w:t xml:space="preserve">Применение на уроках по дисциплине «Математика» в виде тренажеров. </w:t>
      </w:r>
    </w:p>
    <w:p w:rsidR="002C0F56" w:rsidRDefault="00E67C6E">
      <w:pPr>
        <w:spacing w:after="10"/>
        <w:ind w:left="994" w:right="302"/>
      </w:pPr>
      <w:r>
        <w:t>Полученные результаты апробированы в классе в виде проведения тематической олимпиады и подведения ито</w:t>
      </w:r>
      <w:r>
        <w:t xml:space="preserve">гов. Таким образом, ранее поставленная гипотеза подтвердилась.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38"/>
        </w:numPr>
        <w:ind w:right="302"/>
      </w:pPr>
      <w:r>
        <w:t xml:space="preserve">Лопух П.С., Якушко О.Ф. Общая лимнология / П.С. Лопух, О.Ф. Якушко. – Минск:БГУ, 2011. – 197с. </w:t>
      </w:r>
    </w:p>
    <w:p w:rsidR="002C0F56" w:rsidRDefault="00E67C6E">
      <w:pPr>
        <w:numPr>
          <w:ilvl w:val="0"/>
          <w:numId w:val="238"/>
        </w:numPr>
        <w:spacing w:after="9"/>
        <w:ind w:right="302"/>
      </w:pPr>
      <w:r>
        <w:t xml:space="preserve">Олехника С.Н., Нестеренко Ю.В., Потапова М.К. Старинные занимательные задачи авторов  / С.Н. Олехника, Ю.В. Нестеренко, М.К. Потапова. –  Издательство: Наука, 1985. –167с.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lastRenderedPageBreak/>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pStyle w:val="1"/>
        <w:spacing w:after="11"/>
        <w:ind w:left="6085" w:right="308"/>
        <w:jc w:val="right"/>
      </w:pPr>
      <w:r>
        <w:t xml:space="preserve">Стафиевская П.С. </w:t>
      </w:r>
      <w:r>
        <w:rPr>
          <w:b w:val="0"/>
        </w:rPr>
        <w:t xml:space="preserve">Научный руководитель: Норкина Т.В. </w:t>
      </w:r>
    </w:p>
    <w:p w:rsidR="002C0F56" w:rsidRDefault="00E67C6E">
      <w:pPr>
        <w:spacing w:after="0" w:line="267" w:lineRule="auto"/>
        <w:ind w:left="905" w:right="307" w:hanging="10"/>
        <w:jc w:val="right"/>
      </w:pPr>
      <w:r>
        <w:rPr>
          <w:i/>
        </w:rPr>
        <w:t>Средняя общеобразо</w:t>
      </w:r>
      <w:r>
        <w:rPr>
          <w:i/>
        </w:rPr>
        <w:t xml:space="preserve">вательная школа №27 г. Йошкар-Олы   </w:t>
      </w:r>
    </w:p>
    <w:p w:rsidR="002C0F56" w:rsidRDefault="00E67C6E">
      <w:pPr>
        <w:spacing w:after="33" w:line="259" w:lineRule="auto"/>
        <w:ind w:left="1558" w:firstLine="0"/>
        <w:jc w:val="left"/>
      </w:pPr>
      <w:r>
        <w:rPr>
          <w:i/>
        </w:rPr>
        <w:t xml:space="preserve"> </w:t>
      </w:r>
    </w:p>
    <w:p w:rsidR="002C0F56" w:rsidRDefault="00E67C6E">
      <w:pPr>
        <w:pStyle w:val="1"/>
        <w:ind w:left="700" w:right="7"/>
      </w:pPr>
      <w:r>
        <w:t>ПРЕДПРИНИМАТЕЛЬСТВО И ПРАВОСЛАВИЕ</w:t>
      </w:r>
      <w:r>
        <w:rPr>
          <w:rFonts w:ascii="Arial" w:eastAsia="Arial" w:hAnsi="Arial" w:cs="Arial"/>
          <w:b w:val="0"/>
          <w:i/>
        </w:rPr>
        <w:t xml:space="preserve"> </w:t>
      </w:r>
    </w:p>
    <w:p w:rsidR="002C0F56" w:rsidRDefault="00E67C6E">
      <w:pPr>
        <w:spacing w:after="0" w:line="259" w:lineRule="auto"/>
        <w:ind w:left="1558" w:firstLine="0"/>
        <w:jc w:val="left"/>
      </w:pPr>
      <w:r>
        <w:t xml:space="preserve"> </w:t>
      </w:r>
    </w:p>
    <w:p w:rsidR="002C0F56" w:rsidRDefault="00E67C6E">
      <w:pPr>
        <w:ind w:left="994" w:right="302"/>
      </w:pPr>
      <w:r>
        <w:t xml:space="preserve">Целью проекта  явилось определение, в чем заключается основа православной этики в предпринимательстве?  Исходя из цели, были поставлены задачи: </w:t>
      </w:r>
    </w:p>
    <w:p w:rsidR="002C0F56" w:rsidRDefault="00E67C6E">
      <w:pPr>
        <w:numPr>
          <w:ilvl w:val="0"/>
          <w:numId w:val="239"/>
        </w:numPr>
        <w:ind w:right="1098" w:firstLine="278"/>
        <w:jc w:val="left"/>
      </w:pPr>
      <w:r>
        <w:t xml:space="preserve">проанализировать в каких взаимоотношениях находится истинное православие и предпринимательство; </w:t>
      </w:r>
    </w:p>
    <w:p w:rsidR="002C0F56" w:rsidRDefault="00E67C6E">
      <w:pPr>
        <w:numPr>
          <w:ilvl w:val="0"/>
          <w:numId w:val="239"/>
        </w:numPr>
        <w:spacing w:after="5" w:line="268" w:lineRule="auto"/>
        <w:ind w:right="1098" w:firstLine="278"/>
        <w:jc w:val="left"/>
      </w:pPr>
      <w:r>
        <w:t>выявить в чем заключается праведное предпринимательство; - определить направления духовного предпринимательства; - сделать соответствующие выводы и предложения</w:t>
      </w:r>
      <w:r>
        <w:t xml:space="preserve">. </w:t>
      </w:r>
    </w:p>
    <w:p w:rsidR="002C0F56" w:rsidRDefault="00E67C6E">
      <w:pPr>
        <w:spacing w:after="0"/>
        <w:ind w:left="994" w:right="302"/>
      </w:pPr>
      <w:r>
        <w:t>Предприниматель в процессе работы получает прибыль. Значит, он рассуждает, что если ему идет как можно больше прибыли, следовательно, именно он «Избранник Божий». Отсюда возникает вопрос, в каких взаимоотношениях находится истинное православие и предпри</w:t>
      </w:r>
      <w:r>
        <w:t>нимательство? Во-первых: предприниматель вкладывает в свой бизнес собственный труд и капитал. Для чего? Чтобы от капитала, вложенного в бизнес и от своего труда  получить максимальную прибыль. Однако, предпринимательство никогда не считалось богоугодным за</w:t>
      </w:r>
      <w:r>
        <w:t>нятием. Может ли предпринимательская прибыль  накапливаться праведно? Теоретически, может, если предприниматель ведет деятельность в соответствии с христианским учением. Особенно это необходимо учесть в рекламе, где, как правило, не раскрываются, возможно,</w:t>
      </w:r>
      <w:r>
        <w:t xml:space="preserve"> отрицательные стороны. Например,  со стороны стоматологов приветствуется жевательная резинка, однако, гастроэнтерологи ее запрещают. Во-вторых, предприниматель не должен заниматься деятельностью, которая нарушает Божественные заповеди (например, продажа о</w:t>
      </w:r>
      <w:r>
        <w:t>ружия). С другой стороны, к примеру, безобидный бизнес, такой как продажа сувениров, с изображением домовенка, Деда Мороза то же нарушает заповедь «не делай себе кумира и никакого изображения того, что на небе вверху и что в воде ниже земли». (Исх. 20, 4).</w:t>
      </w:r>
      <w:r>
        <w:t xml:space="preserve"> Доход, полученный от игры, от спекуляции, а также суживание денег под завышенный процент – это неправедный доход. </w:t>
      </w:r>
    </w:p>
    <w:p w:rsidR="002C0F56" w:rsidRDefault="00E67C6E">
      <w:pPr>
        <w:spacing w:after="0"/>
        <w:ind w:left="994" w:right="302"/>
      </w:pPr>
      <w:r>
        <w:t>Являются ли щедрые пожертвования предпринимателей свидетельством их праведности? Допустим предприниматель, полагает, что чем больше он получ</w:t>
      </w:r>
      <w:r>
        <w:t xml:space="preserve">ит </w:t>
      </w:r>
      <w:r>
        <w:lastRenderedPageBreak/>
        <w:t xml:space="preserve">прибыли и потратит, жертвуя на храм, то тем более праведнее он живет.  Христианское учение гласит, что правильно не взимать излишнюю плату за свою работу и жертвовать меньше, чем жертвовать избыток, полученный неправедно. В учении сказано «Взглянув же, </w:t>
      </w:r>
      <w:r>
        <w:t>Он увидел богатых, клавших дары свои в сокровищницу; Увидел так же и бедную вдову, положившую туда две лепты, И сказал: истинно говорю вам, что эта бедная вдова больше всех положила; Ибо все те от избытка своего положили в дар Богу, а она скудности своей п</w:t>
      </w:r>
      <w:r>
        <w:t>оложила все пропитанное свое, какое имела» [Лук. 1, 1-4]. Таким образом, в соответствии с христианским учением праведное предпринимательство заключается не в щедрых пожертвованиях, а прежде всего, в честном ведении бизнеса. Духовное предпринимательство слу</w:t>
      </w:r>
      <w:r>
        <w:t xml:space="preserve">жит не материальному обогащению, а духовному созиданию и приумножению.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40"/>
        </w:numPr>
        <w:ind w:right="302"/>
      </w:pPr>
      <w:r>
        <w:t xml:space="preserve">Сизов В.С. Православная этика и предпринимательство // Вопросы новой экономики . - №1 (17)  - 2011. - С.63 </w:t>
      </w:r>
    </w:p>
    <w:p w:rsidR="002C0F56" w:rsidRDefault="00E67C6E">
      <w:pPr>
        <w:numPr>
          <w:ilvl w:val="0"/>
          <w:numId w:val="240"/>
        </w:numPr>
        <w:ind w:right="302"/>
      </w:pPr>
      <w:r>
        <w:t>Хохлова Т.А., Старообрядчество и развитие рыночного ук</w:t>
      </w:r>
      <w:r>
        <w:t xml:space="preserve">лада в России </w:t>
      </w:r>
    </w:p>
    <w:p w:rsidR="002C0F56" w:rsidRDefault="00E67C6E">
      <w:pPr>
        <w:spacing w:after="0"/>
        <w:ind w:left="994" w:right="302" w:firstLine="0"/>
      </w:pPr>
      <w:r>
        <w:t xml:space="preserve">//Вестник Московского университете. Серия б «Экономика». - №2- 1998.- С.3146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6"/>
        <w:jc w:val="right"/>
      </w:pPr>
      <w:r>
        <w:t xml:space="preserve">Суворина К.Ю. </w:t>
      </w:r>
      <w:r>
        <w:rPr>
          <w:b w:val="0"/>
        </w:rPr>
        <w:t xml:space="preserve">Научный руководитель: Макаров Е.И., д.э.н., проф. </w:t>
      </w:r>
    </w:p>
    <w:p w:rsidR="002C0F56" w:rsidRDefault="00E67C6E">
      <w:pPr>
        <w:spacing w:after="0" w:line="267" w:lineRule="auto"/>
        <w:ind w:left="905" w:right="308" w:hanging="10"/>
        <w:jc w:val="right"/>
      </w:pPr>
      <w:r>
        <w:rPr>
          <w:i/>
        </w:rPr>
        <w:t xml:space="preserve">РЭУ им. Плеханова (Воронежский филиал) </w:t>
      </w:r>
    </w:p>
    <w:p w:rsidR="002C0F56" w:rsidRDefault="00E67C6E">
      <w:pPr>
        <w:spacing w:after="0" w:line="259" w:lineRule="auto"/>
        <w:ind w:left="1558" w:firstLine="0"/>
        <w:jc w:val="left"/>
      </w:pPr>
      <w:r>
        <w:rPr>
          <w:b/>
        </w:rPr>
        <w:t xml:space="preserve"> </w:t>
      </w:r>
    </w:p>
    <w:p w:rsidR="002C0F56" w:rsidRDefault="00E67C6E">
      <w:pPr>
        <w:pStyle w:val="1"/>
        <w:ind w:left="700" w:right="6"/>
      </w:pPr>
      <w:r>
        <w:t xml:space="preserve">РАЦИОНАЛЬНОЕ УПРАВЛЕНИЕ РАЗВИТИЕМ ПЕРСОНАЛА ОРГАНИЗАЦИИ НА ОСНОВЕ КОГНИТИВНОГО ДИНАМИЧЕСКОГО МОДЕЛИРОВАНИЯ </w:t>
      </w:r>
    </w:p>
    <w:p w:rsidR="002C0F56" w:rsidRDefault="00E67C6E">
      <w:pPr>
        <w:spacing w:after="25" w:line="259" w:lineRule="auto"/>
        <w:ind w:left="1558" w:firstLine="0"/>
        <w:jc w:val="left"/>
      </w:pPr>
      <w:r>
        <w:rPr>
          <w:b/>
        </w:rPr>
        <w:t xml:space="preserve"> </w:t>
      </w:r>
    </w:p>
    <w:p w:rsidR="002C0F56" w:rsidRDefault="00E67C6E">
      <w:pPr>
        <w:spacing w:after="0"/>
        <w:ind w:left="994" w:right="302"/>
      </w:pPr>
      <w:r>
        <w:t>Аннотация: В данной статье рассматривается рациональное управление развитием персонала организации на основе когнитивного динамического моделирова</w:t>
      </w:r>
      <w:r>
        <w:t>ния. Когнитивный подход к анализу и моделированию проблемной ситуации даёт возможность описать внутреннюю структуру исследуемой ситуации и различных процессов (экономических, политических, социальных и др.), происходящих в ней и их взаимодействия и взаимоз</w:t>
      </w:r>
      <w:r>
        <w:t>ависимости с окружающим миром, обозначить воздействие внешней среды и протекающих в ней изменений на управление ситуацией, а также затаившихся угроз и способы их понижения, и уже основываясь на этих знаниях - на принятие обоснованных решений, на управление</w:t>
      </w:r>
      <w:r>
        <w:t xml:space="preserve"> происходящими процессами в ситуации, на минимизацию вероятности появления неблагоприятных событий. </w:t>
      </w:r>
    </w:p>
    <w:p w:rsidR="002C0F56" w:rsidRDefault="00E67C6E">
      <w:pPr>
        <w:spacing w:after="10"/>
        <w:ind w:left="994" w:right="302"/>
      </w:pPr>
      <w:r>
        <w:lastRenderedPageBreak/>
        <w:t xml:space="preserve">Ключевые слова: рациональное управление, развитие персонала, методы моделирования, проблемная ситуация, внутренняя структура ситуации, угрозы, когнитивный </w:t>
      </w:r>
      <w:r>
        <w:t xml:space="preserve">анализ, диалоговый комплекс, отбор персонала. </w:t>
      </w:r>
    </w:p>
    <w:p w:rsidR="002C0F56" w:rsidRDefault="00E67C6E">
      <w:pPr>
        <w:ind w:left="994" w:right="302"/>
      </w:pPr>
      <w:r>
        <w:t>На современном этапе развития экономики возник острый дефицит высококвалифицированных менеджеров, изменение требований к персоналу предприятия и кадровой политике. Последующее развитие экономики, производства,</w:t>
      </w:r>
      <w:r>
        <w:t xml:space="preserve"> которое должно соответствовать мировым стандартам, очень тесно связано с проектированием и практическим решением проблем в управлении персоналом. </w:t>
      </w:r>
    </w:p>
    <w:p w:rsidR="002C0F56" w:rsidRDefault="00E67C6E">
      <w:pPr>
        <w:spacing w:after="0"/>
        <w:ind w:left="994" w:right="302"/>
      </w:pPr>
      <w:r>
        <w:t>Существует множество подходов к решению данной проблемы, но несмотря на это в промышленно развитых странах более общими являются следующие основные тенденции: формализация методов и процедур отбора персонала; научный подход к анализу и решению проблемы упр</w:t>
      </w:r>
      <w:r>
        <w:t xml:space="preserve">авления кадрами; системное обеспечение взаимосвязи в решении хозяйственных, государственных и кадровых проблем. </w:t>
      </w:r>
    </w:p>
    <w:p w:rsidR="002C0F56" w:rsidRDefault="00E67C6E">
      <w:pPr>
        <w:ind w:left="994" w:right="302"/>
      </w:pPr>
      <w:r>
        <w:t>Системный подход к управлению персоналом требует интеграции списка главных функций и направлений деятельности, а в особенности: организационно-</w:t>
      </w:r>
      <w:r>
        <w:t>кадровой, социально-экономической, исследовательской, учебно - воспитательной, психолого-педагогической и информационно - аналитической. Для того, чтобы достичь поставленных целей, потребуется решить несколько основополагающих задач, которые тесно взаимосв</w:t>
      </w:r>
      <w:r>
        <w:t>язаны друг с другом, включающих в себя улучшение механизма управления  персоналом, разработку методологии основ организации системы управления мотивацией труда персонала, выбор эффективных направлений развития мотивационного механизма, а также его обоснова</w:t>
      </w:r>
      <w:r>
        <w:t xml:space="preserve">ние, с учетом динамики изменения рыночных отношений, оценку мотивационных резервов управления безопасностью труда и факторов риска травматизма на промышленном предприятии. </w:t>
      </w:r>
    </w:p>
    <w:p w:rsidR="002C0F56" w:rsidRDefault="00E67C6E">
      <w:pPr>
        <w:spacing w:after="2"/>
        <w:ind w:left="994" w:right="302"/>
      </w:pPr>
      <w:r>
        <w:t>Решением вышеперечисленных задач, является метод, основанный на проведении когнитив</w:t>
      </w:r>
      <w:r>
        <w:t>ного моделирования, предназначенного для структуризации, анализа и принятия управленческих решений в затруднительных, быстроизменяющихся и двояких ситуациях (экономических, социально-политических, экологических и т.п.), при отсутствии количественной информ</w:t>
      </w:r>
      <w:r>
        <w:t xml:space="preserve">ации о текущих ситуациях и опыта поведения в таких ситуациях. </w:t>
      </w:r>
    </w:p>
    <w:p w:rsidR="002C0F56" w:rsidRDefault="00E67C6E">
      <w:pPr>
        <w:spacing w:after="0"/>
        <w:ind w:left="994" w:right="302"/>
      </w:pPr>
      <w:r>
        <w:t>Описание внутренней структуры исследуемой ситуации и различных процессов (экономических, политических, социальных и др.), протекающих в ней и их взаимосвязь и взаимозависимости с внешним окружа</w:t>
      </w:r>
      <w:r>
        <w:t>ющим миром,  выявление воздействия внешней среды и протекающих в ней изменений на управление ситуацией, а также возможностей снижения таящихся угроз, и уже основываясь на этих знаниях - на принятие обоснованных решений, на управление происходящими процесса</w:t>
      </w:r>
      <w:r>
        <w:t xml:space="preserve">ми в ситуации, на минимизацию вероятности проявления неблагоприятных событий, на всё это позволяет дать </w:t>
      </w:r>
      <w:r>
        <w:lastRenderedPageBreak/>
        <w:t>ответ когнитивный подход к анализу и моделированию сложной проблемной ситуации. Диалоговый комплекс поддерживает технологию когнитивного анализа и модел</w:t>
      </w:r>
      <w:r>
        <w:t xml:space="preserve">ирования, который позволяет в тяжёлых и неопределенных ситуациях быстро, комплексно и системно-охарактеризовать и обосновать возникшую ситуацию и на качественном уровне предложить возможные пути решения проблем в этой ситуации. </w:t>
      </w:r>
    </w:p>
    <w:p w:rsidR="002C0F56" w:rsidRDefault="00E67C6E">
      <w:pPr>
        <w:ind w:left="994" w:right="302"/>
      </w:pPr>
      <w:r>
        <w:t xml:space="preserve">Актуальность   данной темы </w:t>
      </w:r>
      <w:r>
        <w:t xml:space="preserve">заключается в необходимости разработки научно-обоснованных и практически весомых способов моделирования процессов управления развитием персонала предприятия, дающих возможность повысить качество управленческих решений. </w:t>
      </w:r>
    </w:p>
    <w:p w:rsidR="002C0F56" w:rsidRDefault="00E67C6E">
      <w:pPr>
        <w:spacing w:after="5"/>
        <w:ind w:left="994" w:right="302"/>
      </w:pPr>
      <w:r>
        <w:t xml:space="preserve">В основе методов </w:t>
      </w:r>
      <w:r>
        <w:t>исследования лежат теории сложных систем, теории множеств, теории когнитивного и имитационного моделирования, теории принятия решений, в частности методов анализа иерархий. Во время разработки программных средств использовались методы объектноориентированн</w:t>
      </w:r>
      <w:r>
        <w:t xml:space="preserve">ого программирования, разработки интеллектуальных советующих систем и баз данных. </w:t>
      </w:r>
    </w:p>
    <w:p w:rsidR="002C0F56" w:rsidRDefault="00E67C6E">
      <w:pPr>
        <w:spacing w:after="0"/>
        <w:ind w:left="994" w:right="302"/>
      </w:pPr>
      <w:r>
        <w:t>Во время проведения данного исследования мною были получены следующие результаты, характеризующиеся научной новизной: методика когнитивного моделирования и ситуационного ана</w:t>
      </w:r>
      <w:r>
        <w:t>лиза процессов развития персонала организации, дающая возможность проектировать и оценивать использование разных стратегий (в первую очередь, качественных) во время принятия управленческих решений; дерево целей подсистемы "Профессиональное развитие персона</w:t>
      </w:r>
      <w:r>
        <w:t>ла", в основе которого выделение общей целевой функции при неравнозначности конкретных целей; когнитивные модели ситуаций обеспечения потребностей в трудовых ресурсах, анализа влияния факторов мотивации и уровня квалификации персонала на производительность</w:t>
      </w:r>
      <w:r>
        <w:t>, процесса повышения квалификации персонала, которые предназначаются для проведения имитационных экспериментов и создания управленческих решений; для предсказания дальнейшего развития ситуации,  предусмотрена модель принятия решений по управлению развитием</w:t>
      </w:r>
      <w:r>
        <w:t xml:space="preserve"> персонала предприятия, которая основывается на информации разного рода о текущей ситуации происходящей на объекте управления и отличающейся качественными ситуациями и способом их идентификации; алгоритм рационального выбора кадров на вакантное место, кото</w:t>
      </w:r>
      <w:r>
        <w:t xml:space="preserve">рый использует представление о качественных характеристиках и анкетных данных претендента с учетом весов характеристик и последующим ранжированием. </w:t>
      </w:r>
    </w:p>
    <w:p w:rsidR="002C0F56" w:rsidRDefault="00E67C6E">
      <w:pPr>
        <w:spacing w:after="9"/>
        <w:ind w:left="994" w:right="302"/>
      </w:pPr>
      <w:r>
        <w:t>Использование приведённых выше методов и процедур даёт возможность уменьшить сроки на разработку перспектив</w:t>
      </w:r>
      <w:r>
        <w:t xml:space="preserve">ных программ развития персонала организации. </w:t>
      </w:r>
    </w:p>
    <w:p w:rsidR="002C0F56" w:rsidRDefault="00E67C6E">
      <w:pPr>
        <w:spacing w:after="1"/>
        <w:ind w:left="994" w:right="302"/>
      </w:pPr>
      <w:r>
        <w:t xml:space="preserve">Данные исследования используются и в Воронежском акционерном самолетостроительном обществе (ВАСО) в виде интеллектуальной советующей </w:t>
      </w:r>
      <w:r>
        <w:lastRenderedPageBreak/>
        <w:t>системы "Управление развитием персонала". Получен годовой экономический эффек</w:t>
      </w:r>
      <w:r>
        <w:t>т в сумме 85 тыс. руб. Научные результаты используются в работе Управления кадров Воронежского государственного технического университета, включены в методические рекомендации и указания по выполнению лабораторных и курсовых работ по дисциплинам "Основы уп</w:t>
      </w:r>
      <w:r>
        <w:t xml:space="preserve">равления персоналом", "Системы искусственного интеллекта и принятия решений" специальности 062100 — "Управление персоналом" кафедры "Управление персоналом" Воронежского государственного технического университета. </w:t>
      </w:r>
    </w:p>
    <w:p w:rsidR="002C0F56" w:rsidRDefault="00E67C6E">
      <w:pPr>
        <w:spacing w:after="0"/>
        <w:ind w:left="994" w:right="302"/>
      </w:pPr>
      <w:r>
        <w:t>Многогранность процессов управления развит</w:t>
      </w:r>
      <w:r>
        <w:t xml:space="preserve">ия персонала, их взаимодействие и связь между собой, а также отсутствие достаточной количественной информации о протекании и изменениях процесса, в результате чего невозможно вычленение и подетальное исследование конкретных явлений, вынуждает к переходу к </w:t>
      </w:r>
      <w:r>
        <w:t xml:space="preserve">качественному анализу таких процессов. Для этого предложена методика когнитивного моделирования и ситуационного анализа процессов развития персонала организации.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41"/>
        </w:numPr>
        <w:ind w:right="302"/>
      </w:pPr>
      <w:r>
        <w:t xml:space="preserve">Автоматизация кадрового учета / Винокуров М.А., Гутгарц Р.Д., Пархомов </w:t>
      </w:r>
      <w:r>
        <w:t xml:space="preserve">В.А., Слюсаренко И.В. М.: ИНФРА-М, 2001. 180 с. </w:t>
      </w:r>
    </w:p>
    <w:p w:rsidR="002C0F56" w:rsidRDefault="00E67C6E">
      <w:pPr>
        <w:numPr>
          <w:ilvl w:val="0"/>
          <w:numId w:val="241"/>
        </w:numPr>
        <w:ind w:right="302"/>
      </w:pPr>
      <w:r>
        <w:t>Макаров, Е. И. Особенности определения стоимости объектов интеллектуальной собственности// Е. И Макаров, С.Н. Дьяконова/ Научный вестник Воронежского государственного-архитектурно-строительного университета.</w:t>
      </w:r>
      <w:r>
        <w:t xml:space="preserve"> Серия: Экономика и предпринимательство. 2007.- №5.- С.51-56.  </w:t>
      </w:r>
    </w:p>
    <w:p w:rsidR="002C0F56" w:rsidRDefault="00E67C6E">
      <w:pPr>
        <w:numPr>
          <w:ilvl w:val="0"/>
          <w:numId w:val="241"/>
        </w:numPr>
        <w:ind w:right="302"/>
      </w:pPr>
      <w:r>
        <w:t xml:space="preserve">Алексеев Н. Эволюция систем управления предприятием // Проблемы теории и практики управления. 1999. № 2. С. 103- 107. </w:t>
      </w:r>
    </w:p>
    <w:p w:rsidR="002C0F56" w:rsidRDefault="00E67C6E">
      <w:pPr>
        <w:numPr>
          <w:ilvl w:val="0"/>
          <w:numId w:val="241"/>
        </w:numPr>
        <w:spacing w:after="0"/>
        <w:ind w:right="302"/>
      </w:pPr>
      <w:r>
        <w:t>Бакланов У.Л. Основы принятия решений. М.: Финансы и статистика, 2001.415</w:t>
      </w:r>
      <w:r>
        <w:t xml:space="preserve"> с. </w:t>
      </w:r>
    </w:p>
    <w:p w:rsidR="002C0F56" w:rsidRDefault="00E67C6E">
      <w:pPr>
        <w:numPr>
          <w:ilvl w:val="0"/>
          <w:numId w:val="241"/>
        </w:numPr>
        <w:ind w:right="302"/>
      </w:pPr>
      <w:r>
        <w:t xml:space="preserve">Волкова К.А., Казакова Ф.К. Предприятие: положения об отделах и службах, должностные инструкции. М.: ОАО «НПО Изд-во «Экономика», 2000. </w:t>
      </w:r>
    </w:p>
    <w:p w:rsidR="002C0F56" w:rsidRDefault="00E67C6E">
      <w:pPr>
        <w:spacing w:after="12"/>
        <w:ind w:left="994" w:right="302" w:firstLine="0"/>
      </w:pPr>
      <w:r>
        <w:t xml:space="preserve">290 с. </w:t>
      </w:r>
    </w:p>
    <w:p w:rsidR="002C0F56" w:rsidRDefault="00E67C6E">
      <w:pPr>
        <w:numPr>
          <w:ilvl w:val="0"/>
          <w:numId w:val="242"/>
        </w:numPr>
        <w:ind w:right="302"/>
      </w:pPr>
      <w:r>
        <w:t>Горшкова JI.A. Анализ организации управления. Аналитический инструментарий. М.: Финансы и статистика, 2003</w:t>
      </w:r>
      <w:r>
        <w:t xml:space="preserve">. 208 с. </w:t>
      </w:r>
    </w:p>
    <w:p w:rsidR="002C0F56" w:rsidRDefault="00E67C6E">
      <w:pPr>
        <w:numPr>
          <w:ilvl w:val="0"/>
          <w:numId w:val="242"/>
        </w:numPr>
        <w:spacing w:after="2"/>
        <w:ind w:right="302"/>
      </w:pPr>
      <w:r>
        <w:t xml:space="preserve">Квашнина Г.А. Модель анализа факторов мотивации и уровня квалификации персонала на производительность // Интеллектуализация управления в социальных и экономических системах. Тр. Всерос. конф. Воронеж, 2003 С. 63. </w:t>
      </w:r>
    </w:p>
    <w:p w:rsidR="002C0F56" w:rsidRDefault="00E67C6E">
      <w:pPr>
        <w:numPr>
          <w:ilvl w:val="0"/>
          <w:numId w:val="242"/>
        </w:numPr>
        <w:ind w:right="302"/>
      </w:pPr>
      <w:r>
        <w:t xml:space="preserve">. Макаров Е.И. </w:t>
      </w:r>
      <w:hyperlink r:id="rId1302">
        <w:r>
          <w:t xml:space="preserve">Зависимость деловой репутации предприятия от </w:t>
        </w:r>
      </w:hyperlink>
      <w:r>
        <w:t>инновационного уровня развити</w:t>
      </w:r>
      <w:hyperlink r:id="rId1303">
        <w:r>
          <w:t>я/</w:t>
        </w:r>
      </w:hyperlink>
      <w:r>
        <w:t xml:space="preserve">/С.Н. Дьяконова, Е.И. Макаров/ </w:t>
      </w:r>
    </w:p>
    <w:p w:rsidR="002C0F56" w:rsidRDefault="00E67C6E">
      <w:pPr>
        <w:ind w:left="994" w:right="302" w:firstLine="0"/>
      </w:pPr>
      <w:hyperlink r:id="rId1304">
        <w:r>
          <w:t>Креативная экономика</w:t>
        </w:r>
      </w:hyperlink>
      <w:hyperlink r:id="rId1305">
        <w:r>
          <w:t>,</w:t>
        </w:r>
      </w:hyperlink>
      <w:r>
        <w:t xml:space="preserve"> 2012, </w:t>
      </w:r>
      <w:hyperlink r:id="rId1306">
        <w:r>
          <w:t xml:space="preserve">№ </w:t>
        </w:r>
      </w:hyperlink>
      <w:hyperlink r:id="rId1307">
        <w:r>
          <w:t>7</w:t>
        </w:r>
      </w:hyperlink>
      <w:hyperlink r:id="rId1308">
        <w:r>
          <w:t xml:space="preserve"> </w:t>
        </w:r>
      </w:hyperlink>
      <w:r>
        <w:t xml:space="preserve">с. 119-124. </w:t>
      </w:r>
    </w:p>
    <w:p w:rsidR="002C0F56" w:rsidRDefault="00E67C6E">
      <w:pPr>
        <w:numPr>
          <w:ilvl w:val="0"/>
          <w:numId w:val="242"/>
        </w:numPr>
        <w:ind w:right="302"/>
      </w:pPr>
      <w:r>
        <w:lastRenderedPageBreak/>
        <w:t xml:space="preserve">Кибанов А.Я. Основы управление персоналом: Учебник. М.: ИНФРА-М, 2003. 304 с. </w:t>
      </w:r>
    </w:p>
    <w:p w:rsidR="002C0F56" w:rsidRDefault="00E67C6E">
      <w:pPr>
        <w:numPr>
          <w:ilvl w:val="0"/>
          <w:numId w:val="242"/>
        </w:numPr>
        <w:spacing w:after="0"/>
        <w:ind w:right="302"/>
      </w:pPr>
      <w:r>
        <w:t>Мюллер-Штевенс Г., Ашванден С. Информаци</w:t>
      </w:r>
      <w:r>
        <w:t xml:space="preserve">онная технология и управление предприятием // Проблемы теории и практики управления. 1998. № 1.С. 102-106. </w:t>
      </w:r>
    </w:p>
    <w:p w:rsidR="002C0F56" w:rsidRDefault="00E67C6E">
      <w:pPr>
        <w:numPr>
          <w:ilvl w:val="0"/>
          <w:numId w:val="242"/>
        </w:numPr>
        <w:ind w:right="302"/>
      </w:pPr>
      <w:r>
        <w:t>Головина, Е. А. Особенности автоматизированной обработки информации в системе управления персоналом / Е. А. Головина // IV Всероссийская научно-прак</w:t>
      </w:r>
      <w:r>
        <w:t xml:space="preserve">тическая конференция «Информационные и коммуникационные технологии в образовании и науке» (15 по 18 апреля 2015 г.) / [Электронный ресурс] - URL: http://birskin.ru/index.php/2012-03-27-12-3617/44- 4-/172-2015-04-10-17-57-10 (дата обращения: 28.04.2015). </w:t>
      </w:r>
    </w:p>
    <w:p w:rsidR="002C0F56" w:rsidRDefault="00E67C6E">
      <w:pPr>
        <w:numPr>
          <w:ilvl w:val="0"/>
          <w:numId w:val="242"/>
        </w:numPr>
        <w:ind w:right="302"/>
      </w:pPr>
      <w:r>
        <w:t>О</w:t>
      </w:r>
      <w:r>
        <w:t xml:space="preserve">рлов, А. И. Организационно-экономическое моделирование: учебник: </w:t>
      </w:r>
    </w:p>
    <w:p w:rsidR="002C0F56" w:rsidRDefault="00E67C6E">
      <w:pPr>
        <w:spacing w:after="12"/>
        <w:ind w:left="994" w:right="302" w:firstLine="0"/>
      </w:pPr>
      <w:r>
        <w:t xml:space="preserve">в 3 ч. / А.И. Орлов. ― М.: МГТУ им. Н.Э. Баумана., 2009. ― 486 с. </w:t>
      </w:r>
    </w:p>
    <w:p w:rsidR="002C0F56" w:rsidRDefault="00E67C6E">
      <w:pPr>
        <w:numPr>
          <w:ilvl w:val="0"/>
          <w:numId w:val="242"/>
        </w:numPr>
        <w:ind w:right="302"/>
      </w:pPr>
      <w:r>
        <w:t xml:space="preserve">Сафронова, В. М. Прогнозирование, проектирование и моделирование в социальной работе : учеб. для вузов / В. М. Сафронова ― </w:t>
      </w:r>
      <w:r>
        <w:t xml:space="preserve">М. : Академия, 2010.―240с. </w:t>
      </w:r>
    </w:p>
    <w:p w:rsidR="002C0F56" w:rsidRDefault="00E67C6E">
      <w:pPr>
        <w:numPr>
          <w:ilvl w:val="0"/>
          <w:numId w:val="242"/>
        </w:numPr>
        <w:spacing w:after="10"/>
        <w:ind w:right="302"/>
      </w:pPr>
      <w:r>
        <w:t xml:space="preserve">Андрейчиков, А. В. Стратегический менеджмент в инновационных организациях. Системный анализ и принятие решений : Учебник / А.В. Андрейчиков, О.Н. Андрейчикова. ― М.: ИНФРА-М , 2013. ― 396 с. </w:t>
      </w:r>
    </w:p>
    <w:p w:rsidR="002C0F56" w:rsidRDefault="00E67C6E">
      <w:pPr>
        <w:numPr>
          <w:ilvl w:val="0"/>
          <w:numId w:val="242"/>
        </w:numPr>
        <w:spacing w:after="2"/>
        <w:ind w:right="302"/>
      </w:pPr>
      <w:r>
        <w:t xml:space="preserve">Товарный менеджмент: экономические, </w:t>
      </w:r>
      <w:r>
        <w:t>организационные и управленческие аспекты/ Анисимова Н.А., Бунина Е.А., Вартазарова А.Э., Ключников А.И., Ключникова Д.В., Колмакова Т.Е., Корнеева О.С., Лесникова Э.П., Лукинова О.А., Макаров Е.И., Писаренко Н.Д., Полянский К.К., Романова О.Н., Рут-ковская</w:t>
      </w:r>
      <w:r>
        <w:t xml:space="preserve"> Т.Р., Смарчкова Л.В., Соломатин Е.Н., Черемушкина И.В., Чудакова Е.А., Шалин В.В., Шигина Н.С. и др. Коллективная монография // Воронеж: Из-дательско-полиграфический центр «Научная книга», 2015..- 237 с.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spacing w:after="25" w:line="259" w:lineRule="auto"/>
        <w:ind w:left="10" w:right="307" w:hanging="10"/>
        <w:jc w:val="right"/>
      </w:pPr>
      <w:r>
        <w:rPr>
          <w:b/>
        </w:rPr>
        <w:t xml:space="preserve">Сулиманова И.О. </w:t>
      </w:r>
    </w:p>
    <w:p w:rsidR="002C0F56" w:rsidRDefault="00E67C6E">
      <w:pPr>
        <w:spacing w:after="11" w:line="270" w:lineRule="auto"/>
        <w:ind w:left="10" w:right="309" w:hanging="10"/>
        <w:jc w:val="right"/>
      </w:pPr>
      <w:r>
        <w:t xml:space="preserve">Научный руководитель: Перькова Е.А., к.э.н., доц. </w:t>
      </w:r>
    </w:p>
    <w:p w:rsidR="002C0F56" w:rsidRDefault="00E67C6E">
      <w:pPr>
        <w:spacing w:after="0" w:line="267" w:lineRule="auto"/>
        <w:ind w:left="905" w:right="306" w:hanging="10"/>
        <w:jc w:val="right"/>
      </w:pPr>
      <w:r>
        <w:rPr>
          <w:i/>
        </w:rPr>
        <w:t xml:space="preserve">Макеевский экономико-гуманитарный институт </w:t>
      </w:r>
    </w:p>
    <w:p w:rsidR="002C0F56" w:rsidRDefault="00E67C6E">
      <w:pPr>
        <w:spacing w:after="0" w:line="259" w:lineRule="auto"/>
        <w:ind w:left="1560" w:firstLine="0"/>
        <w:jc w:val="left"/>
      </w:pPr>
      <w:r>
        <w:rPr>
          <w:i/>
        </w:rPr>
        <w:t xml:space="preserve"> </w:t>
      </w:r>
    </w:p>
    <w:p w:rsidR="002C0F56" w:rsidRDefault="00E67C6E">
      <w:pPr>
        <w:pStyle w:val="1"/>
        <w:ind w:left="907" w:right="143"/>
      </w:pPr>
      <w:r>
        <w:t xml:space="preserve">ГОСУДАРСТВЕННОЕ РЕГУЛИРОВАНИЕ ОТНОШЕНИЙ С </w:t>
      </w:r>
    </w:p>
    <w:p w:rsidR="002C0F56" w:rsidRDefault="00E67C6E">
      <w:pPr>
        <w:pStyle w:val="1"/>
        <w:ind w:left="907" w:right="143"/>
      </w:pPr>
      <w:r>
        <w:t xml:space="preserve">СОЦИАЛЬНО НЕЗАЩИЩЕННЫМИ СЛОЯМИ НАСЕЛЕНИЯ </w:t>
      </w:r>
    </w:p>
    <w:p w:rsidR="002C0F56" w:rsidRDefault="00E67C6E">
      <w:pPr>
        <w:spacing w:after="0" w:line="259" w:lineRule="auto"/>
        <w:ind w:left="1560" w:firstLine="0"/>
        <w:jc w:val="left"/>
      </w:pPr>
      <w:r>
        <w:t xml:space="preserve"> </w:t>
      </w:r>
    </w:p>
    <w:p w:rsidR="002C0F56" w:rsidRDefault="00E67C6E">
      <w:pPr>
        <w:spacing w:after="0"/>
        <w:ind w:left="994" w:right="302"/>
      </w:pPr>
      <w:r>
        <w:t>В настоящее время появилось множество категорий населения, нуждающихся в</w:t>
      </w:r>
      <w:r>
        <w:t xml:space="preserve"> той или иной степени социальной защиты, а потому в настоящий момент назначение системы социальной защиты населения состоит в том, чтобы с помощью эффективных средств обеспечивать поддержку нуждающимся в этом группам населения и отдельным гражданам.  </w:t>
      </w:r>
    </w:p>
    <w:p w:rsidR="002C0F56" w:rsidRDefault="00E67C6E">
      <w:pPr>
        <w:ind w:left="994" w:right="302"/>
      </w:pPr>
      <w:r>
        <w:lastRenderedPageBreak/>
        <w:t xml:space="preserve">Для </w:t>
      </w:r>
      <w:r>
        <w:t xml:space="preserve">создания максимально эффективных мероприятий по поддержке социально незащищенных слоев населения необходимо государственное регулирование отношений с данной категорией граждан.  </w:t>
      </w:r>
    </w:p>
    <w:p w:rsidR="002C0F56" w:rsidRDefault="00E67C6E">
      <w:pPr>
        <w:spacing w:after="10"/>
        <w:ind w:left="994" w:right="302"/>
      </w:pPr>
      <w:r>
        <w:t xml:space="preserve">Социальное государство </w:t>
      </w:r>
      <w:hyperlink r:id="rId1309">
        <w:r>
          <w:t>(</w:t>
        </w:r>
      </w:hyperlink>
      <w:hyperlink r:id="rId1310">
        <w:r>
          <w:t>нем.</w:t>
        </w:r>
      </w:hyperlink>
      <w:hyperlink r:id="rId1311">
        <w:r>
          <w:t xml:space="preserve"> </w:t>
        </w:r>
      </w:hyperlink>
      <w:r>
        <w:rPr>
          <w:i/>
        </w:rPr>
        <w:t>Sozialstaat</w:t>
      </w:r>
      <w:r>
        <w:t xml:space="preserve">) — государство, политика которого направлена на перераспределение материальных благ в соответствии с принципом </w:t>
      </w:r>
      <w:hyperlink r:id="rId1312">
        <w:r>
          <w:t>социальной справедливости</w:t>
        </w:r>
      </w:hyperlink>
      <w:hyperlink r:id="rId1313">
        <w:r>
          <w:t xml:space="preserve"> </w:t>
        </w:r>
      </w:hyperlink>
      <w:r>
        <w:t xml:space="preserve">ради достижения каждым гражданином достойного </w:t>
      </w:r>
      <w:hyperlink r:id="rId1314">
        <w:r>
          <w:t>уровня жизни,</w:t>
        </w:r>
      </w:hyperlink>
      <w:r>
        <w:t xml:space="preserve"> сглаживания социальных различий и помощи нуждающимся. </w:t>
      </w:r>
    </w:p>
    <w:p w:rsidR="002C0F56" w:rsidRDefault="00E67C6E">
      <w:pPr>
        <w:ind w:left="994" w:right="302"/>
      </w:pPr>
      <w:r>
        <w:t xml:space="preserve">Стремление к социальному государству является одним из ключевых положений политических программ </w:t>
      </w:r>
      <w:hyperlink r:id="rId1315">
        <w:r>
          <w:t>социал</w:t>
        </w:r>
      </w:hyperlink>
      <w:hyperlink r:id="rId1316">
        <w:r>
          <w:t>-</w:t>
        </w:r>
      </w:hyperlink>
      <w:hyperlink r:id="rId1317">
        <w:r>
          <w:t>демократов.</w:t>
        </w:r>
      </w:hyperlink>
      <w:r>
        <w:t xml:space="preserve"> Упоминание о социальном государстве содержится в </w:t>
      </w:r>
      <w:hyperlink r:id="rId1318">
        <w:r>
          <w:t>конституциях</w:t>
        </w:r>
      </w:hyperlink>
      <w:hyperlink r:id="rId1319">
        <w:r>
          <w:t xml:space="preserve"> </w:t>
        </w:r>
      </w:hyperlink>
      <w:r>
        <w:t>и других высших законодательных актах многих стран. Теория государства всеобщего благоденствия предп</w:t>
      </w:r>
      <w:r>
        <w:t xml:space="preserve">олагает, что </w:t>
      </w:r>
      <w:hyperlink r:id="rId1320">
        <w:r>
          <w:t>социальные гарантии</w:t>
        </w:r>
      </w:hyperlink>
      <w:hyperlink r:id="rId1321">
        <w:r>
          <w:t xml:space="preserve"> </w:t>
        </w:r>
      </w:hyperlink>
      <w:r>
        <w:t xml:space="preserve">обеспечиваются путём </w:t>
      </w:r>
      <w:hyperlink r:id="rId1322">
        <w:r>
          <w:t>государственного регулирования экономики</w:t>
        </w:r>
      </w:hyperlink>
      <w:hyperlink r:id="rId1323">
        <w:r>
          <w:t xml:space="preserve"> </w:t>
        </w:r>
      </w:hyperlink>
      <w:r>
        <w:t xml:space="preserve">(прежде всего, крупного бизнеса) и налоговой политикой. </w:t>
      </w:r>
    </w:p>
    <w:p w:rsidR="002C0F56" w:rsidRDefault="00E67C6E">
      <w:pPr>
        <w:ind w:left="994" w:right="302"/>
      </w:pPr>
      <w:r>
        <w:t>Так, например с 1993 года Росс</w:t>
      </w:r>
      <w:r>
        <w:t>ия официально провозглашена социальным государством (</w:t>
      </w:r>
      <w:hyperlink r:id="rId1324">
        <w:r>
          <w:t>Конституция Российской Федерации,</w:t>
        </w:r>
      </w:hyperlink>
      <w:r>
        <w:t xml:space="preserve"> глава 1, статья 7). </w:t>
      </w:r>
    </w:p>
    <w:p w:rsidR="002C0F56" w:rsidRDefault="00E67C6E">
      <w:pPr>
        <w:ind w:left="994" w:right="302"/>
      </w:pPr>
      <w:r>
        <w:t xml:space="preserve">В интервью агентству РИА-Новости 14 июня 2013 президент В. Путин заявил: </w:t>
      </w:r>
    </w:p>
    <w:p w:rsidR="002C0F56" w:rsidRDefault="00E67C6E">
      <w:pPr>
        <w:spacing w:after="12"/>
        <w:ind w:left="994" w:right="302"/>
      </w:pPr>
      <w:r>
        <w:t>Социальная защита одна из важнейших функций государства. И возможный отказ от неё поставит под угр</w:t>
      </w:r>
      <w:r>
        <w:t>озу само существование института государства как такового. И кризис в ряде европейских стран наглядно это продемонстрировал. Ключевое слово здесь — неэффективность. Не социальная политика, а жизнь не по средствам, потеря контроля за общим состоянием эконом</w:t>
      </w:r>
      <w:r>
        <w:t>ики, структурные перекосы — вот что приводит к тем последствиям, с которыми Европа столкнулась сегодня. К тому же во многих европейских странах пышным цветом расцвело иждивенчество, где зачастую не работать гораздо выгоднее, чем работать. Оно угрожает не т</w:t>
      </w:r>
      <w:r>
        <w:t>олько экономике, но и нравственным основам общества. Для России такой (европейский) подход неприемлем. Социально ориентированное государство — это не прихоть, а необходимость… Что касается Европы, ведущие европейские страны проводят структурные реформы, чт</w:t>
      </w:r>
      <w:r>
        <w:t xml:space="preserve">обы повысить конкурентоспособность своих экономик, борются с безработицей. А свои обязательства прописали в Стратегии социально-экономического развития ЕС до 2020 года. Так что хоронить европейскую социальную модель пока рано. </w:t>
      </w:r>
    </w:p>
    <w:p w:rsidR="002C0F56" w:rsidRDefault="00E67C6E">
      <w:pPr>
        <w:ind w:left="994" w:right="302"/>
      </w:pPr>
      <w:r>
        <w:t xml:space="preserve">14 мая 2014 года  Верховный </w:t>
      </w:r>
      <w:r>
        <w:t>Совет Донецкой Народной Республики, утверждая права и свободы человека, гражданский мир и согласие, исходя из общепризнанных принципов равноправия и самоопределения народов, заявляя о стремлении обеспечить благополучие и процветание Республики, принимает К</w:t>
      </w:r>
      <w:r>
        <w:t xml:space="preserve">онституцию Донецкой Народной Республики (Протокол № 1 от 14 мая 2014 </w:t>
      </w:r>
      <w:r>
        <w:lastRenderedPageBreak/>
        <w:t xml:space="preserve">года). Статья № 1 Конституция Донецкой Народной Республики гласит: «Донецкая Народная Республика является демократическим правовым социальным государством». </w:t>
      </w:r>
    </w:p>
    <w:p w:rsidR="002C0F56" w:rsidRDefault="00E67C6E">
      <w:pPr>
        <w:spacing w:after="59"/>
        <w:ind w:left="994" w:right="302"/>
      </w:pPr>
      <w:r>
        <w:t xml:space="preserve">Задача социального государства — обеспечить своим гражданам следующие условия: </w:t>
      </w:r>
    </w:p>
    <w:p w:rsidR="002C0F56" w:rsidRDefault="00E67C6E">
      <w:pPr>
        <w:numPr>
          <w:ilvl w:val="0"/>
          <w:numId w:val="243"/>
        </w:numPr>
        <w:spacing w:after="59"/>
        <w:ind w:right="302"/>
      </w:pPr>
      <w:r>
        <w:t xml:space="preserve">каждый гражданин должен иметь достойный человека прожиточный минимум; </w:t>
      </w:r>
    </w:p>
    <w:p w:rsidR="002C0F56" w:rsidRDefault="00E67C6E">
      <w:pPr>
        <w:numPr>
          <w:ilvl w:val="0"/>
          <w:numId w:val="243"/>
        </w:numPr>
        <w:spacing w:after="11" w:line="270" w:lineRule="auto"/>
        <w:ind w:right="302"/>
      </w:pPr>
      <w:r>
        <w:t xml:space="preserve">каждый </w:t>
      </w:r>
      <w:r>
        <w:tab/>
        <w:t xml:space="preserve">трудоспособный </w:t>
      </w:r>
      <w:r>
        <w:tab/>
        <w:t xml:space="preserve">человек </w:t>
      </w:r>
      <w:r>
        <w:tab/>
        <w:t xml:space="preserve">должен </w:t>
      </w:r>
      <w:r>
        <w:tab/>
        <w:t xml:space="preserve">иметь </w:t>
      </w:r>
      <w:r>
        <w:tab/>
        <w:t xml:space="preserve">возможность </w:t>
      </w:r>
    </w:p>
    <w:p w:rsidR="002C0F56" w:rsidRDefault="00E67C6E">
      <w:pPr>
        <w:spacing w:after="60"/>
        <w:ind w:left="994" w:right="302" w:firstLine="0"/>
      </w:pPr>
      <w:r>
        <w:t>зарабатывать на себя и на содержание всей се</w:t>
      </w:r>
      <w:r>
        <w:t xml:space="preserve">мьи; </w:t>
      </w:r>
    </w:p>
    <w:p w:rsidR="002C0F56" w:rsidRDefault="00E67C6E">
      <w:pPr>
        <w:numPr>
          <w:ilvl w:val="0"/>
          <w:numId w:val="243"/>
        </w:numPr>
        <w:spacing w:after="0"/>
        <w:ind w:right="302"/>
      </w:pPr>
      <w:r>
        <w:t>нетрудоспособные или граждане, не имеющие по каким-либо причинам возможности трудиться (дети, больные, инвалиды, пенсионеры, безработные, беженцы и переселенцы), должны иметь возможность поддерживать обычный жизненный стандарт за счет перераспределен</w:t>
      </w:r>
      <w:r>
        <w:t xml:space="preserve">ия государством средств, накопленных субъектами, участвующими в экономической жизни страны. </w:t>
      </w:r>
    </w:p>
    <w:p w:rsidR="002C0F56" w:rsidRDefault="00E67C6E">
      <w:pPr>
        <w:spacing w:after="11" w:line="270" w:lineRule="auto"/>
        <w:ind w:left="10" w:right="315" w:hanging="10"/>
        <w:jc w:val="right"/>
      </w:pPr>
      <w:r>
        <w:t xml:space="preserve">Министерством труда и социальной политики Донецкой Народной </w:t>
      </w:r>
    </w:p>
    <w:p w:rsidR="002C0F56" w:rsidRDefault="00E67C6E">
      <w:pPr>
        <w:ind w:left="994" w:right="302" w:firstLine="0"/>
      </w:pPr>
      <w:r>
        <w:t>Республики издан приказ (№ 4/2 от 04.02.2015 года), который утверждает типовые положения об управлении</w:t>
      </w:r>
      <w:r>
        <w:t xml:space="preserve"> труда и социальной защиты населения. В данном Положении определены задачи и функции  направленные на защиту и соблюдение интересов социально незащищенных слоев населения. Управление, в установленном порядке и в пределах полномочий, взаимодействует с други</w:t>
      </w:r>
      <w:r>
        <w:t>ми структурными подразделениями, аппаратом соответствующей администрации, органами местного самоуправления, территориальными органами министерств, других центральных органов исполнительной власти, а также предприятиями, учреждениями и организациями с целью</w:t>
      </w:r>
      <w:r>
        <w:t xml:space="preserve"> создания условий для проведения последовательной и согласованной деятельности относительно сроков, периодичности получения и передачи информации, необходимой для надлежащего выполнения положенных на него задач и осуществление запланированных мероприятий. </w:t>
      </w:r>
    </w:p>
    <w:p w:rsidR="002C0F56" w:rsidRDefault="00E67C6E">
      <w:pPr>
        <w:spacing w:after="0"/>
        <w:ind w:left="994" w:right="302"/>
      </w:pPr>
      <w:r>
        <w:t>Социальная защита населения в широком смысле слова – это совокупность социально-экономических мероприятий, проводимых государством и обществом и обеспечивающих предоставление оптимальных условий жизни, удовлетворение потребностей, поддержание жизнеобеспеч</w:t>
      </w:r>
      <w:r>
        <w:t>ения и деятельного существования личности различным социальным категориям и группам, а также совокупность мер, направленных против ситуаций риска в нормальной жизни граждан, таких как болезнь, безработица, старость, смерть кормильца. Она представляет компл</w:t>
      </w:r>
      <w:r>
        <w:t xml:space="preserve">екс мер по обеспечению гарантированного государством </w:t>
      </w:r>
      <w:r>
        <w:lastRenderedPageBreak/>
        <w:t xml:space="preserve">минимального уровня материальной поддержки социально уязвимых слоев населения в период экономических преобразований и т.п.  </w:t>
      </w:r>
    </w:p>
    <w:p w:rsidR="002C0F56" w:rsidRDefault="00E67C6E">
      <w:pPr>
        <w:ind w:left="994" w:right="302"/>
      </w:pPr>
      <w:r>
        <w:t xml:space="preserve">Система социальной защиты населения на современном этапе включает в себя: </w:t>
      </w:r>
    </w:p>
    <w:p w:rsidR="002C0F56" w:rsidRDefault="00E67C6E">
      <w:pPr>
        <w:numPr>
          <w:ilvl w:val="0"/>
          <w:numId w:val="244"/>
        </w:numPr>
        <w:ind w:right="302"/>
      </w:pPr>
      <w:r>
        <w:t>соц</w:t>
      </w:r>
      <w:r>
        <w:t>иальное обеспечение — помимо пенсий (по старости, инвалидности и пр.) к социальному обеспечению относятся пособия по временной нетрудоспособности и родам, по уходу за ребенком, помощь семьям в содержании и воспитании детей (бесплатные или на льготных услов</w:t>
      </w:r>
      <w:r>
        <w:t>иях ясли, детские сады, интернаты, пионерские лагеря и пр.), семейные пособия, содержание нетрудоспособных в специальных организациях (домах престарелых и пр.), бесплатная или на льготных условиях протезная помощь, предоставление инвалидам средств передвиж</w:t>
      </w:r>
      <w:r>
        <w:t xml:space="preserve">ения, профессиональное обучение инвалидов, различные льготы семьям инвалидов; </w:t>
      </w:r>
    </w:p>
    <w:p w:rsidR="002C0F56" w:rsidRDefault="00E67C6E">
      <w:pPr>
        <w:numPr>
          <w:ilvl w:val="0"/>
          <w:numId w:val="244"/>
        </w:numPr>
        <w:spacing w:after="0"/>
        <w:ind w:right="302"/>
      </w:pPr>
      <w:r>
        <w:t>социальное страхование — защита экономически активного населения от социальных рисков на основе коллективной солидарности при возмещении ущерба. Основными социальными рисками, с</w:t>
      </w:r>
      <w:r>
        <w:t>вязанными с потерей трудоспособности, работы и соответственно, дохода, являются болезнь, старость, безработица, материнство, несчастный случай, производственная травма, профессиональное заболевание, смерть кормильца. Финансируется система социального страх</w:t>
      </w:r>
      <w:r>
        <w:t xml:space="preserve">ования из специальных внебюджетных фондов, формируемых за счет взносов работодателей и работников, а также субсидий государства. Существует две формы социального страхования — обязательное </w:t>
      </w:r>
    </w:p>
    <w:p w:rsidR="002C0F56" w:rsidRDefault="00E67C6E">
      <w:pPr>
        <w:ind w:left="994" w:right="302" w:firstLine="0"/>
      </w:pPr>
      <w:r>
        <w:t>(при поддержке государством его фондов) и добровольное (при отсутс</w:t>
      </w:r>
      <w:r>
        <w:t>твии государственной помощи). Поддержка граждан осуществляется, прежде всего, путем денежных выплат (пенсий и пособий по болезни, старости, безработице, потере кормильца и пр.), а также при помощи финансирования услуг организаций здравоохранения, профессио</w:t>
      </w:r>
      <w:r>
        <w:t xml:space="preserve">нального обучения и др., связанных с восстановлением трудоспособности; </w:t>
      </w:r>
    </w:p>
    <w:p w:rsidR="002C0F56" w:rsidRDefault="00E67C6E">
      <w:pPr>
        <w:numPr>
          <w:ilvl w:val="0"/>
          <w:numId w:val="244"/>
        </w:numPr>
        <w:spacing w:after="0"/>
        <w:ind w:right="302"/>
      </w:pPr>
      <w:r>
        <w:t>социальную поддержку (помощь) предоставляется социально-уязвимым группам населения, неспособным в силу тех или иных причин обеспечить себе доход. Помощь осуществляется как путем денежн</w:t>
      </w:r>
      <w:r>
        <w:t xml:space="preserve">ых, так и натуральных выплат (бесплатные обеды, одежда) и финансируется за счет общих налоговых поступлений. Для получения социальной помощи обычно необходима проверка на нуждаемость. Помощь предоставляется тем людям, чьи доходы ниже минимальных жизненных </w:t>
      </w:r>
      <w:r>
        <w:t xml:space="preserve">стандартов, и выступает важнейшим элементом политики борьбы с бедностью, обеспечением минимального гарантированного дохода, как реализация права на жизнь. </w:t>
      </w:r>
    </w:p>
    <w:p w:rsidR="002C0F56" w:rsidRDefault="00E67C6E">
      <w:pPr>
        <w:spacing w:after="0"/>
        <w:ind w:left="994" w:right="302"/>
      </w:pPr>
      <w:r>
        <w:t xml:space="preserve">Социальная поддержка не ограничивается только материальной помощью. Она включает также меры в виде содействия и услуг, оказываемых отдельным лицам или группам населения социальными службами для преодоления </w:t>
      </w:r>
      <w:r>
        <w:lastRenderedPageBreak/>
        <w:t>жизненных трудностей, поддержания социального стат</w:t>
      </w:r>
      <w:r>
        <w:t xml:space="preserve">уса, адаптации в обществе. </w:t>
      </w:r>
    </w:p>
    <w:p w:rsidR="002C0F56" w:rsidRDefault="00E67C6E">
      <w:pPr>
        <w:spacing w:after="10"/>
        <w:ind w:left="994" w:right="302"/>
      </w:pPr>
      <w:r>
        <w:t xml:space="preserve">Деятельность социальных служб по социальной поддержке, оказанию социально-бытовых, медицинских, педагогических, правовых услуг и материальной помощи, проведению социальной адаптации и реабилитации граждан, находящихся в трудной </w:t>
      </w:r>
      <w:r>
        <w:t xml:space="preserve">жизненной ситуации сформировалась в отдельную отрасль социальной сферы — социальное обслуживание. </w:t>
      </w:r>
    </w:p>
    <w:p w:rsidR="002C0F56" w:rsidRDefault="00E67C6E">
      <w:pPr>
        <w:spacing w:after="10"/>
        <w:ind w:left="994" w:right="302"/>
      </w:pPr>
      <w:r>
        <w:t>Основными принципами социальной защиты населения являются гуманность, социальная справедливость, адресность, комплексность, обеспечение прав и свобод личност</w:t>
      </w:r>
      <w:r>
        <w:t xml:space="preserve">и.  </w:t>
      </w:r>
    </w:p>
    <w:p w:rsidR="002C0F56" w:rsidRDefault="00E67C6E">
      <w:pPr>
        <w:spacing w:after="0"/>
        <w:ind w:left="994" w:right="302"/>
      </w:pPr>
      <w:r>
        <w:t>Государство играет важнейшую роль в организации социальной защиты населения, организуя пенсионное обслуживание и обеспечение пособиями, социальное обслуживание, социальную помощь семье и детям, подготавливая законодательство по социальной защите насел</w:t>
      </w:r>
      <w:r>
        <w:t xml:space="preserve">ения, положения по основам социальной политики, социальные нормативы и рекомендации для разработки региональных социальных программ, обеспечивая внешнеэкономическое и международное сотрудничество, анализируя и прогнозируя уровень жизни различных категорий </w:t>
      </w:r>
      <w:r>
        <w:t xml:space="preserve">населения, что является особо необходимым фактором. </w:t>
      </w:r>
    </w:p>
    <w:p w:rsidR="002C0F56" w:rsidRDefault="00E67C6E">
      <w:pPr>
        <w:spacing w:after="25" w:line="259" w:lineRule="auto"/>
        <w:ind w:left="1323" w:firstLine="0"/>
        <w:jc w:val="center"/>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45"/>
        </w:numPr>
        <w:ind w:right="302"/>
      </w:pPr>
      <w:r>
        <w:t xml:space="preserve">Конституция Донецкой Народной Республики [Электронный ресурс]. – Режим доступа : http://dnrsovet.su/zakonodatelnaya-deyatelnost/konstitutsiya/ </w:t>
      </w:r>
    </w:p>
    <w:p w:rsidR="002C0F56" w:rsidRDefault="00E67C6E">
      <w:pPr>
        <w:numPr>
          <w:ilvl w:val="0"/>
          <w:numId w:val="245"/>
        </w:numPr>
        <w:ind w:right="302"/>
      </w:pPr>
      <w:r>
        <w:t>Об утверждении типовых положений [Эле</w:t>
      </w:r>
      <w:r>
        <w:t xml:space="preserve">ктронный ресурс] : Приказ Министерства труда и социальной политики Донецкой Народной Республики № 4/2 от 04.02.2015 г. – Режим доступа : </w:t>
      </w:r>
      <w:hyperlink r:id="rId1325">
        <w:r>
          <w:t>http://old.dnr</w:t>
        </w:r>
      </w:hyperlink>
      <w:hyperlink r:id="rId1326">
        <w:r>
          <w:t>-</w:t>
        </w:r>
      </w:hyperlink>
      <w:hyperlink r:id="rId1327">
        <w:r>
          <w:t>online.ru/wp</w:t>
        </w:r>
      </w:hyperlink>
      <w:hyperlink r:id="rId1328"/>
      <w:hyperlink r:id="rId1329">
        <w:r>
          <w:t>content/uploads/2016/05/PrikazMinTSP_N4_2_04022015.pdf</w:t>
        </w:r>
      </w:hyperlink>
      <w:hyperlink r:id="rId1330">
        <w:r>
          <w:t xml:space="preserve"> </w:t>
        </w:r>
      </w:hyperlink>
    </w:p>
    <w:p w:rsidR="002C0F56" w:rsidRDefault="00E67C6E">
      <w:pPr>
        <w:numPr>
          <w:ilvl w:val="0"/>
          <w:numId w:val="245"/>
        </w:numPr>
        <w:ind w:right="302"/>
      </w:pPr>
      <w:r>
        <w:t xml:space="preserve">Дреманова М. А. </w:t>
      </w:r>
      <w:hyperlink r:id="rId1331">
        <w:r>
          <w:t>Россия</w:t>
        </w:r>
      </w:hyperlink>
      <w:hyperlink r:id="rId1332">
        <w:r>
          <w:t xml:space="preserve"> — </w:t>
        </w:r>
      </w:hyperlink>
      <w:hyperlink r:id="rId1333">
        <w:r>
          <w:t>социальное государство?</w:t>
        </w:r>
      </w:hyperlink>
      <w:hyperlink r:id="rId1334">
        <w:r>
          <w:t xml:space="preserve"> </w:t>
        </w:r>
      </w:hyperlink>
      <w:r>
        <w:t xml:space="preserve">[Текст] / </w:t>
      </w:r>
    </w:p>
    <w:p w:rsidR="002C0F56" w:rsidRDefault="00E67C6E">
      <w:pPr>
        <w:spacing w:after="12"/>
        <w:ind w:left="994" w:right="302" w:firstLine="0"/>
      </w:pPr>
      <w:r>
        <w:t xml:space="preserve">М.А.Дреманова // Теория и практика общественного развития. - 2012. - № 12. – </w:t>
      </w:r>
    </w:p>
    <w:p w:rsidR="002C0F56" w:rsidRDefault="00E67C6E">
      <w:pPr>
        <w:ind w:left="994" w:right="302" w:firstLine="0"/>
      </w:pPr>
      <w:r>
        <w:t xml:space="preserve">С. 49-53. </w:t>
      </w:r>
    </w:p>
    <w:p w:rsidR="002C0F56" w:rsidRDefault="00E67C6E">
      <w:pPr>
        <w:numPr>
          <w:ilvl w:val="0"/>
          <w:numId w:val="245"/>
        </w:numPr>
        <w:ind w:right="302"/>
      </w:pPr>
      <w:r>
        <w:t xml:space="preserve">Холостова, </w:t>
      </w:r>
      <w:r>
        <w:t xml:space="preserve">Е.И. Словарь-справочник по социальной работе / Под ред. Е.И. Холостовой. - М.: Юрист, 2000. - 424 с. </w:t>
      </w:r>
    </w:p>
    <w:p w:rsidR="002C0F56" w:rsidRDefault="00E67C6E">
      <w:pPr>
        <w:numPr>
          <w:ilvl w:val="0"/>
          <w:numId w:val="245"/>
        </w:numPr>
        <w:ind w:right="302"/>
      </w:pPr>
      <w:r>
        <w:t xml:space="preserve">Камаев, В.Д. Основы экономической теории: Учебное пособие / </w:t>
      </w:r>
    </w:p>
    <w:p w:rsidR="002C0F56" w:rsidRDefault="00E67C6E">
      <w:pPr>
        <w:ind w:left="994" w:right="302" w:firstLine="0"/>
      </w:pPr>
      <w:r>
        <w:t xml:space="preserve">В.Д. Камаев. – М.: Изд. – во МГТУ им. Н.Э.Баумана, 1996. – 284 с. </w:t>
      </w:r>
    </w:p>
    <w:p w:rsidR="002C0F56" w:rsidRDefault="00E67C6E">
      <w:pPr>
        <w:numPr>
          <w:ilvl w:val="0"/>
          <w:numId w:val="245"/>
        </w:numPr>
        <w:ind w:right="302"/>
      </w:pPr>
      <w:r>
        <w:t xml:space="preserve">Социальная энциклопедия / </w:t>
      </w:r>
      <w:r>
        <w:t xml:space="preserve">Ред. кол. А.П. Горкин, Г.Н. Карелова, Е.Д., Катульский и др. – М.: Больш. Рос. Энц-я, 2000. - 438 с </w:t>
      </w:r>
    </w:p>
    <w:p w:rsidR="002C0F56" w:rsidRDefault="00E67C6E">
      <w:pPr>
        <w:numPr>
          <w:ilvl w:val="0"/>
          <w:numId w:val="245"/>
        </w:numPr>
        <w:ind w:right="302"/>
      </w:pPr>
      <w:r>
        <w:t xml:space="preserve">Википедия [Электронный ресурс]. – Режим доступа: </w:t>
      </w:r>
      <w:hyperlink r:id="rId1335">
        <w:r>
          <w:t>https://ru.wikipedia.org/wiki/Социальное</w:t>
        </w:r>
      </w:hyperlink>
      <w:hyperlink r:id="rId1336">
        <w:r>
          <w:t xml:space="preserve"> </w:t>
        </w:r>
      </w:hyperlink>
      <w:r>
        <w:t xml:space="preserve">государство, свободный. </w:t>
      </w:r>
    </w:p>
    <w:p w:rsidR="002C0F56" w:rsidRDefault="00E67C6E">
      <w:pPr>
        <w:spacing w:after="0" w:line="259" w:lineRule="auto"/>
        <w:ind w:left="1702" w:firstLine="0"/>
        <w:jc w:val="left"/>
      </w:pPr>
      <w:r>
        <w:t xml:space="preserve"> </w:t>
      </w:r>
    </w:p>
    <w:p w:rsidR="002C0F56" w:rsidRDefault="00E67C6E">
      <w:pPr>
        <w:spacing w:after="28" w:line="259" w:lineRule="auto"/>
        <w:ind w:left="1558" w:firstLine="0"/>
        <w:jc w:val="left"/>
      </w:pPr>
      <w:r>
        <w:t xml:space="preserve"> </w:t>
      </w:r>
    </w:p>
    <w:p w:rsidR="002C0F56" w:rsidRDefault="00E67C6E">
      <w:pPr>
        <w:ind w:left="4475" w:right="302" w:firstLine="4148"/>
      </w:pPr>
      <w:r>
        <w:rPr>
          <w:b/>
        </w:rPr>
        <w:lastRenderedPageBreak/>
        <w:t xml:space="preserve">Тиханский И.В. </w:t>
      </w:r>
      <w:r>
        <w:t xml:space="preserve">Научный руководитель: Леонова Л.А., к. э. н., доц.  </w:t>
      </w:r>
    </w:p>
    <w:p w:rsidR="002C0F56" w:rsidRDefault="00E67C6E">
      <w:pPr>
        <w:spacing w:after="0" w:line="267" w:lineRule="auto"/>
        <w:ind w:left="905" w:right="309" w:hanging="10"/>
        <w:jc w:val="right"/>
      </w:pPr>
      <w:r>
        <w:rPr>
          <w:i/>
        </w:rPr>
        <w:t xml:space="preserve">Витебский государственный университет имени П. М. Машерова  </w:t>
      </w:r>
    </w:p>
    <w:p w:rsidR="002C0F56" w:rsidRDefault="00E67C6E">
      <w:pPr>
        <w:spacing w:after="30" w:line="259" w:lineRule="auto"/>
        <w:ind w:left="1558" w:firstLine="0"/>
        <w:jc w:val="left"/>
      </w:pPr>
      <w:r>
        <w:rPr>
          <w:i/>
        </w:rPr>
        <w:t xml:space="preserve"> </w:t>
      </w:r>
    </w:p>
    <w:p w:rsidR="002C0F56" w:rsidRDefault="00E67C6E">
      <w:pPr>
        <w:pStyle w:val="1"/>
        <w:ind w:left="700" w:right="5"/>
      </w:pPr>
      <w:r>
        <w:t>ВЕБ-</w:t>
      </w:r>
      <w:r>
        <w:t xml:space="preserve">ДИЗАЙН КАК ОСНОВА ИНТЕРНЕТ ПРОДВИЖЕНИЯ </w:t>
      </w:r>
    </w:p>
    <w:p w:rsidR="002C0F56" w:rsidRDefault="00E67C6E">
      <w:pPr>
        <w:pStyle w:val="1"/>
        <w:ind w:left="700" w:right="5"/>
      </w:pPr>
      <w:r>
        <w:t xml:space="preserve">ТУРИСТИЧЕСКОГО ПРОДУКТА </w:t>
      </w:r>
    </w:p>
    <w:p w:rsidR="002C0F56" w:rsidRDefault="00E67C6E">
      <w:pPr>
        <w:spacing w:after="25" w:line="259" w:lineRule="auto"/>
        <w:ind w:left="1558" w:firstLine="0"/>
        <w:jc w:val="left"/>
      </w:pPr>
      <w:r>
        <w:rPr>
          <w:b/>
        </w:rPr>
        <w:t xml:space="preserve"> </w:t>
      </w:r>
    </w:p>
    <w:p w:rsidR="002C0F56" w:rsidRDefault="00E67C6E">
      <w:pPr>
        <w:ind w:left="994" w:right="302"/>
      </w:pPr>
      <w:r>
        <w:t>Информационные технологии и интернет прочно вошли в нашу жизнь. По данным пресс-релиза Международного союза электросвязи (МСЭ) от 22.07.2016, количество пользователей интернета в мире соста</w:t>
      </w:r>
      <w:r>
        <w:t xml:space="preserve">вило 3,5 миллиарда человек (около 47% от общей численности населения) [1]. </w:t>
      </w:r>
    </w:p>
    <w:p w:rsidR="002C0F56" w:rsidRDefault="00E67C6E">
      <w:pPr>
        <w:ind w:left="994" w:right="302"/>
      </w:pPr>
      <w:r>
        <w:t>Помимо значения интернета для жизни современного человека он играет важную роль в бизнесе, как общедоступный информационный и коммуникационный ресурс. С помощью Интернет фирмы могу</w:t>
      </w:r>
      <w:r>
        <w:t>т разрабатывать новую продукцию, принимать заказы, получать необходимую корреспонденцию и официальные документы, вести специализированный поиск в соответствующих учреждениях и даже непосредственно сбывать свою продукцию. Все больше организаций становятся о</w:t>
      </w:r>
      <w:r>
        <w:t xml:space="preserve">бладателями своих собственных сайтов. Вместе с тем растёт и конкуренция в данной области, ведь чтобы попасть на сайт, пользователь должен его сначала найти. Для этого используются самые разнообразные способы продвижения [2, с. 38]. </w:t>
      </w:r>
    </w:p>
    <w:p w:rsidR="002C0F56" w:rsidRDefault="00E67C6E">
      <w:pPr>
        <w:ind w:left="994" w:right="302"/>
      </w:pPr>
      <w:r>
        <w:t>Поисковая оптимизация (</w:t>
      </w:r>
      <w:r>
        <w:t>поисковое продвижение) – это вывод интернетсайта на лидирующие позиции в поисковых системах (Google, Yandex, Rambler и др.). Чтобы на сайт обратили внимание, он должен оказаться в самом начале результатов поиска (в первой десятке). Для этого осуществляется</w:t>
      </w:r>
      <w:r>
        <w:t xml:space="preserve"> SEOоптимизация, предполагающая внесение изменений в текстовое содержание, код страниц и настройки веб-сервера, а также размещение ссылок на сайт на сторонних тематических ресурсах. Плюсы данного инструмента интернетмаркетинга – прямое обращение к целевой </w:t>
      </w:r>
      <w:r>
        <w:t xml:space="preserve">аудитории.  </w:t>
      </w:r>
    </w:p>
    <w:p w:rsidR="002C0F56" w:rsidRDefault="00E67C6E">
      <w:pPr>
        <w:spacing w:after="5"/>
        <w:ind w:left="994" w:right="302"/>
      </w:pPr>
      <w:r>
        <w:t>Все владельцы мало-мальски популярных интернет-сайтов следят за тем, что происходит в области поисковой оптимизации. Изменения в этой сфере происходят практически постоянно – по крайней мере, в 2016 году SEOспециалистам пришлось менять некотор</w:t>
      </w:r>
      <w:r>
        <w:t xml:space="preserve">ые свои методики продвижения в поисковой выдаче. При этом, неизменно, дизайн сайта является одним из наиболее важных условий, обеспечивающим его популярность.  </w:t>
      </w:r>
    </w:p>
    <w:p w:rsidR="002C0F56" w:rsidRDefault="00E67C6E">
      <w:pPr>
        <w:spacing w:after="2"/>
        <w:ind w:left="994" w:right="302"/>
      </w:pPr>
      <w:r>
        <w:t>Посетителя нужно заинтересовать, и тогда он проведёт на нем больше времени, и этот поведенческий фактор положительно отразится на положении вашего сайта в поисковой выдаче. Необходимо понимать, что содержание сайта имеет прямую зависимость от тех, задач, к</w:t>
      </w:r>
      <w:r>
        <w:t xml:space="preserve">оторые перед ним ставятся. Туристическая сфера наполнена незабываемыми эмоциями путешествий, исходя </w:t>
      </w:r>
      <w:r>
        <w:lastRenderedPageBreak/>
        <w:t>из этого, нужно определиться с оптимальным графическим оформлением сайта и удобным интерфейсом. Для реализации своего проекта можно обратиться в солидное ин</w:t>
      </w:r>
      <w:r>
        <w:t>тернет-агентство или попытаться самостоятельно разработать и воплотить в жизнь веб-дизайн для своего сайта, используя различные бесплатные сервисы. К сожалению, многие начинающие сайтовладельцы не понимают, что поисковая оптимизация, продвижение и раскрутк</w:t>
      </w:r>
      <w:r>
        <w:t xml:space="preserve">а сайта может быть весьма затруднена, если веб-дизайн проекта был проведён не на должном уровне или не проведён вовсе [2]. </w:t>
      </w:r>
    </w:p>
    <w:p w:rsidR="002C0F56" w:rsidRDefault="00E67C6E">
      <w:pPr>
        <w:spacing w:after="0" w:line="259" w:lineRule="auto"/>
        <w:ind w:left="1558" w:right="1839" w:firstLine="0"/>
        <w:jc w:val="left"/>
      </w:pPr>
      <w:r>
        <w:t xml:space="preserve"> </w:t>
      </w:r>
    </w:p>
    <w:p w:rsidR="002C0F56" w:rsidRDefault="00E67C6E">
      <w:pPr>
        <w:spacing w:after="0" w:line="259" w:lineRule="auto"/>
        <w:ind w:left="0" w:right="1767" w:firstLine="0"/>
        <w:jc w:val="right"/>
      </w:pPr>
      <w:r>
        <w:rPr>
          <w:noProof/>
        </w:rPr>
        <w:drawing>
          <wp:inline distT="0" distB="0" distL="0" distR="0">
            <wp:extent cx="3822065" cy="1939925"/>
            <wp:effectExtent l="0" t="0" r="0" b="0"/>
            <wp:docPr id="77098" name="Picture 77098"/>
            <wp:cNvGraphicFramePr/>
            <a:graphic xmlns:a="http://schemas.openxmlformats.org/drawingml/2006/main">
              <a:graphicData uri="http://schemas.openxmlformats.org/drawingml/2006/picture">
                <pic:pic xmlns:pic="http://schemas.openxmlformats.org/drawingml/2006/picture">
                  <pic:nvPicPr>
                    <pic:cNvPr id="77098" name="Picture 77098"/>
                    <pic:cNvPicPr/>
                  </pic:nvPicPr>
                  <pic:blipFill>
                    <a:blip r:embed="rId1337"/>
                    <a:stretch>
                      <a:fillRect/>
                    </a:stretch>
                  </pic:blipFill>
                  <pic:spPr>
                    <a:xfrm>
                      <a:off x="0" y="0"/>
                      <a:ext cx="3822065" cy="1939925"/>
                    </a:xfrm>
                    <a:prstGeom prst="rect">
                      <a:avLst/>
                    </a:prstGeom>
                  </pic:spPr>
                </pic:pic>
              </a:graphicData>
            </a:graphic>
          </wp:inline>
        </w:drawing>
      </w:r>
      <w:r>
        <w:t xml:space="preserve"> </w:t>
      </w:r>
    </w:p>
    <w:p w:rsidR="002C0F56" w:rsidRDefault="00E67C6E">
      <w:pPr>
        <w:pStyle w:val="4"/>
        <w:ind w:left="1181" w:right="1"/>
      </w:pPr>
      <w:r>
        <w:t xml:space="preserve">Рис. 1. "Плохой дизайн сайта" </w:t>
      </w:r>
    </w:p>
    <w:p w:rsidR="002C0F56" w:rsidRDefault="00E67C6E">
      <w:pPr>
        <w:spacing w:after="0" w:line="259" w:lineRule="auto"/>
        <w:ind w:left="1558" w:firstLine="0"/>
        <w:jc w:val="left"/>
      </w:pPr>
      <w:r>
        <w:t xml:space="preserve"> </w:t>
      </w:r>
    </w:p>
    <w:p w:rsidR="002C0F56" w:rsidRDefault="00E67C6E">
      <w:pPr>
        <w:ind w:left="994" w:right="302"/>
      </w:pPr>
      <w:r>
        <w:t xml:space="preserve">Обычно дизайн делается в несколько шагов. Основными этапами создания веб-дизайна являются: </w:t>
      </w:r>
    </w:p>
    <w:p w:rsidR="002C0F56" w:rsidRDefault="00E67C6E">
      <w:pPr>
        <w:numPr>
          <w:ilvl w:val="0"/>
          <w:numId w:val="246"/>
        </w:numPr>
        <w:spacing w:after="10"/>
        <w:ind w:right="302"/>
      </w:pPr>
      <w:r>
        <w:t>Пр</w:t>
      </w:r>
      <w:r>
        <w:t xml:space="preserve">осмотр других сайтов, чтобы примерно знать какие блоки вам нравятся, а какие нет. Когда с блоками, размещением, версткой будет завершено, можете приступать делать макет. </w:t>
      </w:r>
    </w:p>
    <w:p w:rsidR="002C0F56" w:rsidRDefault="00E67C6E">
      <w:pPr>
        <w:numPr>
          <w:ilvl w:val="0"/>
          <w:numId w:val="246"/>
        </w:numPr>
        <w:ind w:right="302"/>
      </w:pPr>
      <w:r>
        <w:t>Создание макета в карандаше. Это черновик, который вы сможете поправить, почеркать чт</w:t>
      </w:r>
      <w:r>
        <w:t xml:space="preserve">о-то, чтобы затем была возможность перерисовать все это в графическом редакторе. </w:t>
      </w:r>
    </w:p>
    <w:p w:rsidR="002C0F56" w:rsidRDefault="00E67C6E">
      <w:pPr>
        <w:numPr>
          <w:ilvl w:val="0"/>
          <w:numId w:val="246"/>
        </w:numPr>
        <w:ind w:right="302"/>
      </w:pPr>
      <w:r>
        <w:t xml:space="preserve">Верстка в графическом редакторе. Практически все используют Photoshop, как универсальное средство для работы с графикой.  </w:t>
      </w:r>
    </w:p>
    <w:p w:rsidR="002C0F56" w:rsidRDefault="00E67C6E">
      <w:pPr>
        <w:numPr>
          <w:ilvl w:val="0"/>
          <w:numId w:val="246"/>
        </w:numPr>
        <w:ind w:right="302"/>
      </w:pPr>
      <w:r>
        <w:t xml:space="preserve">Исправление сделанных ошибок. </w:t>
      </w:r>
    </w:p>
    <w:p w:rsidR="002C0F56" w:rsidRDefault="00E67C6E">
      <w:pPr>
        <w:numPr>
          <w:ilvl w:val="0"/>
          <w:numId w:val="246"/>
        </w:numPr>
        <w:ind w:right="302"/>
      </w:pPr>
      <w:r>
        <w:t>Верстка дизайна в ht</w:t>
      </w:r>
      <w:r>
        <w:t xml:space="preserve">ml. </w:t>
      </w:r>
    </w:p>
    <w:p w:rsidR="002C0F56" w:rsidRDefault="00E67C6E">
      <w:pPr>
        <w:ind w:left="994" w:right="302"/>
      </w:pPr>
      <w:r>
        <w:t>После того, как макет будет готов в графическом редакторе, его отправляют программисту. Который буквально за пару дней сделает вам готовый шаблон. Его вы сможете использовать для «нанизывания» определенных информационных блоков. Советы при создании ди</w:t>
      </w:r>
      <w:r>
        <w:t xml:space="preserve">зайна сайта 1. Не увлекайтесь графикой.  </w:t>
      </w:r>
    </w:p>
    <w:p w:rsidR="002C0F56" w:rsidRDefault="00E67C6E">
      <w:pPr>
        <w:numPr>
          <w:ilvl w:val="0"/>
          <w:numId w:val="247"/>
        </w:numPr>
        <w:ind w:right="302"/>
      </w:pPr>
      <w:r>
        <w:t xml:space="preserve">Держите стиль. При создании дизайна пляшите от тематики. Есть такое понятие, как стиль. Он должен пронизывать весь сайт.  </w:t>
      </w:r>
    </w:p>
    <w:p w:rsidR="002C0F56" w:rsidRDefault="00E67C6E">
      <w:pPr>
        <w:numPr>
          <w:ilvl w:val="0"/>
          <w:numId w:val="247"/>
        </w:numPr>
        <w:ind w:right="302"/>
      </w:pPr>
      <w:r>
        <w:lastRenderedPageBreak/>
        <w:t>Уделяйте внимание мелочам. Маркеры, полоски, значки и прочие мелкие элементы, готовьте с ос</w:t>
      </w:r>
      <w:r>
        <w:t xml:space="preserve">обой тщательностью. Подгоняйте их под общую картину и вы достигнете хороших результатов. </w:t>
      </w:r>
    </w:p>
    <w:p w:rsidR="002C0F56" w:rsidRDefault="00E67C6E">
      <w:pPr>
        <w:numPr>
          <w:ilvl w:val="0"/>
          <w:numId w:val="247"/>
        </w:numPr>
        <w:ind w:right="302"/>
      </w:pPr>
      <w:r>
        <w:t>Удобная навигация — залог успеха. Пользователь не должен часами бродить по вашему сайту (хотя было бы неплохо…), это раздражает. Для небольших сайтов можно ограничить</w:t>
      </w:r>
      <w:r>
        <w:t xml:space="preserve">ся навигационной полоской с выходами к основным разделам, а для сайтов с глубокой структурой стоит делать, что-то помощнее. Неплохо даже подумать о функции поиска. </w:t>
      </w:r>
    </w:p>
    <w:p w:rsidR="002C0F56" w:rsidRDefault="00E67C6E">
      <w:pPr>
        <w:numPr>
          <w:ilvl w:val="0"/>
          <w:numId w:val="247"/>
        </w:numPr>
        <w:ind w:right="302"/>
      </w:pPr>
      <w:r>
        <w:t xml:space="preserve">Ваш браузер не единственный, разрешение экрана не уникально. Созданный вами сайт должен читаться при </w:t>
      </w:r>
      <w:hyperlink r:id="rId1338">
        <w:r>
          <w:t>256 цветах,</w:t>
        </w:r>
      </w:hyperlink>
      <w:r>
        <w:t xml:space="preserve"> при разных разрешениях ( 1024х768, 1280×1024 и др.) и пониматься двумя осно</w:t>
      </w:r>
      <w:r>
        <w:t xml:space="preserve">вными браузерами: Opera, FireFox.Также не забудьте про Internet Explorer, хоть он и считается самым ненадежным. </w:t>
      </w:r>
    </w:p>
    <w:p w:rsidR="002C0F56" w:rsidRDefault="00E67C6E">
      <w:pPr>
        <w:numPr>
          <w:ilvl w:val="0"/>
          <w:numId w:val="247"/>
        </w:numPr>
        <w:spacing w:after="12"/>
        <w:ind w:right="302"/>
      </w:pPr>
      <w:hyperlink r:id="rId1339">
        <w:r>
          <w:t>Авторские права не шутка.</w:t>
        </w:r>
      </w:hyperlink>
      <w:r>
        <w:t xml:space="preserve"> Не стоит воровать чужую графику [4]. </w:t>
      </w:r>
    </w:p>
    <w:p w:rsidR="002C0F56" w:rsidRDefault="00E67C6E">
      <w:pPr>
        <w:ind w:left="994" w:right="302"/>
      </w:pPr>
      <w:r>
        <w:t>В рам</w:t>
      </w:r>
      <w:r>
        <w:t xml:space="preserve">ках данной работы был проведён анализ сайта туристической компании </w:t>
      </w:r>
      <w:r>
        <w:rPr>
          <w:b/>
        </w:rPr>
        <w:t>Х</w:t>
      </w:r>
      <w:r>
        <w:t xml:space="preserve"> которая является одной из крупнейших в Беларуси.  </w:t>
      </w:r>
    </w:p>
    <w:p w:rsidR="002C0F56" w:rsidRDefault="00E67C6E">
      <w:pPr>
        <w:ind w:left="994" w:right="302"/>
      </w:pPr>
      <w:r>
        <w:t>Анализируя данный сайт можно отметить его положительные стороны и недостатки над которыми стоит поработать. Положительные стороны сайта:</w:t>
      </w:r>
      <w:r>
        <w:t xml:space="preserve"> </w:t>
      </w:r>
    </w:p>
    <w:p w:rsidR="002C0F56" w:rsidRDefault="00E67C6E">
      <w:pPr>
        <w:numPr>
          <w:ilvl w:val="0"/>
          <w:numId w:val="248"/>
        </w:numPr>
        <w:ind w:right="302"/>
      </w:pPr>
      <w:r>
        <w:t xml:space="preserve">Яркий и приятный дизайн; </w:t>
      </w:r>
    </w:p>
    <w:p w:rsidR="002C0F56" w:rsidRDefault="00E67C6E">
      <w:pPr>
        <w:numPr>
          <w:ilvl w:val="0"/>
          <w:numId w:val="248"/>
        </w:numPr>
        <w:ind w:right="302"/>
      </w:pPr>
      <w:r>
        <w:t xml:space="preserve">Удобный интерфейс; </w:t>
      </w:r>
    </w:p>
    <w:p w:rsidR="002C0F56" w:rsidRDefault="00E67C6E">
      <w:pPr>
        <w:numPr>
          <w:ilvl w:val="0"/>
          <w:numId w:val="248"/>
        </w:numPr>
        <w:ind w:right="302"/>
      </w:pPr>
      <w:r>
        <w:t xml:space="preserve">Наличие рекламных баннеров со "специальными предложениями"; </w:t>
      </w:r>
    </w:p>
    <w:p w:rsidR="002C0F56" w:rsidRDefault="00E67C6E">
      <w:pPr>
        <w:numPr>
          <w:ilvl w:val="0"/>
          <w:numId w:val="248"/>
        </w:numPr>
        <w:ind w:right="302"/>
      </w:pPr>
      <w:r>
        <w:t xml:space="preserve">Всплывающее окно онлайн консультанта; </w:t>
      </w:r>
    </w:p>
    <w:p w:rsidR="002C0F56" w:rsidRDefault="00E67C6E">
      <w:pPr>
        <w:numPr>
          <w:ilvl w:val="0"/>
          <w:numId w:val="248"/>
        </w:numPr>
        <w:ind w:right="302"/>
      </w:pPr>
      <w:r>
        <w:t xml:space="preserve">Удобная возможность оставить отзыв используя активную социальную </w:t>
      </w:r>
    </w:p>
    <w:p w:rsidR="002C0F56" w:rsidRDefault="00E67C6E">
      <w:pPr>
        <w:ind w:left="994" w:right="302" w:firstLine="0"/>
      </w:pPr>
      <w:r>
        <w:t xml:space="preserve">сеть; </w:t>
      </w:r>
    </w:p>
    <w:p w:rsidR="002C0F56" w:rsidRDefault="00E67C6E">
      <w:pPr>
        <w:numPr>
          <w:ilvl w:val="0"/>
          <w:numId w:val="248"/>
        </w:numPr>
        <w:ind w:right="302"/>
      </w:pPr>
      <w:r>
        <w:t xml:space="preserve">Наличие путеводителя и полезной информации для туриста; </w:t>
      </w:r>
    </w:p>
    <w:p w:rsidR="002C0F56" w:rsidRDefault="00E67C6E">
      <w:pPr>
        <w:numPr>
          <w:ilvl w:val="0"/>
          <w:numId w:val="248"/>
        </w:numPr>
        <w:ind w:right="302"/>
      </w:pPr>
      <w:r>
        <w:t xml:space="preserve">Наличие системы бронирования и возможности оставить заявку на подбор тура; </w:t>
      </w:r>
    </w:p>
    <w:p w:rsidR="002C0F56" w:rsidRDefault="00E67C6E">
      <w:pPr>
        <w:numPr>
          <w:ilvl w:val="0"/>
          <w:numId w:val="248"/>
        </w:numPr>
        <w:ind w:right="302"/>
      </w:pPr>
      <w:r>
        <w:t xml:space="preserve">Сайт включен в Яндекс Каталог в категории «Туры и экскурсии»; </w:t>
      </w:r>
    </w:p>
    <w:p w:rsidR="002C0F56" w:rsidRDefault="00E67C6E">
      <w:pPr>
        <w:numPr>
          <w:ilvl w:val="0"/>
          <w:numId w:val="248"/>
        </w:numPr>
        <w:ind w:right="302"/>
      </w:pPr>
      <w:r>
        <w:t>Быстрая загрузка сайта  0,6 сек - быстрее чем 44% проверенны</w:t>
      </w:r>
      <w:r>
        <w:t xml:space="preserve">х сайтов. </w:t>
      </w:r>
    </w:p>
    <w:p w:rsidR="002C0F56" w:rsidRDefault="00E67C6E">
      <w:pPr>
        <w:ind w:left="1558" w:right="302" w:firstLine="0"/>
      </w:pPr>
      <w:r>
        <w:t xml:space="preserve">Слабые стороны сайта:  </w:t>
      </w:r>
    </w:p>
    <w:p w:rsidR="002C0F56" w:rsidRDefault="00E67C6E">
      <w:pPr>
        <w:numPr>
          <w:ilvl w:val="0"/>
          <w:numId w:val="248"/>
        </w:numPr>
        <w:ind w:right="302"/>
      </w:pPr>
      <w:r>
        <w:t xml:space="preserve">Регулярно </w:t>
      </w:r>
      <w:r>
        <w:tab/>
        <w:t xml:space="preserve">всплывающее </w:t>
      </w:r>
      <w:r>
        <w:tab/>
        <w:t xml:space="preserve">окно </w:t>
      </w:r>
      <w:r>
        <w:tab/>
        <w:t xml:space="preserve">консультанта </w:t>
      </w:r>
      <w:r>
        <w:tab/>
        <w:t xml:space="preserve">со </w:t>
      </w:r>
      <w:r>
        <w:tab/>
        <w:t xml:space="preserve">звуковым </w:t>
      </w:r>
    </w:p>
    <w:p w:rsidR="002C0F56" w:rsidRDefault="00E67C6E">
      <w:pPr>
        <w:ind w:left="994" w:right="302" w:firstLine="0"/>
      </w:pPr>
      <w:r>
        <w:t xml:space="preserve">сопровождением; </w:t>
      </w:r>
    </w:p>
    <w:p w:rsidR="002C0F56" w:rsidRDefault="00E67C6E">
      <w:pPr>
        <w:numPr>
          <w:ilvl w:val="0"/>
          <w:numId w:val="248"/>
        </w:numPr>
        <w:ind w:right="302"/>
      </w:pPr>
      <w:r>
        <w:t xml:space="preserve">Низкая адаптивность для мобильных устройств. </w:t>
      </w:r>
    </w:p>
    <w:p w:rsidR="002C0F56" w:rsidRDefault="00E67C6E">
      <w:pPr>
        <w:ind w:left="1558" w:right="302" w:firstLine="0"/>
      </w:pPr>
      <w:r>
        <w:t xml:space="preserve">В качестве рекомендаций по модернизации сайта можно предложить: </w:t>
      </w:r>
    </w:p>
    <w:p w:rsidR="002C0F56" w:rsidRDefault="00E67C6E">
      <w:pPr>
        <w:numPr>
          <w:ilvl w:val="0"/>
          <w:numId w:val="249"/>
        </w:numPr>
        <w:spacing w:after="2"/>
        <w:ind w:right="302"/>
      </w:pPr>
      <w:r>
        <w:lastRenderedPageBreak/>
        <w:t>Добавить на сайте возможность видео</w:t>
      </w:r>
      <w:r>
        <w:t xml:space="preserve">связи с менеджером (консультантом) через Skype или Viber. Это значительно бы облегчило самостоятельный подбор тура через сайт фирмы и позволило решить ряд вопросов не выходя из дома. </w:t>
      </w:r>
    </w:p>
    <w:p w:rsidR="002C0F56" w:rsidRDefault="00E67C6E">
      <w:pPr>
        <w:numPr>
          <w:ilvl w:val="0"/>
          <w:numId w:val="249"/>
        </w:numPr>
        <w:spacing w:after="0"/>
        <w:ind w:right="302"/>
      </w:pPr>
      <w:r>
        <w:t>Добавить на сайте возможность создания "Личного кабинета" в котором можно не только оставить заявку подобранного тура, а также получать уведомления о наличии тура по указанным параметрам. Личный кабинет это отличная возможность поддержания коммуникации с к</w:t>
      </w:r>
      <w:r>
        <w:t xml:space="preserve">лиентом, также на его основе можно разработать дисконтную или накопительную программу, которая будет стимулировать спрос в данной фирме.  </w:t>
      </w:r>
    </w:p>
    <w:p w:rsidR="002C0F56" w:rsidRDefault="00E67C6E">
      <w:pPr>
        <w:numPr>
          <w:ilvl w:val="0"/>
          <w:numId w:val="249"/>
        </w:numPr>
        <w:ind w:right="302"/>
      </w:pPr>
      <w:r>
        <w:t>Разработать и добавить мини презентации предлагаемых туров, например в формате .Gif. Это даст возможность поближе поз</w:t>
      </w:r>
      <w:r>
        <w:t>накомиться с туром и принять верное решение.</w:t>
      </w:r>
      <w:r>
        <w:rPr>
          <w:b/>
        </w:rPr>
        <w:t xml:space="preserve"> </w:t>
      </w:r>
    </w:p>
    <w:p w:rsidR="002C0F56" w:rsidRDefault="00E67C6E">
      <w:pPr>
        <w:spacing w:after="0"/>
        <w:ind w:left="994" w:right="302"/>
      </w:pPr>
      <w:r>
        <w:t>Таким образом, интернет эффективная и относительно бюджетная площадка для продвижения, причем не только в туризме. Однако сам сайт также необходимо продвигать для достижения результата. Мало просто создать и оф</w:t>
      </w:r>
      <w:r>
        <w:t xml:space="preserve">ормить сайт, нужно добиться того чтобы он был как минимум доступен, интересен и полезен пользователю. Использование современных технологий требует творческого подхода, постоянного развития, анализа сложившейся ситуации и адаптации к её условиям.  </w:t>
      </w:r>
    </w:p>
    <w:p w:rsidR="002C0F56" w:rsidRDefault="00E67C6E">
      <w:pPr>
        <w:spacing w:after="27" w:line="259" w:lineRule="auto"/>
        <w:ind w:left="1318" w:firstLine="0"/>
        <w:jc w:val="center"/>
      </w:pPr>
      <w:r>
        <w:t xml:space="preserve"> </w:t>
      </w:r>
    </w:p>
    <w:p w:rsidR="002C0F56" w:rsidRDefault="00E67C6E">
      <w:pPr>
        <w:spacing w:after="15" w:line="268" w:lineRule="auto"/>
        <w:ind w:left="1262" w:right="2" w:hanging="10"/>
        <w:jc w:val="center"/>
      </w:pPr>
      <w:r>
        <w:t>Список</w:t>
      </w:r>
      <w:r>
        <w:t xml:space="preserve"> литературы: </w:t>
      </w:r>
    </w:p>
    <w:p w:rsidR="002C0F56" w:rsidRDefault="00E67C6E">
      <w:pPr>
        <w:spacing w:after="11" w:line="270" w:lineRule="auto"/>
        <w:ind w:left="10" w:right="312" w:hanging="10"/>
        <w:jc w:val="right"/>
      </w:pPr>
      <w:r>
        <w:t>1.</w:t>
      </w:r>
      <w:r>
        <w:rPr>
          <w:rFonts w:ascii="Arial" w:eastAsia="Arial" w:hAnsi="Arial" w:cs="Arial"/>
        </w:rPr>
        <w:t xml:space="preserve"> </w:t>
      </w:r>
      <w:r>
        <w:t xml:space="preserve">Пресс-релиз Международного союза электросвязи (МСЭ) от 22.07.2016 </w:t>
      </w:r>
    </w:p>
    <w:p w:rsidR="002C0F56" w:rsidRDefault="00E67C6E">
      <w:pPr>
        <w:ind w:left="994" w:right="302" w:firstLine="0"/>
      </w:pPr>
      <w:r>
        <w:t>[Электронный ресурс] − Режим доступа: http://www.itu.int/net/pressoffice/ press_releases/2016/pdf/30-ru.– Дата доступа: 20.04.2017. 2.</w:t>
      </w:r>
      <w:r>
        <w:rPr>
          <w:rFonts w:ascii="Arial" w:eastAsia="Arial" w:hAnsi="Arial" w:cs="Arial"/>
        </w:rPr>
        <w:t xml:space="preserve"> </w:t>
      </w:r>
      <w:r>
        <w:t>Успенский И.В. Интернет-маркетинг: уч</w:t>
      </w:r>
      <w:r>
        <w:t xml:space="preserve">ебник / И.В. Успенский − СПб: СПГУЭиФ, 2003.− 197 с. </w:t>
      </w:r>
    </w:p>
    <w:p w:rsidR="002C0F56" w:rsidRDefault="00E67C6E">
      <w:pPr>
        <w:numPr>
          <w:ilvl w:val="0"/>
          <w:numId w:val="250"/>
        </w:numPr>
        <w:ind w:right="302"/>
      </w:pPr>
      <w:r>
        <w:t xml:space="preserve">Web-дизайн и его значение в продвижении сайтов [Электронный ресурс] − Режим доступа: https://a-site.by/stati – Дата доступа: 22.04.2017. </w:t>
      </w:r>
    </w:p>
    <w:p w:rsidR="002C0F56" w:rsidRDefault="00E67C6E">
      <w:pPr>
        <w:numPr>
          <w:ilvl w:val="0"/>
          <w:numId w:val="250"/>
        </w:numPr>
        <w:ind w:right="302"/>
      </w:pPr>
      <w:r>
        <w:t xml:space="preserve">Как делать дизайн сайта /Эффективные сайты [Электронный ресурс] </w:t>
      </w:r>
      <w:r>
        <w:t xml:space="preserve">− Режим доступа: http://seoklub.ru/kak_delat_dizain_saita.html – Дата доступа: </w:t>
      </w:r>
    </w:p>
    <w:p w:rsidR="002C0F56" w:rsidRDefault="00E67C6E">
      <w:pPr>
        <w:spacing w:after="12"/>
        <w:ind w:left="994" w:right="302" w:firstLine="0"/>
      </w:pPr>
      <w:r>
        <w:t xml:space="preserve">20.04.2017. </w:t>
      </w:r>
    </w:p>
    <w:p w:rsidR="002C0F56" w:rsidRDefault="00E67C6E">
      <w:pPr>
        <w:spacing w:after="0" w:line="259" w:lineRule="auto"/>
        <w:ind w:left="1558" w:firstLine="0"/>
        <w:jc w:val="left"/>
      </w:pPr>
      <w:r>
        <w:rPr>
          <w:b/>
        </w:rPr>
        <w:t xml:space="preserve"> </w:t>
      </w:r>
    </w:p>
    <w:p w:rsidR="002C0F56" w:rsidRDefault="00E67C6E">
      <w:pPr>
        <w:spacing w:after="25" w:line="259" w:lineRule="auto"/>
        <w:ind w:left="1558" w:firstLine="0"/>
        <w:jc w:val="left"/>
      </w:pPr>
      <w:r>
        <w:rPr>
          <w:b/>
        </w:rPr>
        <w:t xml:space="preserve"> </w:t>
      </w:r>
    </w:p>
    <w:p w:rsidR="002C0F56" w:rsidRDefault="00E67C6E">
      <w:pPr>
        <w:pStyle w:val="1"/>
        <w:spacing w:after="25" w:line="259" w:lineRule="auto"/>
        <w:ind w:right="305"/>
        <w:jc w:val="right"/>
      </w:pPr>
      <w:r>
        <w:t xml:space="preserve">Ткаченко О. </w:t>
      </w:r>
      <w:r>
        <w:rPr>
          <w:b w:val="0"/>
        </w:rPr>
        <w:t xml:space="preserve">Научный руководитель: Перькова Е.А., к.э.н., доц. </w:t>
      </w:r>
    </w:p>
    <w:p w:rsidR="002C0F56" w:rsidRDefault="00E67C6E">
      <w:pPr>
        <w:spacing w:after="0" w:line="267" w:lineRule="auto"/>
        <w:ind w:left="905" w:right="309" w:hanging="10"/>
        <w:jc w:val="right"/>
      </w:pPr>
      <w:r>
        <w:rPr>
          <w:i/>
        </w:rPr>
        <w:t xml:space="preserve">Макеевская общеобразовательная школа №8 </w:t>
      </w:r>
    </w:p>
    <w:p w:rsidR="002C0F56" w:rsidRDefault="00E67C6E">
      <w:pPr>
        <w:spacing w:after="30" w:line="259" w:lineRule="auto"/>
        <w:ind w:left="1558" w:firstLine="0"/>
        <w:jc w:val="left"/>
      </w:pPr>
      <w:r>
        <w:rPr>
          <w:b/>
        </w:rPr>
        <w:t xml:space="preserve"> </w:t>
      </w:r>
    </w:p>
    <w:p w:rsidR="002C0F56" w:rsidRDefault="00E67C6E">
      <w:pPr>
        <w:pStyle w:val="1"/>
        <w:ind w:left="700" w:right="3"/>
      </w:pPr>
      <w:r>
        <w:t xml:space="preserve">ВАЛЮТНЫЙ РЫНОК И ВАЛЮТНЫЕ РИСКИ </w:t>
      </w:r>
    </w:p>
    <w:p w:rsidR="002C0F56" w:rsidRDefault="00E67C6E">
      <w:pPr>
        <w:ind w:left="994" w:right="302"/>
      </w:pPr>
      <w:r>
        <w:t xml:space="preserve">Каждое государство обладает валютой, которая служит средством обмена и средством платежа, единицей счёта, средством сохранения стоимости, а также </w:t>
      </w:r>
      <w:r>
        <w:lastRenderedPageBreak/>
        <w:t xml:space="preserve">используется как мера отложенных платежей.  Причем не только на внутреннем, но и на внешнем рынке.  </w:t>
      </w:r>
    </w:p>
    <w:p w:rsidR="002C0F56" w:rsidRDefault="00E67C6E">
      <w:pPr>
        <w:spacing w:after="0"/>
        <w:ind w:left="994" w:right="302"/>
      </w:pPr>
      <w:r>
        <w:t>Националь</w:t>
      </w:r>
      <w:r>
        <w:t>ных валют существует  столько же, сколько и суверенных государств. Следовательно, существует такое же количество обособленных структур процентных ставок и государственных налоговых политик. Это придает некоторую сложность в исследовании рынка валют. И здес</w:t>
      </w:r>
      <w:r>
        <w:t>ь нам помогут два знакомых фактора: максимизация прибыли и конкуренция. Стремление к максимизации прибыли так же справедливо для субъектов валютного рынка, как и в других сферах экономики. Конечно, понятие прибыли здесь иное, оно определяется сочетанием ши</w:t>
      </w:r>
      <w:r>
        <w:t>рокого круга политических и экономических рисков. Однако стороны, имеющие место на валютном рынке, реагируют на изменение внешних условий так же, как и те,  кто стремится к максимизации обычных прибылей. Вместе с тем конкуренция существует как на валютных,</w:t>
      </w:r>
      <w:r>
        <w:t xml:space="preserve"> так и на международных кредитных рынках. Поэтому для анализа этих рынков можно применять знакомую теорию рыночного спроса и предложения. </w:t>
      </w:r>
    </w:p>
    <w:p w:rsidR="002C0F56" w:rsidRDefault="00E67C6E">
      <w:pPr>
        <w:spacing w:after="2"/>
        <w:ind w:left="994" w:right="302"/>
      </w:pPr>
      <w:r>
        <w:t>В данной работе нас будет интересовать, как формируется валютный курс, какое значение имеет и на какие секторы и обла</w:t>
      </w:r>
      <w:r>
        <w:t xml:space="preserve">сти экономики воздействует.  Мы рассмотрим валютный рынок и его составляющие, а также особое внимание уделим его развитию. </w:t>
      </w:r>
    </w:p>
    <w:p w:rsidR="002C0F56" w:rsidRDefault="00E67C6E">
      <w:pPr>
        <w:ind w:left="994" w:right="302"/>
      </w:pPr>
      <w:r>
        <w:t>В сделках внутри страны люди используют национальную валюту, но для проведения операций за границей им нужна иностранная валюта. Нап</w:t>
      </w:r>
      <w:r>
        <w:t>ример, если российская фирма заключает контракт с германской на поставку оборудования, то ей нужна валюта Германии для оплаты сделки. Для этих целей существуют специальные рынки, на которых может быть куплена или продана иностранная валюта и которые называ</w:t>
      </w:r>
      <w:r>
        <w:t xml:space="preserve">ются валютными рынками. </w:t>
      </w:r>
    </w:p>
    <w:p w:rsidR="002C0F56" w:rsidRDefault="00E67C6E">
      <w:pPr>
        <w:spacing w:after="0"/>
        <w:ind w:left="994" w:right="302"/>
      </w:pPr>
      <w:r>
        <w:t>Валютный рынок — это система устойчивых экономических и организационных отношений, возникающих при осуществлении операций по покупке или продаже иностранной валюты, платежных документов в иностранных валютах, а также операций по дв</w:t>
      </w:r>
      <w:r>
        <w:t xml:space="preserve">ижению капитала иностранных инвесторов. </w:t>
      </w:r>
    </w:p>
    <w:p w:rsidR="002C0F56" w:rsidRDefault="00E67C6E">
      <w:pPr>
        <w:spacing w:after="10"/>
        <w:ind w:left="994" w:right="302"/>
      </w:pPr>
      <w:r>
        <w:t>На валютном рынке происходит согласование интересов инвесторов, продавцов и покупателей валютных ценностей. Западные экономисты характеризуют валютный рынок с организационно-технической точки зрения как совокупную с</w:t>
      </w:r>
      <w:r>
        <w:t xml:space="preserve">еть современных средств связи, соединяющих национальные и иностранные банки и брокерские фирмы. </w:t>
      </w:r>
    </w:p>
    <w:p w:rsidR="002C0F56" w:rsidRDefault="00E67C6E">
      <w:pPr>
        <w:spacing w:after="0"/>
        <w:ind w:left="994" w:right="302"/>
      </w:pPr>
      <w:r>
        <w:t>Валютная сделка представляет собой обмен денег одной страны на деньги другой. Подавляющая часть денежных активов, продаваемых на валютных рынках, имеет вид деп</w:t>
      </w:r>
      <w:r>
        <w:t xml:space="preserve">озита до востребования в банках, осуществляющих торговлю друг с другом. Только незначительная часть рынка приходится на обмен наличных денег. </w:t>
      </w:r>
    </w:p>
    <w:p w:rsidR="002C0F56" w:rsidRDefault="00E67C6E">
      <w:pPr>
        <w:ind w:left="994" w:right="302"/>
      </w:pPr>
      <w:r>
        <w:lastRenderedPageBreak/>
        <w:t>В валютных операциях, которые происходят на валютном рынке, участвуют: продавцы валюты, ее покупатели и посредник</w:t>
      </w:r>
      <w:r>
        <w:t xml:space="preserve">и. </w:t>
      </w:r>
    </w:p>
    <w:p w:rsidR="002C0F56" w:rsidRDefault="00E67C6E">
      <w:pPr>
        <w:ind w:left="1558" w:right="302" w:firstLine="0"/>
      </w:pPr>
      <w:r>
        <w:t xml:space="preserve">Субъектами валютного рынка являются: </w:t>
      </w:r>
    </w:p>
    <w:p w:rsidR="002C0F56" w:rsidRDefault="00E67C6E">
      <w:pPr>
        <w:numPr>
          <w:ilvl w:val="0"/>
          <w:numId w:val="251"/>
        </w:numPr>
        <w:ind w:right="302"/>
      </w:pPr>
      <w:r>
        <w:t xml:space="preserve">Фирмы, организации и частные лица, занятых в вэд. </w:t>
      </w:r>
    </w:p>
    <w:p w:rsidR="002C0F56" w:rsidRDefault="00E67C6E">
      <w:pPr>
        <w:numPr>
          <w:ilvl w:val="0"/>
          <w:numId w:val="251"/>
        </w:numPr>
        <w:ind w:right="302"/>
      </w:pPr>
      <w:r>
        <w:t xml:space="preserve">Коммерческие банки, которые обеспечивают валютное обслуживание внешних связей. </w:t>
      </w:r>
    </w:p>
    <w:p w:rsidR="002C0F56" w:rsidRDefault="00E67C6E">
      <w:pPr>
        <w:numPr>
          <w:ilvl w:val="0"/>
          <w:numId w:val="251"/>
        </w:numPr>
        <w:ind w:right="302"/>
      </w:pPr>
      <w:r>
        <w:t xml:space="preserve">Брокерские фирмы, которые занимаются посреднической деятельностью. </w:t>
      </w:r>
    </w:p>
    <w:p w:rsidR="002C0F56" w:rsidRDefault="00E67C6E">
      <w:pPr>
        <w:numPr>
          <w:ilvl w:val="0"/>
          <w:numId w:val="251"/>
        </w:numPr>
        <w:ind w:right="302"/>
      </w:pPr>
      <w:r>
        <w:t xml:space="preserve">Государственные учреждения - валютные банки и казначейства отдельных стран. </w:t>
      </w:r>
    </w:p>
    <w:p w:rsidR="002C0F56" w:rsidRDefault="00E67C6E">
      <w:pPr>
        <w:ind w:left="994" w:right="302"/>
      </w:pPr>
      <w:r>
        <w:t xml:space="preserve">Основными потребителями валютного рынка являются мировые транснациональные банки. На них приходится около 90% всего валютного оборота. Вследствие этого валютные курсы формируются </w:t>
      </w:r>
      <w:r>
        <w:t xml:space="preserve">в процессе осуществления межбанковских операций. </w:t>
      </w:r>
    </w:p>
    <w:p w:rsidR="002C0F56" w:rsidRDefault="00E67C6E">
      <w:pPr>
        <w:spacing w:after="2"/>
        <w:ind w:left="994" w:right="302"/>
      </w:pPr>
      <w:r>
        <w:t>Основные участники торговых сделок на валютном рынке  - это крупные коммерческие банки, во многих случаях выполняющие функции дилеров в рыночном процессе. В этом качестве они поддерживают позицию двух или б</w:t>
      </w:r>
      <w:r>
        <w:t xml:space="preserve">олее валют, т.е. обладают вкладами, выраженными в этих валютах. </w:t>
      </w:r>
    </w:p>
    <w:p w:rsidR="002C0F56" w:rsidRDefault="00E67C6E">
      <w:pPr>
        <w:spacing w:after="10"/>
        <w:ind w:left="994" w:right="302"/>
      </w:pPr>
      <w:r>
        <w:t xml:space="preserve">Иногда коммерческие банки выступают в роли брокеров. В этом качестве они не "поддерживают позицию" по определенным валютам, но только сводят вместе продавцов и покупателей. </w:t>
      </w:r>
    </w:p>
    <w:p w:rsidR="002C0F56" w:rsidRDefault="00E67C6E">
      <w:pPr>
        <w:ind w:left="994" w:right="302"/>
      </w:pPr>
      <w:r>
        <w:t>Кроме коммерчески</w:t>
      </w:r>
      <w:r>
        <w:t xml:space="preserve">х банков на внешнем валютном рынке существует небольшое количество небанковских дилеров и брокеров. Коммерческие банки используют независимых брокеров как посредников при заключении значительных оптовых сделок между собой. </w:t>
      </w:r>
    </w:p>
    <w:p w:rsidR="002C0F56" w:rsidRDefault="00E67C6E">
      <w:pPr>
        <w:ind w:left="1558" w:right="302" w:firstLine="0"/>
      </w:pPr>
      <w:r>
        <w:t>Выделяют следующие средства обме</w:t>
      </w:r>
      <w:r>
        <w:t xml:space="preserve">на на валютном рынке:  </w:t>
      </w:r>
    </w:p>
    <w:p w:rsidR="002C0F56" w:rsidRDefault="00E67C6E">
      <w:pPr>
        <w:numPr>
          <w:ilvl w:val="0"/>
          <w:numId w:val="252"/>
        </w:numPr>
        <w:ind w:right="302"/>
      </w:pPr>
      <w:r>
        <w:t xml:space="preserve">Телеграфные переводы - являются основным способом проведения международных обменных операций. </w:t>
      </w:r>
    </w:p>
    <w:p w:rsidR="002C0F56" w:rsidRDefault="00E67C6E">
      <w:pPr>
        <w:numPr>
          <w:ilvl w:val="0"/>
          <w:numId w:val="252"/>
        </w:numPr>
        <w:ind w:right="302"/>
      </w:pPr>
      <w:r>
        <w:t>Переводные вексели. Финансовый документ, который выставляется и подписывается кредитором (векселедателем - трассантом) и представляет соб</w:t>
      </w:r>
      <w:r>
        <w:t xml:space="preserve">ой его безусловный письменный приказ должнику (плательщику - трассату) уплатить векселедержателю (ремитенту) указанную сумму по предъявлении данного документа в обусловленный срок.  </w:t>
      </w:r>
    </w:p>
    <w:p w:rsidR="002C0F56" w:rsidRDefault="00E67C6E">
      <w:pPr>
        <w:numPr>
          <w:ilvl w:val="0"/>
          <w:numId w:val="252"/>
        </w:numPr>
        <w:spacing w:after="0"/>
        <w:ind w:right="302"/>
      </w:pPr>
      <w:r>
        <w:t>Валюта и дорожные чеки. Кроме телеграфных переводов и переводных векселей</w:t>
      </w:r>
      <w:r>
        <w:t xml:space="preserve"> небольшая доля финансовых операций на международных рынках обеспечивается собственно валютой и дорожными чеками. С валютой все встречаются каждый день и знают что это, а вот дорожные чеки  это платежный документ, который является денежным обязательством, </w:t>
      </w:r>
      <w:r>
        <w:t xml:space="preserve">выданным компаниейэмитентом, выплатить сумму (номинал чека) владельцу, чей образец подписи представлен на чеке. По сути, они представляют собой полноценную </w:t>
      </w:r>
      <w:r>
        <w:lastRenderedPageBreak/>
        <w:t>замену наличным денежным средствам. Так же Туристы и путешественники считают, что дорожные чеки боле</w:t>
      </w:r>
      <w:r>
        <w:t xml:space="preserve">е безопасны, чем валюта. </w:t>
      </w:r>
    </w:p>
    <w:p w:rsidR="002C0F56" w:rsidRDefault="00E67C6E">
      <w:pPr>
        <w:ind w:left="994" w:right="302"/>
      </w:pPr>
      <w:r>
        <w:t>Каждая национальная валюта имеет цену в денежных единицах другой страны. Это и есть валютный курс. Наиболее распространенные котировки валютных курсов возникают в результате прямой торговли между банками. Каждый крупный банк рассы</w:t>
      </w:r>
      <w:r>
        <w:t xml:space="preserve">лает свою котировку валют, которая показывает, по какому курсу он готов вести торговлю с другими партнерами. </w:t>
      </w:r>
    </w:p>
    <w:p w:rsidR="002C0F56" w:rsidRDefault="00E67C6E">
      <w:pPr>
        <w:spacing w:after="5"/>
        <w:ind w:left="994" w:right="302"/>
      </w:pPr>
      <w:r>
        <w:t xml:space="preserve">Для большинства валют приводится только один курс - обменный курс по кассовым операциям. Он применим для торговых сделок, которые будут заключены </w:t>
      </w:r>
      <w:r>
        <w:t>в период не более 48 часов. Кроме того, для обширного числа иностранных валют приводятся также и обменные курсы по срочным операциям. Срочная сделка - это контракт между банком и его клиентом, по которому доллары будут обменены на нужную валюту в какой-либ</w:t>
      </w:r>
      <w:r>
        <w:t>о определенный день в будущем по курсу, определенному сегодня. Разница в исчислении обменных курсов по кассовым операциям и обменных курсов по срочным операциям в любой выбранный момент времени отражает существующую разницу между рыночными нормами процента</w:t>
      </w:r>
      <w:r>
        <w:t xml:space="preserve"> в сравниваемых странах. </w:t>
      </w:r>
    </w:p>
    <w:p w:rsidR="002C0F56" w:rsidRDefault="00E67C6E">
      <w:pPr>
        <w:ind w:left="994" w:right="302"/>
      </w:pPr>
      <w:r>
        <w:t>Обменный курс валюты является тем ключевым фактором, который связывает экономику страны с остальным миром. Различают два вида обменных курсов: номинальный и реальный. Номинальный обменный курс - это относительная цена валют двух с</w:t>
      </w:r>
      <w:r>
        <w:t xml:space="preserve">тран. Реальный - относительная цена товаров, произведенных в двух странах. </w:t>
      </w:r>
    </w:p>
    <w:p w:rsidR="002C0F56" w:rsidRDefault="00E67C6E">
      <w:pPr>
        <w:spacing w:after="0"/>
        <w:ind w:left="994" w:right="302"/>
      </w:pPr>
      <w:r>
        <w:t>Особый интерес представляет валютный рынок в условиях свободного флоатинга, когда реальный обменный курс равен 1, так как спрос и предложение валюты регулируются за счет законов св</w:t>
      </w:r>
      <w:r>
        <w:t xml:space="preserve">ободной конкуренции. Для чистоты модели предположим, что международного кредитования, заимствования, а также спекуляции не существует. </w:t>
      </w:r>
    </w:p>
    <w:p w:rsidR="002C0F56" w:rsidRDefault="00E67C6E">
      <w:pPr>
        <w:spacing w:after="0"/>
        <w:ind w:left="994" w:right="302"/>
      </w:pPr>
      <w:r>
        <w:t>Эта предпосылка подразумевает, что иностранная валюта используется только в сделках по экспорту или импорту товаров и услуг. Импортеры должны получить иностранную валюту, чтобы оплатить свои счета за границей. Следовательно, импорт является источником спро</w:t>
      </w:r>
      <w:r>
        <w:t xml:space="preserve">са на иностранную валюту. Экспорт же, наоборот, представляет собой источник ее предложения. На рынке предложение со стороны экспорта встречается со спросом со стороны импорта. Таким образом устанавливаются обменные курсы. </w:t>
      </w:r>
    </w:p>
    <w:p w:rsidR="002C0F56" w:rsidRDefault="00E67C6E">
      <w:pPr>
        <w:ind w:left="994" w:right="302"/>
      </w:pPr>
      <w:r>
        <w:t>Классическим примером системы фик</w:t>
      </w:r>
      <w:r>
        <w:t xml:space="preserve">сированных валютных курсов является золотой стандарт. Вот три основных правила золотого стандарта: </w:t>
      </w:r>
    </w:p>
    <w:p w:rsidR="002C0F56" w:rsidRDefault="00E67C6E">
      <w:pPr>
        <w:numPr>
          <w:ilvl w:val="0"/>
          <w:numId w:val="253"/>
        </w:numPr>
        <w:ind w:right="302"/>
      </w:pPr>
      <w:r>
        <w:t xml:space="preserve">Государство фиксирует цену золота, а, следовательно, и стоимость своей денежной единицы в золотом выражении. </w:t>
      </w:r>
    </w:p>
    <w:p w:rsidR="002C0F56" w:rsidRDefault="00E67C6E">
      <w:pPr>
        <w:numPr>
          <w:ilvl w:val="0"/>
          <w:numId w:val="253"/>
        </w:numPr>
        <w:spacing w:after="11"/>
        <w:ind w:right="302"/>
      </w:pPr>
      <w:r>
        <w:lastRenderedPageBreak/>
        <w:t>Государство поддерживает конвертируемость отеч</w:t>
      </w:r>
      <w:r>
        <w:t xml:space="preserve">ественной валюты в золото. Другими словами обязано по первому требованию покупать или продавать отечественную валюту за золото любому желающему. </w:t>
      </w:r>
    </w:p>
    <w:p w:rsidR="002C0F56" w:rsidRDefault="00E67C6E">
      <w:pPr>
        <w:numPr>
          <w:ilvl w:val="0"/>
          <w:numId w:val="253"/>
        </w:numPr>
        <w:spacing w:after="0"/>
        <w:ind w:right="302"/>
      </w:pPr>
      <w:r>
        <w:t xml:space="preserve">Государство должно иметь запасы золота, равные по стоимости выпущенному в обращение количеству денег. То есть </w:t>
      </w:r>
      <w:r>
        <w:t xml:space="preserve">государство выпускает деньги только тогда, когда покупает золото, и уничтожает их, когда продает его.   </w:t>
      </w:r>
    </w:p>
    <w:p w:rsidR="002C0F56" w:rsidRDefault="00E67C6E">
      <w:pPr>
        <w:spacing w:after="2"/>
        <w:ind w:left="994" w:right="302"/>
      </w:pPr>
      <w:r>
        <w:t>Вне сомнения, что последнее правило является основополагающим при системе золотого стандарта. Так как его несоблюдение ведет к дефициту золота или дене</w:t>
      </w:r>
      <w:r>
        <w:t xml:space="preserve">г (обычно золота, по вполне понятным причинам) и, следовательно, к гиперинфляции. </w:t>
      </w:r>
    </w:p>
    <w:p w:rsidR="002C0F56" w:rsidRDefault="00E67C6E">
      <w:pPr>
        <w:spacing w:after="0"/>
        <w:ind w:left="994" w:right="302"/>
      </w:pPr>
      <w:r>
        <w:t>В качестве промежуточной цели экономической политики изменения обменного валютного курса могут служить средством управления и манипулирования совокупным спросом во многом ан</w:t>
      </w:r>
      <w:r>
        <w:t>алогично тому, как изменения количества денег, находящихся в обращении, или структуры и объема государственных закупок служат этим целям. Если какое-либо правительство намеренно и целенаправленно уменьшает курс валюты своей страны, рассмотренный в этот мом</w:t>
      </w:r>
      <w:r>
        <w:t>ент как промежуточная цель экономической политики, позволяя ей обесцениваться относительно других иностранных валют, говорят, что правительство проводит девальвацию своей валюты. Девальвация призвана стимулировать совокупный спрос, таким же образом как это</w:t>
      </w:r>
      <w:r>
        <w:t xml:space="preserve"> происходит при обесценивании валюты, вызванном рыночной стихией и рыночными силами. Если какое-либо правительство намерено повысить обменный валютный курс, позволяя увеличить стоимость этой валюты относительно других, говорят, что правительство проводит р</w:t>
      </w:r>
      <w:r>
        <w:t>евальвацию своей валюты. Ревальвация валюты будет ограничивать совокупный спрос равным образом, как его сдерживает повышение стоимости валюты под воздействием рыночных сил, расходящихся вне сферы контроля со стороны правительственных органов. Такие экономи</w:t>
      </w:r>
      <w:r>
        <w:t xml:space="preserve">ческие параметры, как реальные нормы процента и темпы экономического роста, способны моментально изменить текущий обменный валютный курс. </w:t>
      </w:r>
    </w:p>
    <w:p w:rsidR="002C0F56" w:rsidRDefault="00E67C6E">
      <w:pPr>
        <w:spacing w:after="7"/>
        <w:ind w:left="994" w:right="302"/>
      </w:pPr>
      <w:r>
        <w:t xml:space="preserve">Функционирование и развитие валютных рынков мира в значительной степени зависит от стабилизации валютного механизма, </w:t>
      </w:r>
      <w:r>
        <w:t>действующего в мировой валютной системе, от национальных и межгосударственных мероприятий, осуществляемых в валютной сфере. Совокупность таких мероприятий составляет понятие - валютная политика. На межгосударственном уровне валютная политика осуществляется</w:t>
      </w:r>
      <w:r>
        <w:t xml:space="preserve"> международными валютнокредитными организациями, с целью регулирования международных валютных отношений.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8"/>
        <w:jc w:val="right"/>
      </w:pPr>
      <w:r>
        <w:lastRenderedPageBreak/>
        <w:t xml:space="preserve">Урбанайть А.В. </w:t>
      </w:r>
      <w:r>
        <w:rPr>
          <w:b w:val="0"/>
        </w:rPr>
        <w:t xml:space="preserve">Научный руководитель: Шаврук Е.Ю. </w:t>
      </w:r>
    </w:p>
    <w:p w:rsidR="002C0F56" w:rsidRDefault="00E67C6E">
      <w:pPr>
        <w:spacing w:after="0" w:line="267" w:lineRule="auto"/>
        <w:ind w:left="905" w:right="304" w:hanging="10"/>
        <w:jc w:val="right"/>
      </w:pPr>
      <w:r>
        <w:rPr>
          <w:i/>
        </w:rPr>
        <w:t xml:space="preserve">Белорусский государственный экономический университет </w:t>
      </w:r>
    </w:p>
    <w:p w:rsidR="002C0F56" w:rsidRDefault="00E67C6E">
      <w:pPr>
        <w:spacing w:after="30" w:line="259" w:lineRule="auto"/>
        <w:ind w:left="1558" w:firstLine="0"/>
        <w:jc w:val="left"/>
      </w:pPr>
      <w:r>
        <w:rPr>
          <w:i/>
        </w:rPr>
        <w:t xml:space="preserve"> </w:t>
      </w:r>
    </w:p>
    <w:p w:rsidR="002C0F56" w:rsidRDefault="00E67C6E">
      <w:pPr>
        <w:pStyle w:val="1"/>
        <w:ind w:left="700" w:right="5"/>
      </w:pPr>
      <w:r>
        <w:t xml:space="preserve">ЭФФЕКТИВНОСТЬ БАННЕРНОЙ РЕКЛАМЫ </w:t>
      </w:r>
    </w:p>
    <w:p w:rsidR="002C0F56" w:rsidRDefault="00E67C6E">
      <w:pPr>
        <w:spacing w:after="0" w:line="259" w:lineRule="auto"/>
        <w:ind w:left="1558" w:firstLine="0"/>
        <w:jc w:val="left"/>
      </w:pPr>
      <w:r>
        <w:t xml:space="preserve"> </w:t>
      </w:r>
    </w:p>
    <w:p w:rsidR="002C0F56" w:rsidRDefault="00E67C6E">
      <w:pPr>
        <w:ind w:left="994" w:right="302"/>
      </w:pPr>
      <w:r>
        <w:t>В век высоких технологий многие организации активно выходят в Интернет, создают свои сайты или используют другие средства рекламы в Сети, одним из видов которой является баннерная. Этот вид рекламы довольно быстро проник в интернет, практически сразу же, к</w:t>
      </w:r>
      <w:r>
        <w:t xml:space="preserve">ак только он стал доступен для широкого круга пользователей.  </w:t>
      </w:r>
    </w:p>
    <w:p w:rsidR="002C0F56" w:rsidRDefault="00E67C6E">
      <w:pPr>
        <w:spacing w:after="77"/>
        <w:ind w:left="994" w:right="302"/>
      </w:pPr>
      <w:r>
        <w:t>Невысокая стоимость (по сравнению с рекламой в прессе и на телевидении) делает баннерную рекламу самой демократичной. Основа – это размещение баннера в службах баннерной рекламы. Это службы, ко</w:t>
      </w:r>
      <w:r>
        <w:t>торые объединяют большое количество сайтов в единую сеть и, с помощью специальных программ, показывают баннер на страницах этих сайтов. Специфика этих служб разная. Одни создают сеть только из хорошо посещаемых сайтов (сотни посещений в день) и не допускаю</w:t>
      </w:r>
      <w:r>
        <w:t xml:space="preserve">т в нее сайты с сомнительным содержанием. Другие стараются набрать как можно больше сайтов, пытаясь охватить большее количество различной аудитории для показа. </w:t>
      </w:r>
    </w:p>
    <w:p w:rsidR="002C0F56" w:rsidRDefault="00E67C6E">
      <w:pPr>
        <w:ind w:left="994" w:right="302"/>
      </w:pPr>
      <w:r>
        <w:t>Есть два способа «работы» баннера - «на клик» и «на показ». Клик - это ситуация, когда на ваш б</w:t>
      </w:r>
      <w:r>
        <w:t>аннер кто-то нажимает и попадает к вам на сайт. Показ - когда ваш баннер просто появляется (показывается) на странице. Стоимость показов во много раз дешевле кликов (иногда в 100 раз). Но это не означает, что показы лучше, т.к. если по баннеру не кликнули,</w:t>
      </w:r>
      <w:r>
        <w:t xml:space="preserve"> он все равно привлекает внимание потенциальных покупателей. Иногда, грамотно продуманная политика показов (дизайн и содержание баннера) эффективнее работы «на клик». Очень многое зависит от самого баннера. Именно, посмотрев на него, люди захотят на него н</w:t>
      </w:r>
      <w:r>
        <w:t xml:space="preserve">ажать и попасть на сайт. </w:t>
      </w:r>
    </w:p>
    <w:p w:rsidR="002C0F56" w:rsidRDefault="00E67C6E">
      <w:pPr>
        <w:ind w:left="1558" w:right="302" w:firstLine="0"/>
      </w:pPr>
      <w:r>
        <w:t xml:space="preserve">Баннеры могут быть разными: </w:t>
      </w:r>
    </w:p>
    <w:p w:rsidR="002C0F56" w:rsidRDefault="00E67C6E">
      <w:pPr>
        <w:numPr>
          <w:ilvl w:val="0"/>
          <w:numId w:val="254"/>
        </w:numPr>
        <w:spacing w:after="11" w:line="270" w:lineRule="auto"/>
        <w:ind w:right="302"/>
      </w:pPr>
      <w:r>
        <w:t xml:space="preserve">«Имиджевые» - хорошо и красиво оформленные (часто анимированные). </w:t>
      </w:r>
    </w:p>
    <w:p w:rsidR="002C0F56" w:rsidRDefault="00E67C6E">
      <w:pPr>
        <w:ind w:left="994" w:right="302" w:firstLine="0"/>
      </w:pPr>
      <w:r>
        <w:t xml:space="preserve">Их задачей, чаще всего, является продвижение существующего бренда. </w:t>
      </w:r>
    </w:p>
    <w:p w:rsidR="002C0F56" w:rsidRDefault="00E67C6E">
      <w:pPr>
        <w:numPr>
          <w:ilvl w:val="0"/>
          <w:numId w:val="254"/>
        </w:numPr>
        <w:ind w:right="302"/>
      </w:pPr>
      <w:r>
        <w:t xml:space="preserve">Информационные - несущие текстовую информацию. </w:t>
      </w:r>
    </w:p>
    <w:p w:rsidR="002C0F56" w:rsidRDefault="00E67C6E">
      <w:pPr>
        <w:numPr>
          <w:ilvl w:val="0"/>
          <w:numId w:val="254"/>
        </w:numPr>
        <w:ind w:right="302"/>
      </w:pPr>
      <w:r>
        <w:t>Баннеры, имеющие н</w:t>
      </w:r>
      <w:r>
        <w:t xml:space="preserve">еопределенную и интригующую информацию. Они рассчитаны на любопытство пользователей. </w:t>
      </w:r>
    </w:p>
    <w:p w:rsidR="002C0F56" w:rsidRDefault="00E67C6E">
      <w:pPr>
        <w:numPr>
          <w:ilvl w:val="0"/>
          <w:numId w:val="254"/>
        </w:numPr>
        <w:ind w:right="302"/>
      </w:pPr>
      <w:r>
        <w:t>Flash и HTML баннеры - они имеют ряд удобных функций (звук, продолжительный сценарий показа, возможность нескольких ссылок с одного баннера). Но пока, их можно разместить</w:t>
      </w:r>
      <w:r>
        <w:t xml:space="preserve"> на небольшом количестве рекламных </w:t>
      </w:r>
      <w:r>
        <w:lastRenderedPageBreak/>
        <w:t xml:space="preserve">систем. К тому же, Flash баннеры не могут быть показаны у пользователей не установивших специальный плагин. </w:t>
      </w:r>
    </w:p>
    <w:p w:rsidR="002C0F56" w:rsidRDefault="00E67C6E">
      <w:pPr>
        <w:numPr>
          <w:ilvl w:val="0"/>
          <w:numId w:val="254"/>
        </w:numPr>
        <w:ind w:right="302"/>
      </w:pPr>
      <w:r>
        <w:t xml:space="preserve">Бывают различные баннеры, разработанные так, чтобы обманывать пользователей. «Системные» - похожие на системные </w:t>
      </w:r>
      <w:r>
        <w:t xml:space="preserve">(windows) окна. Они больше рассчитаны на начинающих пользователей.  </w:t>
      </w:r>
    </w:p>
    <w:p w:rsidR="002C0F56" w:rsidRDefault="00E67C6E">
      <w:pPr>
        <w:ind w:left="994" w:right="302"/>
      </w:pPr>
      <w:r>
        <w:t xml:space="preserve">        Некоторые рекламные системы запрещают их использование в своей сети. </w:t>
      </w:r>
    </w:p>
    <w:p w:rsidR="002C0F56" w:rsidRDefault="00E67C6E">
      <w:pPr>
        <w:spacing w:after="9"/>
        <w:ind w:left="994" w:right="302"/>
      </w:pPr>
      <w:r>
        <w:t xml:space="preserve">Баннеры могут сочетать в себе эти стили, но для каждой рекламной акции нужно создавать определенные баннеры, рассчитанные на конкретную задачу и условия. </w:t>
      </w:r>
    </w:p>
    <w:p w:rsidR="002C0F56" w:rsidRDefault="00E67C6E">
      <w:pPr>
        <w:ind w:left="994" w:right="302"/>
      </w:pPr>
      <w:r>
        <w:t>Баннер может иметь какие угодно размеры по вертикали и горизонтали. Наиболее распространенными являют</w:t>
      </w:r>
      <w:r>
        <w:t>ся образцы размером 468х60. Благодаря удачному подбору размера сторон, такие рекламные картинки имеют хороший отклик и, кроме того, прекрасно встраиваются в «шапки» большинства страниц Сети. Размеры 125х125, 120х90, 120х60 чаще всего встречаются на страниц</w:t>
      </w:r>
      <w:r>
        <w:t xml:space="preserve">ах слева или справа в колонке меню сайта. «Кнопки» (88х31) выносятся обычно вниз страницы. </w:t>
      </w:r>
    </w:p>
    <w:p w:rsidR="002C0F56" w:rsidRDefault="00E67C6E">
      <w:pPr>
        <w:ind w:left="994" w:right="302"/>
      </w:pPr>
      <w:r>
        <w:t xml:space="preserve"> Теперь стоит рассмотреть, является ли баннерная реклама эффективной и надежной.  Для оценки эффективности баннерной рекламы пользуются показателем CTR, который учи</w:t>
      </w:r>
      <w:r>
        <w:t>тывает отношение количества кликов к показам. Считается просто – например, рекламный баннер был показан 1000 раз и по нему кликнули 60 раз, в итоге CTR=60/1000*100%=6% – это отличный показатель, учитывая то, что по статистике оценка эффективности баннерной</w:t>
      </w:r>
      <w:r>
        <w:t xml:space="preserve"> рекламы равна 1%. </w:t>
      </w:r>
    </w:p>
    <w:p w:rsidR="002C0F56" w:rsidRDefault="00E67C6E">
      <w:pPr>
        <w:spacing w:after="10"/>
        <w:ind w:left="994" w:right="302"/>
      </w:pPr>
      <w:r>
        <w:t xml:space="preserve"> И все же оценивать эффективность только по показателю CTR будет неправильно. Ведь нас больше интересует не количество кликов, а именно привлеченные клиенты, которые помогут в индексации сайтов, будут покупать товары и услуги рекламодат</w:t>
      </w:r>
      <w:r>
        <w:t xml:space="preserve">елей. С целью изучения этой проблемы проводятся различные опросы и анкетирование. </w:t>
      </w:r>
    </w:p>
    <w:p w:rsidR="002C0F56" w:rsidRDefault="00E67C6E">
      <w:pPr>
        <w:ind w:left="994" w:right="302"/>
      </w:pPr>
      <w:r>
        <w:t>Сегодня реклама не просто двигатель торговли. Сегодня реклама двигатель всего. Помимо баннерной рекламы выделяют еще такие виды как вирусная реклама, спам-рассылка, контекст</w:t>
      </w:r>
      <w:r>
        <w:t xml:space="preserve">ная реклама и др.  </w:t>
      </w:r>
    </w:p>
    <w:p w:rsidR="002C0F56" w:rsidRDefault="00E67C6E">
      <w:pPr>
        <w:spacing w:after="0"/>
        <w:ind w:left="994" w:right="302"/>
      </w:pPr>
      <w:r>
        <w:rPr>
          <w:rFonts w:ascii="Calibri" w:eastAsia="Calibri" w:hAnsi="Calibri" w:cs="Calibri"/>
          <w:noProof/>
          <w:sz w:val="22"/>
        </w:rPr>
        <mc:AlternateContent>
          <mc:Choice Requires="wpg">
            <w:drawing>
              <wp:anchor distT="0" distB="0" distL="114300" distR="114300" simplePos="0" relativeHeight="251694080" behindDoc="1" locked="0" layoutInCell="1" allowOverlap="1">
                <wp:simplePos x="0" y="0"/>
                <wp:positionH relativeFrom="column">
                  <wp:posOffset>630936</wp:posOffset>
                </wp:positionH>
                <wp:positionV relativeFrom="paragraph">
                  <wp:posOffset>-656600</wp:posOffset>
                </wp:positionV>
                <wp:extent cx="6121654" cy="2249729"/>
                <wp:effectExtent l="0" t="0" r="0" b="0"/>
                <wp:wrapNone/>
                <wp:docPr id="675077" name="Group 675077"/>
                <wp:cNvGraphicFramePr/>
                <a:graphic xmlns:a="http://schemas.openxmlformats.org/drawingml/2006/main">
                  <a:graphicData uri="http://schemas.microsoft.com/office/word/2010/wordprocessingGroup">
                    <wpg:wgp>
                      <wpg:cNvGrpSpPr/>
                      <wpg:grpSpPr>
                        <a:xfrm>
                          <a:off x="0" y="0"/>
                          <a:ext cx="6121654" cy="2249729"/>
                          <a:chOff x="0" y="0"/>
                          <a:chExt cx="6121654" cy="2249729"/>
                        </a:xfrm>
                      </wpg:grpSpPr>
                      <wps:wsp>
                        <wps:cNvPr id="705383" name="Shape 705383"/>
                        <wps:cNvSpPr/>
                        <wps:spPr>
                          <a:xfrm>
                            <a:off x="358445" y="0"/>
                            <a:ext cx="5763133" cy="204521"/>
                          </a:xfrm>
                          <a:custGeom>
                            <a:avLst/>
                            <a:gdLst/>
                            <a:ahLst/>
                            <a:cxnLst/>
                            <a:rect l="0" t="0" r="0" b="0"/>
                            <a:pathLst>
                              <a:path w="5763133" h="204521">
                                <a:moveTo>
                                  <a:pt x="0" y="0"/>
                                </a:moveTo>
                                <a:lnTo>
                                  <a:pt x="5763133" y="0"/>
                                </a:lnTo>
                                <a:lnTo>
                                  <a:pt x="5763133" y="204521"/>
                                </a:lnTo>
                                <a:lnTo>
                                  <a:pt x="0" y="204521"/>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84" name="Shape 705384"/>
                        <wps:cNvSpPr/>
                        <wps:spPr>
                          <a:xfrm>
                            <a:off x="0" y="204520"/>
                            <a:ext cx="6121654" cy="205740"/>
                          </a:xfrm>
                          <a:custGeom>
                            <a:avLst/>
                            <a:gdLst/>
                            <a:ahLst/>
                            <a:cxnLst/>
                            <a:rect l="0" t="0" r="0" b="0"/>
                            <a:pathLst>
                              <a:path w="6121654" h="205740">
                                <a:moveTo>
                                  <a:pt x="0" y="0"/>
                                </a:moveTo>
                                <a:lnTo>
                                  <a:pt x="6121654" y="0"/>
                                </a:lnTo>
                                <a:lnTo>
                                  <a:pt x="6121654" y="205740"/>
                                </a:lnTo>
                                <a:lnTo>
                                  <a:pt x="0" y="205740"/>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85" name="Shape 705385"/>
                        <wps:cNvSpPr/>
                        <wps:spPr>
                          <a:xfrm>
                            <a:off x="0" y="410260"/>
                            <a:ext cx="3909949" cy="204216"/>
                          </a:xfrm>
                          <a:custGeom>
                            <a:avLst/>
                            <a:gdLst/>
                            <a:ahLst/>
                            <a:cxnLst/>
                            <a:rect l="0" t="0" r="0" b="0"/>
                            <a:pathLst>
                              <a:path w="3909949" h="204216">
                                <a:moveTo>
                                  <a:pt x="0" y="0"/>
                                </a:moveTo>
                                <a:lnTo>
                                  <a:pt x="3909949" y="0"/>
                                </a:lnTo>
                                <a:lnTo>
                                  <a:pt x="3909949"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86" name="Shape 705386"/>
                        <wps:cNvSpPr/>
                        <wps:spPr>
                          <a:xfrm>
                            <a:off x="358445" y="614476"/>
                            <a:ext cx="5763133" cy="204216"/>
                          </a:xfrm>
                          <a:custGeom>
                            <a:avLst/>
                            <a:gdLst/>
                            <a:ahLst/>
                            <a:cxnLst/>
                            <a:rect l="0" t="0" r="0" b="0"/>
                            <a:pathLst>
                              <a:path w="5763133" h="204216">
                                <a:moveTo>
                                  <a:pt x="0" y="0"/>
                                </a:moveTo>
                                <a:lnTo>
                                  <a:pt x="5763133" y="0"/>
                                </a:lnTo>
                                <a:lnTo>
                                  <a:pt x="5763133"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87" name="Shape 705387"/>
                        <wps:cNvSpPr/>
                        <wps:spPr>
                          <a:xfrm>
                            <a:off x="0" y="818693"/>
                            <a:ext cx="6121654" cy="204216"/>
                          </a:xfrm>
                          <a:custGeom>
                            <a:avLst/>
                            <a:gdLst/>
                            <a:ahLst/>
                            <a:cxnLst/>
                            <a:rect l="0" t="0" r="0" b="0"/>
                            <a:pathLst>
                              <a:path w="6121654" h="204216">
                                <a:moveTo>
                                  <a:pt x="0" y="0"/>
                                </a:moveTo>
                                <a:lnTo>
                                  <a:pt x="6121654" y="0"/>
                                </a:lnTo>
                                <a:lnTo>
                                  <a:pt x="6121654"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88" name="Shape 705388"/>
                        <wps:cNvSpPr/>
                        <wps:spPr>
                          <a:xfrm>
                            <a:off x="0" y="1022909"/>
                            <a:ext cx="6121654" cy="204216"/>
                          </a:xfrm>
                          <a:custGeom>
                            <a:avLst/>
                            <a:gdLst/>
                            <a:ahLst/>
                            <a:cxnLst/>
                            <a:rect l="0" t="0" r="0" b="0"/>
                            <a:pathLst>
                              <a:path w="6121654" h="204216">
                                <a:moveTo>
                                  <a:pt x="0" y="0"/>
                                </a:moveTo>
                                <a:lnTo>
                                  <a:pt x="6121654" y="0"/>
                                </a:lnTo>
                                <a:lnTo>
                                  <a:pt x="6121654"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89" name="Shape 705389"/>
                        <wps:cNvSpPr/>
                        <wps:spPr>
                          <a:xfrm>
                            <a:off x="0" y="1227125"/>
                            <a:ext cx="6121654" cy="204216"/>
                          </a:xfrm>
                          <a:custGeom>
                            <a:avLst/>
                            <a:gdLst/>
                            <a:ahLst/>
                            <a:cxnLst/>
                            <a:rect l="0" t="0" r="0" b="0"/>
                            <a:pathLst>
                              <a:path w="6121654" h="204216">
                                <a:moveTo>
                                  <a:pt x="0" y="0"/>
                                </a:moveTo>
                                <a:lnTo>
                                  <a:pt x="6121654" y="0"/>
                                </a:lnTo>
                                <a:lnTo>
                                  <a:pt x="6121654"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90" name="Shape 705390"/>
                        <wps:cNvSpPr/>
                        <wps:spPr>
                          <a:xfrm>
                            <a:off x="0" y="1431341"/>
                            <a:ext cx="6121654" cy="204216"/>
                          </a:xfrm>
                          <a:custGeom>
                            <a:avLst/>
                            <a:gdLst/>
                            <a:ahLst/>
                            <a:cxnLst/>
                            <a:rect l="0" t="0" r="0" b="0"/>
                            <a:pathLst>
                              <a:path w="6121654" h="204216">
                                <a:moveTo>
                                  <a:pt x="0" y="0"/>
                                </a:moveTo>
                                <a:lnTo>
                                  <a:pt x="6121654" y="0"/>
                                </a:lnTo>
                                <a:lnTo>
                                  <a:pt x="6121654"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91" name="Shape 705391"/>
                        <wps:cNvSpPr/>
                        <wps:spPr>
                          <a:xfrm>
                            <a:off x="0" y="1635556"/>
                            <a:ext cx="6121654" cy="205740"/>
                          </a:xfrm>
                          <a:custGeom>
                            <a:avLst/>
                            <a:gdLst/>
                            <a:ahLst/>
                            <a:cxnLst/>
                            <a:rect l="0" t="0" r="0" b="0"/>
                            <a:pathLst>
                              <a:path w="6121654" h="205740">
                                <a:moveTo>
                                  <a:pt x="0" y="0"/>
                                </a:moveTo>
                                <a:lnTo>
                                  <a:pt x="6121654" y="0"/>
                                </a:lnTo>
                                <a:lnTo>
                                  <a:pt x="6121654" y="205740"/>
                                </a:lnTo>
                                <a:lnTo>
                                  <a:pt x="0" y="205740"/>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92" name="Shape 705392"/>
                        <wps:cNvSpPr/>
                        <wps:spPr>
                          <a:xfrm>
                            <a:off x="0" y="1841297"/>
                            <a:ext cx="6121654" cy="204216"/>
                          </a:xfrm>
                          <a:custGeom>
                            <a:avLst/>
                            <a:gdLst/>
                            <a:ahLst/>
                            <a:cxnLst/>
                            <a:rect l="0" t="0" r="0" b="0"/>
                            <a:pathLst>
                              <a:path w="6121654" h="204216">
                                <a:moveTo>
                                  <a:pt x="0" y="0"/>
                                </a:moveTo>
                                <a:lnTo>
                                  <a:pt x="6121654" y="0"/>
                                </a:lnTo>
                                <a:lnTo>
                                  <a:pt x="6121654"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705393" name="Shape 705393"/>
                        <wps:cNvSpPr/>
                        <wps:spPr>
                          <a:xfrm>
                            <a:off x="0" y="2045513"/>
                            <a:ext cx="5043805" cy="204216"/>
                          </a:xfrm>
                          <a:custGeom>
                            <a:avLst/>
                            <a:gdLst/>
                            <a:ahLst/>
                            <a:cxnLst/>
                            <a:rect l="0" t="0" r="0" b="0"/>
                            <a:pathLst>
                              <a:path w="5043805" h="204216">
                                <a:moveTo>
                                  <a:pt x="0" y="0"/>
                                </a:moveTo>
                                <a:lnTo>
                                  <a:pt x="5043805" y="0"/>
                                </a:lnTo>
                                <a:lnTo>
                                  <a:pt x="5043805" y="204216"/>
                                </a:lnTo>
                                <a:lnTo>
                                  <a:pt x="0" y="204216"/>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g:wgp>
                  </a:graphicData>
                </a:graphic>
              </wp:anchor>
            </w:drawing>
          </mc:Choice>
          <mc:Fallback xmlns:a="http://schemas.openxmlformats.org/drawingml/2006/main">
            <w:pict>
              <v:group id="Group 675077" style="width:482.02pt;height:177.144pt;position:absolute;z-index:-2147483578;mso-position-horizontal-relative:text;mso-position-horizontal:absolute;margin-left:49.68pt;mso-position-vertical-relative:text;margin-top:-51.7009pt;" coordsize="61216,22497">
                <v:shape id="Shape 705394" style="position:absolute;width:57631;height:2045;left:3584;top:0;" coordsize="5763133,204521" path="m0,0l5763133,0l5763133,204521l0,204521l0,0">
                  <v:stroke weight="0pt" endcap="flat" joinstyle="miter" miterlimit="10" on="false" color="#000000" opacity="0"/>
                  <v:fill on="true" color="#fdfdfd"/>
                </v:shape>
                <v:shape id="Shape 705395" style="position:absolute;width:61216;height:2057;left:0;top:2045;" coordsize="6121654,205740" path="m0,0l6121654,0l6121654,205740l0,205740l0,0">
                  <v:stroke weight="0pt" endcap="flat" joinstyle="miter" miterlimit="10" on="false" color="#000000" opacity="0"/>
                  <v:fill on="true" color="#fdfdfd"/>
                </v:shape>
                <v:shape id="Shape 705396" style="position:absolute;width:39099;height:2042;left:0;top:4102;" coordsize="3909949,204216" path="m0,0l3909949,0l3909949,204216l0,204216l0,0">
                  <v:stroke weight="0pt" endcap="flat" joinstyle="miter" miterlimit="10" on="false" color="#000000" opacity="0"/>
                  <v:fill on="true" color="#fdfdfd"/>
                </v:shape>
                <v:shape id="Shape 705397" style="position:absolute;width:57631;height:2042;left:3584;top:6144;" coordsize="5763133,204216" path="m0,0l5763133,0l5763133,204216l0,204216l0,0">
                  <v:stroke weight="0pt" endcap="flat" joinstyle="miter" miterlimit="10" on="false" color="#000000" opacity="0"/>
                  <v:fill on="true" color="#fdfdfd"/>
                </v:shape>
                <v:shape id="Shape 705398" style="position:absolute;width:61216;height:2042;left:0;top:8186;" coordsize="6121654,204216" path="m0,0l6121654,0l6121654,204216l0,204216l0,0">
                  <v:stroke weight="0pt" endcap="flat" joinstyle="miter" miterlimit="10" on="false" color="#000000" opacity="0"/>
                  <v:fill on="true" color="#fdfdfd"/>
                </v:shape>
                <v:shape id="Shape 705399" style="position:absolute;width:61216;height:2042;left:0;top:10229;" coordsize="6121654,204216" path="m0,0l6121654,0l6121654,204216l0,204216l0,0">
                  <v:stroke weight="0pt" endcap="flat" joinstyle="miter" miterlimit="10" on="false" color="#000000" opacity="0"/>
                  <v:fill on="true" color="#fdfdfd"/>
                </v:shape>
                <v:shape id="Shape 705400" style="position:absolute;width:61216;height:2042;left:0;top:12271;" coordsize="6121654,204216" path="m0,0l6121654,0l6121654,204216l0,204216l0,0">
                  <v:stroke weight="0pt" endcap="flat" joinstyle="miter" miterlimit="10" on="false" color="#000000" opacity="0"/>
                  <v:fill on="true" color="#fdfdfd"/>
                </v:shape>
                <v:shape id="Shape 705401" style="position:absolute;width:61216;height:2042;left:0;top:14313;" coordsize="6121654,204216" path="m0,0l6121654,0l6121654,204216l0,204216l0,0">
                  <v:stroke weight="0pt" endcap="flat" joinstyle="miter" miterlimit="10" on="false" color="#000000" opacity="0"/>
                  <v:fill on="true" color="#fdfdfd"/>
                </v:shape>
                <v:shape id="Shape 705402" style="position:absolute;width:61216;height:2057;left:0;top:16355;" coordsize="6121654,205740" path="m0,0l6121654,0l6121654,205740l0,205740l0,0">
                  <v:stroke weight="0pt" endcap="flat" joinstyle="miter" miterlimit="10" on="false" color="#000000" opacity="0"/>
                  <v:fill on="true" color="#fdfdfd"/>
                </v:shape>
                <v:shape id="Shape 705403" style="position:absolute;width:61216;height:2042;left:0;top:18412;" coordsize="6121654,204216" path="m0,0l6121654,0l6121654,204216l0,204216l0,0">
                  <v:stroke weight="0pt" endcap="flat" joinstyle="miter" miterlimit="10" on="false" color="#000000" opacity="0"/>
                  <v:fill on="true" color="#fdfdfd"/>
                </v:shape>
                <v:shape id="Shape 705404" style="position:absolute;width:50438;height:2042;left:0;top:20455;" coordsize="5043805,204216" path="m0,0l5043805,0l5043805,204216l0,204216l0,0">
                  <v:stroke weight="0pt" endcap="flat" joinstyle="miter" miterlimit="10" on="false" color="#000000" opacity="0"/>
                  <v:fill on="true" color="#fdfdfd"/>
                </v:shape>
              </v:group>
            </w:pict>
          </mc:Fallback>
        </mc:AlternateContent>
      </w:r>
      <w:r>
        <w:t>Чтобы выбрать, какая из видов Интернет-</w:t>
      </w:r>
      <w:r>
        <w:t xml:space="preserve">рекламы самая эффективная по мнению пользователей сайтов, были проведены многочисленные опросы и исследования. По одному из них достаточно уверенно победила рассматриваемая нами баннерная реклама. Хотя контекстная реклама отстала от «коллеги» совсем не на </w:t>
      </w:r>
      <w:r>
        <w:t xml:space="preserve">много. Именно между этими типами рекламы и разворачивается основное соперничество. И само понятие контекстной рекламы пока известно далеко не каждому среднестатистическому пользователю Сети, а вот баннеры вошли в жизнь давно и плотно. </w:t>
      </w:r>
    </w:p>
    <w:p w:rsidR="002C0F56" w:rsidRDefault="00E67C6E">
      <w:pPr>
        <w:ind w:left="994" w:right="302"/>
      </w:pPr>
      <w:r>
        <w:lastRenderedPageBreak/>
        <w:t>А вот опрос, который</w:t>
      </w:r>
      <w:r>
        <w:t xml:space="preserve"> рассматривал уже конкретно баннерную рекламу, показал, что 51% опрошенных никогда не переходят по баннерной рекламе на сайты по причине боязни вирусов (22%), потому, что не находят ничего интересного для себя (13%) либо считают, ее спамом (8%). </w:t>
      </w:r>
    </w:p>
    <w:p w:rsidR="002C0F56" w:rsidRDefault="00E67C6E">
      <w:pPr>
        <w:spacing w:after="12"/>
        <w:ind w:left="994" w:right="302"/>
      </w:pPr>
      <w:r>
        <w:t>Результат</w:t>
      </w:r>
      <w:r>
        <w:t>ы исследования показали, что 49% опрошенных, хотя бы иногда кликают на баннеры, если уверены в безопасности ссылки или заинтересовавшись предложением. Некоторые респонденты отмечают, что готовы пройти по предлагаемой ссылке, «если баннер нетривиальный», «к</w:t>
      </w:r>
      <w:r>
        <w:t xml:space="preserve">огда это что-то яркое и запоминающееся по внешнему виду». </w:t>
      </w:r>
    </w:p>
    <w:tbl>
      <w:tblPr>
        <w:tblStyle w:val="TableGrid"/>
        <w:tblW w:w="9621" w:type="dxa"/>
        <w:tblInd w:w="994" w:type="dxa"/>
        <w:tblCellMar>
          <w:top w:w="67" w:type="dxa"/>
          <w:left w:w="0" w:type="dxa"/>
          <w:bottom w:w="0" w:type="dxa"/>
          <w:right w:w="0" w:type="dxa"/>
        </w:tblCellMar>
        <w:tblLook w:val="04A0" w:firstRow="1" w:lastRow="0" w:firstColumn="1" w:lastColumn="0" w:noHBand="0" w:noVBand="1"/>
      </w:tblPr>
      <w:tblGrid>
        <w:gridCol w:w="564"/>
        <w:gridCol w:w="9057"/>
      </w:tblGrid>
      <w:tr w:rsidR="002C0F56">
        <w:trPr>
          <w:trHeight w:val="324"/>
        </w:trPr>
        <w:tc>
          <w:tcPr>
            <w:tcW w:w="564" w:type="dxa"/>
            <w:tcBorders>
              <w:top w:val="nil"/>
              <w:left w:val="nil"/>
              <w:bottom w:val="nil"/>
              <w:right w:val="nil"/>
            </w:tcBorders>
          </w:tcPr>
          <w:p w:rsidR="002C0F56" w:rsidRDefault="002C0F56">
            <w:pPr>
              <w:spacing w:after="160" w:line="259" w:lineRule="auto"/>
              <w:ind w:left="0" w:firstLine="0"/>
              <w:jc w:val="left"/>
            </w:pPr>
          </w:p>
        </w:tc>
        <w:tc>
          <w:tcPr>
            <w:tcW w:w="9057" w:type="dxa"/>
            <w:tcBorders>
              <w:top w:val="nil"/>
              <w:left w:val="nil"/>
              <w:bottom w:val="nil"/>
              <w:right w:val="nil"/>
            </w:tcBorders>
            <w:shd w:val="clear" w:color="auto" w:fill="FDFDFD"/>
          </w:tcPr>
          <w:p w:rsidR="002C0F56" w:rsidRDefault="00E67C6E">
            <w:pPr>
              <w:spacing w:after="0" w:line="259" w:lineRule="auto"/>
              <w:ind w:left="0" w:right="-13" w:firstLine="0"/>
            </w:pPr>
            <w:r>
              <w:t xml:space="preserve">То есть мнение потребителей показывает, что, если производители </w:t>
            </w:r>
          </w:p>
        </w:tc>
      </w:tr>
      <w:tr w:rsidR="002C0F56">
        <w:trPr>
          <w:trHeight w:val="322"/>
        </w:trPr>
        <w:tc>
          <w:tcPr>
            <w:tcW w:w="9621" w:type="dxa"/>
            <w:gridSpan w:val="2"/>
            <w:tcBorders>
              <w:top w:val="nil"/>
              <w:left w:val="nil"/>
              <w:bottom w:val="nil"/>
              <w:right w:val="nil"/>
            </w:tcBorders>
            <w:shd w:val="clear" w:color="auto" w:fill="FDFDFD"/>
          </w:tcPr>
          <w:p w:rsidR="002C0F56" w:rsidRDefault="00E67C6E">
            <w:pPr>
              <w:spacing w:after="0" w:line="259" w:lineRule="auto"/>
              <w:ind w:left="0" w:right="-13" w:firstLine="0"/>
            </w:pPr>
            <w:r>
              <w:t xml:space="preserve">тщательно продумают собственную рекламу, имеется большая вероятность </w:t>
            </w:r>
          </w:p>
        </w:tc>
      </w:tr>
      <w:tr w:rsidR="002C0F56">
        <w:trPr>
          <w:trHeight w:val="322"/>
        </w:trPr>
        <w:tc>
          <w:tcPr>
            <w:tcW w:w="9621" w:type="dxa"/>
            <w:gridSpan w:val="2"/>
            <w:tcBorders>
              <w:top w:val="nil"/>
              <w:left w:val="nil"/>
              <w:bottom w:val="nil"/>
              <w:right w:val="nil"/>
            </w:tcBorders>
            <w:shd w:val="clear" w:color="auto" w:fill="FDFDFD"/>
          </w:tcPr>
          <w:p w:rsidR="002C0F56" w:rsidRDefault="00E67C6E">
            <w:pPr>
              <w:spacing w:after="0" w:line="259" w:lineRule="auto"/>
              <w:ind w:left="0" w:firstLine="0"/>
            </w:pPr>
            <w:r>
              <w:t>привлечения покупателей и увеличения продаж с помощью баннерной рекламе.</w:t>
            </w:r>
          </w:p>
        </w:tc>
      </w:tr>
    </w:tbl>
    <w:p w:rsidR="002C0F56" w:rsidRDefault="00E67C6E">
      <w:pPr>
        <w:ind w:left="994" w:right="302"/>
      </w:pPr>
      <w:r>
        <w:t xml:space="preserve">Компания Nielsen в рамках исследования «Trust in Advertising» выяснила, что же отпугивает людей в онлайн-баннерах. Это связано со многими факторами, но в основном: </w:t>
      </w:r>
    </w:p>
    <w:p w:rsidR="002C0F56" w:rsidRDefault="00E67C6E">
      <w:pPr>
        <w:numPr>
          <w:ilvl w:val="0"/>
          <w:numId w:val="255"/>
        </w:numPr>
        <w:ind w:right="302" w:hanging="154"/>
      </w:pPr>
      <w:r>
        <w:t xml:space="preserve">реклама не вызывает доверия; </w:t>
      </w:r>
    </w:p>
    <w:p w:rsidR="002C0F56" w:rsidRDefault="00E67C6E">
      <w:pPr>
        <w:numPr>
          <w:ilvl w:val="0"/>
          <w:numId w:val="255"/>
        </w:numPr>
        <w:ind w:right="302" w:hanging="154"/>
      </w:pPr>
      <w:r>
        <w:t xml:space="preserve">объявление не отвечает ожиданиям; </w:t>
      </w:r>
    </w:p>
    <w:p w:rsidR="002C0F56" w:rsidRDefault="00E67C6E">
      <w:pPr>
        <w:numPr>
          <w:ilvl w:val="0"/>
          <w:numId w:val="255"/>
        </w:numPr>
        <w:ind w:right="302" w:hanging="154"/>
      </w:pPr>
      <w:r>
        <w:t xml:space="preserve">любительский дизайн баннера; </w:t>
      </w:r>
    </w:p>
    <w:p w:rsidR="002C0F56" w:rsidRDefault="00E67C6E">
      <w:pPr>
        <w:numPr>
          <w:ilvl w:val="0"/>
          <w:numId w:val="255"/>
        </w:numPr>
        <w:ind w:right="302" w:hanging="154"/>
      </w:pPr>
      <w:r>
        <w:t xml:space="preserve">старая добрая «баннерная слепота»; </w:t>
      </w:r>
    </w:p>
    <w:p w:rsidR="002C0F56" w:rsidRDefault="00E67C6E">
      <w:pPr>
        <w:ind w:left="994" w:right="302"/>
      </w:pPr>
      <w:r>
        <w:t>Важной задачей любого производителя является решение данных проблем. Как уже упоминалось, наибольшей перспективой обладают ре</w:t>
      </w:r>
      <w:r>
        <w:t>кламные баннеры с яркими и красочными картинками, броским текстом, которые притягивают пользовательские курсоры мышек словно магнит.  Но можно повысить эффективность баннерной рекламы и другим способом  при выборе места размещения на сайте. Итогом должен б</w:t>
      </w:r>
      <w:r>
        <w:t>ыть набор оптимальных зон с возможностью максимального привлечения клиентов. Самое большое количество кликов приносит верхнее размещение рекламных баннеров. Ведь существует феномен «баннерной слепоты», во многом связанный с тем, что большинство людей читае</w:t>
      </w:r>
      <w:r>
        <w:t>т по F-паттерну. Сперва изучается шапка страницы и заголовок. Затем подзаголовок и первый абзац. Далее бегло просматривается основной контент. Мы ищем ключевой контент в тех местах страницы, где он, вероятнее всего, будет размещен (исходя из прошлого опыта</w:t>
      </w:r>
      <w:r>
        <w:t xml:space="preserve">). Это следствие нашего избирательного внимания, выделяющего ограниченные ментальные ресурсы на достижение основной цели, при этом игнорируя менее значимые источники информации. </w:t>
      </w:r>
    </w:p>
    <w:p w:rsidR="002C0F56" w:rsidRDefault="00E67C6E">
      <w:pPr>
        <w:ind w:left="994" w:right="302"/>
      </w:pPr>
      <w:r>
        <w:t xml:space="preserve">Проблему, связанную с тем, что реклама не оправдывает ожидания, решить проще </w:t>
      </w:r>
      <w:r>
        <w:t xml:space="preserve">всего. Сейчас люди с трудом доверяют сайтам, яркая картинка, которая сулит отличную вещь по низкой цене, не всегда оказывается правдивой. Главная задача – не возлагать на баннерную рекламу ложную информацию, все данные </w:t>
      </w:r>
      <w:r>
        <w:lastRenderedPageBreak/>
        <w:t xml:space="preserve">на баннере и основном сайте компании </w:t>
      </w:r>
      <w:r>
        <w:t xml:space="preserve">должна полностью совпадать. Так у людей возникнет определенное доверие и возможность, что они купят данный товар, значительно возрастет. </w:t>
      </w:r>
    </w:p>
    <w:p w:rsidR="002C0F56" w:rsidRDefault="00E67C6E">
      <w:pPr>
        <w:ind w:left="994" w:right="302"/>
      </w:pPr>
      <w:r>
        <w:t>Все эти умозаключения были сведены в формулу AIDA (attention, interest, desire, action), известную и в традиционной ре</w:t>
      </w:r>
      <w:r>
        <w:t xml:space="preserve">кламе. Формула представляет собой последовательность задач, которые стоят перед рекламным обращением и обязательны к выполнению: </w:t>
      </w:r>
    </w:p>
    <w:p w:rsidR="002C0F56" w:rsidRDefault="00E67C6E">
      <w:pPr>
        <w:numPr>
          <w:ilvl w:val="0"/>
          <w:numId w:val="256"/>
        </w:numPr>
        <w:ind w:right="302"/>
      </w:pPr>
      <w:r>
        <w:t>attention ― привлечение внимания к рекламному обращению. Если пользователь не обратит внимание на рекламу в течение хотя бы до</w:t>
      </w:r>
      <w:r>
        <w:t xml:space="preserve">ли секунды, то, разумеется, ничего не случится, и толк от такой рекламы практически нулевой. </w:t>
      </w:r>
    </w:p>
    <w:p w:rsidR="002C0F56" w:rsidRDefault="00E67C6E">
      <w:pPr>
        <w:numPr>
          <w:ilvl w:val="0"/>
          <w:numId w:val="256"/>
        </w:numPr>
        <w:ind w:right="302"/>
      </w:pPr>
      <w:r>
        <w:t>interest ― вызов интереса к предмету рекламы. Задача ― за ту долю секунды, в течение которой пользователь обратил свой взгляд на рекламу, задержать его внимание и</w:t>
      </w:r>
      <w:r>
        <w:t xml:space="preserve"> заинтересовать. </w:t>
      </w:r>
    </w:p>
    <w:p w:rsidR="002C0F56" w:rsidRDefault="00E67C6E">
      <w:pPr>
        <w:numPr>
          <w:ilvl w:val="0"/>
          <w:numId w:val="256"/>
        </w:numPr>
        <w:ind w:right="302"/>
      </w:pPr>
      <w:r>
        <w:t xml:space="preserve">desire ― стимуляция желания воспользоваться рекламируемым предложением; </w:t>
      </w:r>
    </w:p>
    <w:p w:rsidR="002C0F56" w:rsidRDefault="00E67C6E">
      <w:pPr>
        <w:numPr>
          <w:ilvl w:val="0"/>
          <w:numId w:val="256"/>
        </w:numPr>
        <w:ind w:right="302"/>
      </w:pPr>
      <w:r>
        <w:t xml:space="preserve">action ― действие. В большинстве случаев щелчок мышкой и переход на сайт рекламодателя. </w:t>
      </w:r>
    </w:p>
    <w:p w:rsidR="002C0F56" w:rsidRDefault="00E67C6E">
      <w:pPr>
        <w:spacing w:after="0"/>
        <w:ind w:left="994" w:right="302"/>
      </w:pPr>
      <w:r>
        <w:t>Так как люди давно научились пользоваться интернетом с максимальным комфорто</w:t>
      </w:r>
      <w:r>
        <w:t>м, были выработаны определенные пользовательские привычки поиска важнейшей информации. Все эти особенности и должны учитываться рекламодателями. Расположение в правильном месте, красивое оформление – любая мелочь имеет значение. Сейчас главной задачей прои</w:t>
      </w:r>
      <w:r>
        <w:t xml:space="preserve">зводителей является правильно продумать предоставляемую информацию. Именно такой подход поможет увеличить эффективность баннеров и поставить их на первое место среди всех существующих видов рекламы.  </w:t>
      </w:r>
    </w:p>
    <w:p w:rsidR="002C0F56" w:rsidRDefault="00E67C6E">
      <w:pPr>
        <w:spacing w:after="24" w:line="259" w:lineRule="auto"/>
        <w:ind w:left="1560" w:firstLine="0"/>
        <w:jc w:val="left"/>
      </w:pPr>
      <w:r>
        <w:t xml:space="preserve"> </w:t>
      </w:r>
    </w:p>
    <w:p w:rsidR="002C0F56" w:rsidRDefault="00E67C6E">
      <w:pPr>
        <w:spacing w:after="15" w:line="268" w:lineRule="auto"/>
        <w:ind w:left="1262" w:right="7" w:hanging="10"/>
        <w:jc w:val="center"/>
      </w:pPr>
      <w:r>
        <w:t xml:space="preserve">Список литературы: </w:t>
      </w:r>
    </w:p>
    <w:p w:rsidR="002C0F56" w:rsidRDefault="00E67C6E">
      <w:pPr>
        <w:numPr>
          <w:ilvl w:val="0"/>
          <w:numId w:val="257"/>
        </w:numPr>
        <w:spacing w:after="15"/>
        <w:ind w:right="302"/>
      </w:pPr>
      <w:r>
        <w:t xml:space="preserve">Реклама в Интернете [Электронный </w:t>
      </w:r>
      <w:r>
        <w:t xml:space="preserve">ресурс] / - Режим доступа: </w:t>
      </w:r>
    </w:p>
    <w:p w:rsidR="002C0F56" w:rsidRDefault="00E67C6E">
      <w:pPr>
        <w:ind w:left="994" w:right="302" w:firstLine="0"/>
      </w:pPr>
      <w:r>
        <w:t xml:space="preserve">http://propel.ru - Дата доступа: 18.04.2017 </w:t>
      </w:r>
    </w:p>
    <w:p w:rsidR="002C0F56" w:rsidRDefault="00E67C6E">
      <w:pPr>
        <w:numPr>
          <w:ilvl w:val="0"/>
          <w:numId w:val="257"/>
        </w:numPr>
        <w:ind w:right="302"/>
      </w:pPr>
      <w:r>
        <w:t xml:space="preserve">Официальный сайт компании SEONEWS [Электронный ресурс] / - Режим доступа: https://m.seonews.ru - Дата доступа: 18.04.2017  </w:t>
      </w:r>
    </w:p>
    <w:p w:rsidR="002C0F56" w:rsidRDefault="00E67C6E">
      <w:pPr>
        <w:numPr>
          <w:ilvl w:val="0"/>
          <w:numId w:val="257"/>
        </w:numPr>
        <w:ind w:right="302"/>
      </w:pPr>
      <w:r>
        <w:t xml:space="preserve">Программирование и создание сайтов [Электронный ресурс] / </w:t>
      </w:r>
      <w:r>
        <w:t xml:space="preserve">- Режим доступа: http://sd-company.su - Дата доступа: 18.04.2017 </w:t>
      </w:r>
    </w:p>
    <w:p w:rsidR="002C0F56" w:rsidRDefault="00E67C6E">
      <w:pPr>
        <w:numPr>
          <w:ilvl w:val="0"/>
          <w:numId w:val="257"/>
        </w:numPr>
        <w:ind w:right="302"/>
      </w:pPr>
      <w:r>
        <w:t xml:space="preserve">Технологии привлечения клиентов [Электронный ресурс] / - Режим доступа: http://lpgenerator.ru- Дата доступа: 18.04.2017 </w:t>
      </w:r>
    </w:p>
    <w:p w:rsidR="002C0F56" w:rsidRDefault="00E67C6E">
      <w:pPr>
        <w:numPr>
          <w:ilvl w:val="0"/>
          <w:numId w:val="257"/>
        </w:numPr>
        <w:ind w:right="302"/>
      </w:pPr>
      <w:r>
        <w:t xml:space="preserve">Создание </w:t>
      </w:r>
      <w:r>
        <w:tab/>
        <w:t xml:space="preserve">блогов </w:t>
      </w:r>
      <w:r>
        <w:tab/>
        <w:t xml:space="preserve">[Электронный </w:t>
      </w:r>
      <w:r>
        <w:tab/>
        <w:t xml:space="preserve">ресурс] </w:t>
      </w:r>
      <w:r>
        <w:tab/>
        <w:t xml:space="preserve">/ </w:t>
      </w:r>
      <w:r>
        <w:tab/>
        <w:t xml:space="preserve">- </w:t>
      </w:r>
      <w:r>
        <w:tab/>
        <w:t xml:space="preserve">Режим </w:t>
      </w:r>
      <w:r>
        <w:tab/>
        <w:t xml:space="preserve">доступа: </w:t>
      </w:r>
    </w:p>
    <w:p w:rsidR="002C0F56" w:rsidRDefault="00E67C6E">
      <w:pPr>
        <w:spacing w:after="12"/>
        <w:ind w:left="994" w:right="302" w:firstLine="0"/>
      </w:pPr>
      <w:r>
        <w:t>http:</w:t>
      </w:r>
      <w:r>
        <w:t xml:space="preserve">//netbu.ru - Дата доступа: 18.04.2017 </w:t>
      </w:r>
    </w:p>
    <w:p w:rsidR="002C0F56" w:rsidRDefault="00E67C6E">
      <w:pPr>
        <w:spacing w:after="0" w:line="259" w:lineRule="auto"/>
        <w:ind w:left="1560" w:firstLine="0"/>
        <w:jc w:val="left"/>
      </w:pPr>
      <w:r>
        <w:lastRenderedPageBreak/>
        <w:t xml:space="preserve"> </w:t>
      </w:r>
    </w:p>
    <w:p w:rsidR="002C0F56" w:rsidRDefault="00E67C6E">
      <w:pPr>
        <w:spacing w:after="27" w:line="259" w:lineRule="auto"/>
        <w:ind w:left="994" w:firstLine="0"/>
        <w:jc w:val="left"/>
      </w:pPr>
      <w:r>
        <w:t xml:space="preserve"> </w:t>
      </w:r>
    </w:p>
    <w:p w:rsidR="002C0F56" w:rsidRDefault="00E67C6E">
      <w:pPr>
        <w:pStyle w:val="1"/>
        <w:spacing w:after="25" w:line="259" w:lineRule="auto"/>
        <w:ind w:right="309"/>
        <w:jc w:val="right"/>
      </w:pPr>
      <w:r>
        <w:t xml:space="preserve">Усик Д. М. </w:t>
      </w:r>
      <w:r>
        <w:rPr>
          <w:b w:val="0"/>
        </w:rPr>
        <w:t xml:space="preserve">Научный руководитель: Кулакова Н.Л. </w:t>
      </w:r>
    </w:p>
    <w:p w:rsidR="002C0F56" w:rsidRDefault="00E67C6E">
      <w:pPr>
        <w:spacing w:after="0" w:line="267" w:lineRule="auto"/>
        <w:ind w:left="905" w:right="310" w:hanging="10"/>
        <w:jc w:val="right"/>
      </w:pPr>
      <w:r>
        <w:rPr>
          <w:i/>
        </w:rPr>
        <w:t xml:space="preserve">Полесский  государственный университет </w:t>
      </w:r>
    </w:p>
    <w:p w:rsidR="002C0F56" w:rsidRDefault="00E67C6E">
      <w:pPr>
        <w:spacing w:after="32" w:line="259" w:lineRule="auto"/>
        <w:ind w:left="1558" w:firstLine="0"/>
        <w:jc w:val="left"/>
      </w:pPr>
      <w:r>
        <w:t xml:space="preserve"> </w:t>
      </w:r>
    </w:p>
    <w:p w:rsidR="002C0F56" w:rsidRDefault="00E67C6E">
      <w:pPr>
        <w:pStyle w:val="1"/>
        <w:ind w:left="700" w:right="7"/>
      </w:pPr>
      <w:r>
        <w:t xml:space="preserve">СОСТОЯНИЕ И ПЕРСПЕКТИВЫ ВЕТРОЭНЕРГЕТИКИ В РЕСПУБЛИКЕ БЕЛАРУСЬ </w:t>
      </w:r>
    </w:p>
    <w:p w:rsidR="002C0F56" w:rsidRDefault="00E67C6E">
      <w:pPr>
        <w:spacing w:after="0" w:line="259" w:lineRule="auto"/>
        <w:ind w:left="1558" w:firstLine="0"/>
        <w:jc w:val="left"/>
      </w:pPr>
      <w:r>
        <w:rPr>
          <w:b/>
        </w:rPr>
        <w:t xml:space="preserve"> </w:t>
      </w:r>
    </w:p>
    <w:p w:rsidR="002C0F56" w:rsidRDefault="00E67C6E">
      <w:pPr>
        <w:ind w:left="994" w:right="302"/>
      </w:pPr>
      <w:r>
        <w:t>Во многих государствах состояние экономики определяется тем, насколько эффективно используются топливно-энергетические ресурсы (ТЭР). Эффективное использование таких ресурсов может способствовать росту потенциала страны, а также увеличению уровня жизни в н</w:t>
      </w:r>
      <w:r>
        <w:t xml:space="preserve">ей. Использование ТЭР приобретает особую значимость для тех стран, которые в достаточно больших объёмах импортируют энергоресурсы, что в полной мере относится к Республике Беларусь.  </w:t>
      </w:r>
    </w:p>
    <w:p w:rsidR="002C0F56" w:rsidRDefault="00E67C6E">
      <w:pPr>
        <w:spacing w:after="0"/>
        <w:ind w:left="994" w:right="302"/>
      </w:pPr>
      <w:r>
        <w:t>Основным направлением энергетической политики Республики Беларусь являет</w:t>
      </w:r>
      <w:r>
        <w:t>ся устойчивое обеспечение страны энергоресурсами, а  также обеспечение функционирования экономики при максимально эффективном использовании этих ресурсов. Повышение эффективности использования энергоресурсов приведёт к сокращению выбросов загрязняющих веще</w:t>
      </w:r>
      <w:r>
        <w:t xml:space="preserve">ств, образующихся в результате сгорания топлива [1].  </w:t>
      </w:r>
    </w:p>
    <w:p w:rsidR="002C0F56" w:rsidRDefault="00E67C6E">
      <w:pPr>
        <w:ind w:left="994" w:right="302"/>
      </w:pPr>
      <w:r>
        <w:t xml:space="preserve">Постоянное увеличение цен на энергоресурсы приводит к необходимости экономить на их производстве. Всё чаще в последнее время для производства ресурсов используется энергия ветра. </w:t>
      </w:r>
    </w:p>
    <w:p w:rsidR="002C0F56" w:rsidRDefault="00E67C6E">
      <w:pPr>
        <w:ind w:left="994" w:right="302"/>
      </w:pPr>
      <w:r>
        <w:t xml:space="preserve"> </w:t>
      </w:r>
      <w:r>
        <w:t>В 2011 году правительство Республики Беларусь приняло решение о развитии ветроэнергетики. На территории Беларуси было выявлено около 1850 площадок для размещения ветроэнергетических установок (ВЭУ) и полноценных ветропарков. Площади, где можно установить в</w:t>
      </w:r>
      <w:r>
        <w:t>етрогенераторы представляют собой в основном ряды холмов высотой от 250 м над уровнем моря, где фоновая скорость ветра колеблется от 5 до 8 м/с. На каждой площадке можно установить от 3 до 20 ветроэнергетических установок. Общий энергетический потенциал ра</w:t>
      </w:r>
      <w:r>
        <w:t xml:space="preserve">сценивается в 1600 МВт мощности. </w:t>
      </w:r>
    </w:p>
    <w:p w:rsidR="002C0F56" w:rsidRDefault="00E67C6E">
      <w:pPr>
        <w:ind w:left="994" w:right="302" w:firstLine="0"/>
      </w:pPr>
      <w:r>
        <w:t xml:space="preserve">Среднегодовая скорость фонового ветра колеблется от 3 до 4 м/с на высоте 1012 метров [2] . </w:t>
      </w:r>
    </w:p>
    <w:p w:rsidR="002C0F56" w:rsidRDefault="00E67C6E">
      <w:pPr>
        <w:ind w:left="994" w:right="302"/>
      </w:pPr>
      <w:r>
        <w:t>Для эффективной работы ветряной установки сильный ветер не нужен. Средняя скорость в 7 м/с достаточна. Как правило, это холмы с вы</w:t>
      </w:r>
      <w:r>
        <w:t xml:space="preserve">сотой более 250 м над уровнем моря, со средней скоростью ветра в 5-8 м/c (на высоте 150 м). Такие показатели вполне способствуют развитию ветроэнергетики. </w:t>
      </w:r>
    </w:p>
    <w:p w:rsidR="002C0F56" w:rsidRDefault="00E67C6E">
      <w:pPr>
        <w:spacing w:after="4"/>
        <w:ind w:left="994" w:right="302"/>
      </w:pPr>
      <w:r>
        <w:t>Было создано негативное впечатление по ветроустановкам, когда некоторые инвесторы начали ввозить быв</w:t>
      </w:r>
      <w:r>
        <w:t xml:space="preserve">шие в употреблении, устаревшие ветряки и </w:t>
      </w:r>
      <w:r>
        <w:lastRenderedPageBreak/>
        <w:t>размещали их без специальных исследований в неподходящих местах. Из-за проблем с надёжностью такие станции отличались весьма низким коэффициентом использования. Однако, после проведения необходимых исследований и ст</w:t>
      </w:r>
      <w:r>
        <w:t>роительства новой мощной турбины в 1,5 МВт в д. Грабники Новогрудского района был получен первый положительный опыт. Установка вырабатывает до 4,3 млн кВт*ч в год экологически чистой энергии, снижая выбросы парниковых газов атмосферу в объёме более 2000 то</w:t>
      </w:r>
      <w:r>
        <w:t xml:space="preserve">нн. </w:t>
      </w:r>
    </w:p>
    <w:p w:rsidR="002C0F56" w:rsidRDefault="00E67C6E">
      <w:pPr>
        <w:spacing w:after="10"/>
        <w:ind w:left="994" w:right="302"/>
      </w:pPr>
      <w:r>
        <w:t>Сложности в освоении ветроэнергетики в Республике Беларусь, связаны прежде всего с: неразвитостью сферы альтернативных ресурсов на законодательном уровне; длительный и сложный процесс по проведению и внедрению экономических проектов; недоверие, отсутс</w:t>
      </w:r>
      <w:r>
        <w:t xml:space="preserve">твие полной информации у местных жителей, их недовольство и другие. </w:t>
      </w:r>
    </w:p>
    <w:p w:rsidR="002C0F56" w:rsidRDefault="00E67C6E">
      <w:pPr>
        <w:ind w:left="994" w:right="302"/>
      </w:pPr>
      <w:r>
        <w:t xml:space="preserve">В 2016 году на этой же площадке завершено возведение еще 5 ветроэнергетических установок. Общая мощность ветропарка составила 9 МВт. </w:t>
      </w:r>
    </w:p>
    <w:p w:rsidR="002C0F56" w:rsidRDefault="00E67C6E">
      <w:pPr>
        <w:ind w:left="994" w:right="302"/>
      </w:pPr>
      <w:r>
        <w:t>В Мядельском районе Минской области ветроэнергетическ</w:t>
      </w:r>
      <w:r>
        <w:t xml:space="preserve">ие установки фирмы Nordex. Их мощность составляет 270 кВт. В п. Дружный на берегу озера </w:t>
      </w:r>
    </w:p>
    <w:p w:rsidR="002C0F56" w:rsidRDefault="00E67C6E">
      <w:pPr>
        <w:ind w:left="994" w:right="302" w:firstLine="0"/>
      </w:pPr>
      <w:r>
        <w:t xml:space="preserve">Нарочь и в городе Городок Витебской области установлены ветроэнергетические установки фирмы Yakobs мощностью 660 кВт [2]. </w:t>
      </w:r>
    </w:p>
    <w:p w:rsidR="002C0F56" w:rsidRDefault="00E67C6E">
      <w:pPr>
        <w:spacing w:after="11"/>
        <w:ind w:left="994" w:right="302"/>
      </w:pPr>
      <w:r>
        <w:t>Нужно отметить, что ветроэнергетические уста</w:t>
      </w:r>
      <w:r>
        <w:t xml:space="preserve">новки в Республике Беларусь используют для привода насосных станций небольшой мощности для подогрева воды в сельскохозяйственном производстве.  </w:t>
      </w:r>
    </w:p>
    <w:p w:rsidR="002C0F56" w:rsidRDefault="00E67C6E">
      <w:pPr>
        <w:spacing w:after="10"/>
        <w:ind w:left="994" w:right="302"/>
      </w:pPr>
      <w:r>
        <w:t>Ветряные генераторы практически не потребляют ископаемого топлива. Работа ветрогенератора мощностью 1 МВт за 20</w:t>
      </w:r>
      <w:r>
        <w:t xml:space="preserve"> лет эксплуатации позволяет сэкономить примерно 29 тыс. тонн угля или 92 тыс. баррелей нефти.</w:t>
      </w:r>
      <w:r>
        <w:rPr>
          <w:b/>
        </w:rPr>
        <w:t xml:space="preserve"> </w:t>
      </w:r>
    </w:p>
    <w:p w:rsidR="002C0F56" w:rsidRDefault="00E67C6E">
      <w:pPr>
        <w:ind w:left="994" w:right="302"/>
      </w:pPr>
      <w:hyperlink r:id="rId1340">
        <w:r>
          <w:t xml:space="preserve">Устранение барьеров, которое направлено на развитие ветроэнергетики в </w:t>
        </w:r>
      </w:hyperlink>
      <w:hyperlink r:id="rId1341">
        <w:r>
          <w:t>Республике Беларусь</w:t>
        </w:r>
      </w:hyperlink>
      <w:hyperlink r:id="rId1342">
        <w:r>
          <w:t>,</w:t>
        </w:r>
      </w:hyperlink>
      <w:r>
        <w:t xml:space="preserve"> содержит следующие мероприятия: </w:t>
      </w:r>
    </w:p>
    <w:p w:rsidR="002C0F56" w:rsidRDefault="00E67C6E">
      <w:pPr>
        <w:numPr>
          <w:ilvl w:val="0"/>
          <w:numId w:val="258"/>
        </w:numPr>
        <w:ind w:right="302"/>
      </w:pPr>
      <w:r>
        <w:t>Разработка и введение в действие нормативных правовых актов по содействию развитию ветроэнергетики (данный компонент поможет устранить регуляторные барь</w:t>
      </w:r>
      <w:r>
        <w:t xml:space="preserve">еры); </w:t>
      </w:r>
    </w:p>
    <w:p w:rsidR="002C0F56" w:rsidRDefault="00E67C6E">
      <w:pPr>
        <w:numPr>
          <w:ilvl w:val="0"/>
          <w:numId w:val="258"/>
        </w:numPr>
        <w:ind w:right="302"/>
      </w:pPr>
      <w:r>
        <w:t xml:space="preserve">Повышение уверенности потенциальных инвесторов в рентабельности проектов в ветроэнергетике в Республике Беларусь (в рамках этого компонента будет проведена масштабная информационная кампания по возобновляемым источникам энергии); </w:t>
      </w:r>
    </w:p>
    <w:p w:rsidR="002C0F56" w:rsidRDefault="00E67C6E">
      <w:pPr>
        <w:numPr>
          <w:ilvl w:val="0"/>
          <w:numId w:val="258"/>
        </w:numPr>
        <w:ind w:right="302"/>
      </w:pPr>
      <w:r>
        <w:t>Предоставление про</w:t>
      </w:r>
      <w:r>
        <w:t>ектом «Глобальный экологический фонд</w:t>
      </w:r>
      <w:r>
        <w:rPr>
          <w:b/>
        </w:rPr>
        <w:t>»</w:t>
      </w:r>
      <w:r>
        <w:t xml:space="preserve">  инвестиционного гранта на цели финансирования разработки документов по ветроэнергетическим установкам суммарной мощностью не менее чем 25 МВт; </w:t>
      </w:r>
    </w:p>
    <w:p w:rsidR="002C0F56" w:rsidRDefault="00E67C6E">
      <w:pPr>
        <w:numPr>
          <w:ilvl w:val="0"/>
          <w:numId w:val="258"/>
        </w:numPr>
        <w:spacing w:after="9"/>
        <w:ind w:right="302"/>
      </w:pPr>
      <w:r>
        <w:t>Успешная разработка не менее 5 проектов по ветроэнергетическим установкам</w:t>
      </w:r>
      <w:r>
        <w:t xml:space="preserve"> и продолжение функционирования ГСРВ после завершения проекта. </w:t>
      </w:r>
    </w:p>
    <w:p w:rsidR="002C0F56" w:rsidRDefault="00E67C6E">
      <w:pPr>
        <w:spacing w:after="10"/>
        <w:ind w:left="994" w:right="302"/>
      </w:pPr>
      <w:r>
        <w:t xml:space="preserve">Таким образом, развитию ветроэнергетики в Беларуси способствуют государственные программы и планы, направленные на стимулирование </w:t>
      </w:r>
      <w:r>
        <w:lastRenderedPageBreak/>
        <w:t>использования возобновляемых источников энергии. Наряду с этим существует необходимость привлечения внешних инвестиций, активи</w:t>
      </w:r>
      <w:r>
        <w:t xml:space="preserve">зации поиска путей снижения стоимости ВЭУ. Предстоит подготовка квалифицированных кадров, расширение законодательной и нормативно-правовой базы, регулирующей вопросы тарифно-налоговой политики, проектирования и эксплуатации ветроустановок и ветропарков, а </w:t>
      </w:r>
      <w:r>
        <w:t xml:space="preserve">также оценки воздействия ветроэнергетических установок на окружающую среду.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59"/>
        </w:numPr>
        <w:ind w:right="302"/>
      </w:pPr>
      <w:r>
        <w:t xml:space="preserve">Лаврентьев Н., Жуков Д. Основные виды возобновляемой энергии. Потенциал Беларуси //Энергетика и ТЭК,  - №7. – 2003. – 32-34с. </w:t>
      </w:r>
    </w:p>
    <w:p w:rsidR="002C0F56" w:rsidRDefault="00E67C6E">
      <w:pPr>
        <w:numPr>
          <w:ilvl w:val="0"/>
          <w:numId w:val="259"/>
        </w:numPr>
        <w:ind w:right="302"/>
      </w:pPr>
      <w:r>
        <w:t xml:space="preserve">Электротехнический портал //  </w:t>
      </w:r>
      <w:r>
        <w:t xml:space="preserve">Ветроэнергетика [Электронный ресурс]. </w:t>
      </w:r>
    </w:p>
    <w:p w:rsidR="002C0F56" w:rsidRDefault="00E67C6E">
      <w:pPr>
        <w:ind w:left="994" w:right="302" w:firstLine="0"/>
      </w:pPr>
      <w:r>
        <w:t xml:space="preserve">– 2016. – Режим доступа: </w:t>
      </w:r>
      <w:hyperlink r:id="rId1343">
        <w:r>
          <w:t>http://электротехнический</w:t>
        </w:r>
      </w:hyperlink>
      <w:hyperlink r:id="rId1344"/>
      <w:hyperlink r:id="rId1345">
        <w:r>
          <w:t>портал.рф/vetroenergetika.html</w:t>
        </w:r>
      </w:hyperlink>
      <w:hyperlink r:id="rId1346">
        <w:r>
          <w:t>.</w:t>
        </w:r>
      </w:hyperlink>
      <w:r>
        <w:t xml:space="preserve"> – Дата доступа: 17.03.2017.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t xml:space="preserve"> </w:t>
      </w:r>
    </w:p>
    <w:p w:rsidR="002C0F56" w:rsidRDefault="00E67C6E">
      <w:pPr>
        <w:pStyle w:val="1"/>
        <w:spacing w:after="25" w:line="259" w:lineRule="auto"/>
        <w:ind w:right="306"/>
        <w:jc w:val="right"/>
      </w:pPr>
      <w:r>
        <w:t xml:space="preserve">Утоплова О.А. </w:t>
      </w:r>
      <w:r>
        <w:rPr>
          <w:b w:val="0"/>
        </w:rPr>
        <w:t>Научный руководитель: Корниенко Е.В., к.</w:t>
      </w:r>
      <w:r>
        <w:rPr>
          <w:b w:val="0"/>
        </w:rPr>
        <w:t xml:space="preserve">соц.н, доц. </w:t>
      </w:r>
    </w:p>
    <w:p w:rsidR="002C0F56" w:rsidRDefault="00E67C6E">
      <w:pPr>
        <w:spacing w:after="0" w:line="267" w:lineRule="auto"/>
        <w:ind w:left="905" w:right="311" w:hanging="10"/>
        <w:jc w:val="right"/>
      </w:pPr>
      <w:r>
        <w:rPr>
          <w:i/>
        </w:rPr>
        <w:t xml:space="preserve">Таганрогский институт управления и экономики </w:t>
      </w:r>
    </w:p>
    <w:p w:rsidR="002C0F56" w:rsidRDefault="00E67C6E">
      <w:pPr>
        <w:spacing w:after="0" w:line="259" w:lineRule="auto"/>
        <w:ind w:left="1558" w:firstLine="0"/>
        <w:jc w:val="left"/>
      </w:pPr>
      <w:r>
        <w:rPr>
          <w:b/>
        </w:rPr>
        <w:t xml:space="preserve"> </w:t>
      </w:r>
    </w:p>
    <w:p w:rsidR="002C0F56" w:rsidRDefault="00E67C6E">
      <w:pPr>
        <w:pStyle w:val="1"/>
        <w:ind w:left="700" w:right="2"/>
      </w:pPr>
      <w:r>
        <w:t xml:space="preserve">РАЗВИТИЕ КАДРОВОГО ПОТЕНЦИАЛА НА ПРЕДПРИЯТИЯХ РЕГИОНОВ (НА ПРИМЕРЕ  РОСТОВСКОЙ ОБЛАСТИ) </w:t>
      </w:r>
    </w:p>
    <w:p w:rsidR="002C0F56" w:rsidRDefault="00E67C6E">
      <w:pPr>
        <w:spacing w:after="0" w:line="259" w:lineRule="auto"/>
        <w:ind w:left="1558" w:firstLine="0"/>
        <w:jc w:val="left"/>
      </w:pPr>
      <w:r>
        <w:t xml:space="preserve"> </w:t>
      </w:r>
    </w:p>
    <w:p w:rsidR="002C0F56" w:rsidRDefault="00E67C6E">
      <w:pPr>
        <w:spacing w:after="0"/>
        <w:ind w:left="994" w:right="302"/>
      </w:pPr>
      <w:r>
        <w:t>В любой организации персонал является одной из важных единиц деятельности предприятия, а тем самым и кадровый потенциал выступает основой организации. Ведь благодаря кадрам формируется вся деятельность организации. Именно благодаря правильному использовани</w:t>
      </w:r>
      <w:r>
        <w:t>ю кадров, их расстановки и квалификации, организация приобретает преимущество в социальной и экономической сфере, а также место организации на рынке труда. На сегодняшний день не существует единого понятия кадрового потенциала, а также изучение кадрового п</w:t>
      </w:r>
      <w:r>
        <w:t xml:space="preserve">отенциала позволит решить множество проблем, как организации, так и всего региона. </w:t>
      </w:r>
    </w:p>
    <w:p w:rsidR="002C0F56" w:rsidRDefault="00E67C6E">
      <w:pPr>
        <w:ind w:left="994" w:right="302"/>
      </w:pPr>
      <w:r>
        <w:t xml:space="preserve">Цель работы – изучить понятие кадрового потенциала и проанализировать его на примере ростовской области. </w:t>
      </w:r>
    </w:p>
    <w:p w:rsidR="002C0F56" w:rsidRDefault="00E67C6E">
      <w:pPr>
        <w:ind w:left="1558" w:right="302" w:firstLine="0"/>
      </w:pPr>
      <w:r>
        <w:t xml:space="preserve">Данная цель определила следующие задачи: </w:t>
      </w:r>
    </w:p>
    <w:p w:rsidR="002C0F56" w:rsidRDefault="00E67C6E">
      <w:pPr>
        <w:numPr>
          <w:ilvl w:val="0"/>
          <w:numId w:val="260"/>
        </w:numPr>
        <w:spacing w:after="64"/>
        <w:ind w:right="302"/>
      </w:pPr>
      <w:r>
        <w:t xml:space="preserve">определить понятие «кадрового потенциала»; </w:t>
      </w:r>
    </w:p>
    <w:p w:rsidR="002C0F56" w:rsidRDefault="00E67C6E">
      <w:pPr>
        <w:numPr>
          <w:ilvl w:val="0"/>
          <w:numId w:val="260"/>
        </w:numPr>
        <w:spacing w:after="64"/>
        <w:ind w:right="302"/>
      </w:pPr>
      <w:r>
        <w:t xml:space="preserve">изучить теоретическую основу кадрового потенциала; </w:t>
      </w:r>
    </w:p>
    <w:p w:rsidR="002C0F56" w:rsidRDefault="00E67C6E">
      <w:pPr>
        <w:numPr>
          <w:ilvl w:val="0"/>
          <w:numId w:val="260"/>
        </w:numPr>
        <w:spacing w:after="11" w:line="270" w:lineRule="auto"/>
        <w:ind w:right="302"/>
      </w:pPr>
      <w:r>
        <w:t xml:space="preserve">проанализировать развитие кадрового потенциала в Ростовской области. </w:t>
      </w:r>
    </w:p>
    <w:p w:rsidR="002C0F56" w:rsidRDefault="00E67C6E">
      <w:pPr>
        <w:spacing w:after="0"/>
        <w:ind w:left="994" w:right="302"/>
      </w:pPr>
      <w:r>
        <w:lastRenderedPageBreak/>
        <w:t>Так, кадровый потенциал представляет собой сочетание личностных характеристик персонала их</w:t>
      </w:r>
      <w:r>
        <w:t xml:space="preserve"> специальных знаний, квалификации и опыта, а также потенциальных возможностей, которые в процессе трудовой деятельности могут быть активированы и использованы организацией для достижения поставленных краткосрочных или долгосрочных целей [1]. </w:t>
      </w:r>
    </w:p>
    <w:p w:rsidR="002C0F56" w:rsidRDefault="00E67C6E">
      <w:pPr>
        <w:spacing w:after="10"/>
        <w:ind w:left="994" w:right="302"/>
      </w:pPr>
      <w:r>
        <w:t>При этом на к</w:t>
      </w:r>
      <w:r>
        <w:t>адровый потенциал воздействуют два фактора: внешний и внутренний. К внешним относятся экономический, технический и социальный. Технический предполагает производительность труда, характер и содержание труда, в свою очередь, социальный – это качество трудово</w:t>
      </w:r>
      <w:r>
        <w:t>й жизни. И наконец, экономический фактор – это уровень безработицы, состояние экономики и многое другое. К внутренним факторам относятся такие факторы, как личностный, мотивационный и статусный потенциал. Личностный фактор это разного рода психофизиологиче</w:t>
      </w:r>
      <w:r>
        <w:t xml:space="preserve">ские элементы – знания, пол, возраст и так далее. А вот статусным потенциалом является признание и одобрение результатов работы вашими коллегами. Мотивационный фактор вызывает удовлетворенность своей работы [4]. </w:t>
      </w:r>
    </w:p>
    <w:p w:rsidR="002C0F56" w:rsidRDefault="00E67C6E">
      <w:pPr>
        <w:ind w:left="994" w:right="302"/>
      </w:pPr>
      <w:r>
        <w:t>Но не стоит забывать о том, что  необходимо</w:t>
      </w:r>
      <w:r>
        <w:t xml:space="preserve"> всегда учитывать ряд принципов, чтобы грамотно руководить кадровым потенциалом. Основными принципами развития кадрового потенциала выступают: </w:t>
      </w:r>
    </w:p>
    <w:p w:rsidR="002C0F56" w:rsidRDefault="00E67C6E">
      <w:pPr>
        <w:numPr>
          <w:ilvl w:val="0"/>
          <w:numId w:val="260"/>
        </w:numPr>
        <w:ind w:right="302"/>
      </w:pPr>
      <w:r>
        <w:t xml:space="preserve">системность (формирование таких элементов, которые бы позволили прийти к поставленной цели организации), </w:t>
      </w:r>
    </w:p>
    <w:p w:rsidR="002C0F56" w:rsidRDefault="00E67C6E">
      <w:pPr>
        <w:numPr>
          <w:ilvl w:val="0"/>
          <w:numId w:val="260"/>
        </w:numPr>
        <w:ind w:right="302"/>
      </w:pPr>
      <w:r>
        <w:t>эффект</w:t>
      </w:r>
      <w:r>
        <w:t xml:space="preserve">ивность(необходимость эффективного использования существующих ресурсов, посредством уменьшения издержек и повышения выручки), </w:t>
      </w:r>
    </w:p>
    <w:p w:rsidR="002C0F56" w:rsidRDefault="00E67C6E">
      <w:pPr>
        <w:numPr>
          <w:ilvl w:val="0"/>
          <w:numId w:val="260"/>
        </w:numPr>
        <w:ind w:right="302"/>
      </w:pPr>
      <w:r>
        <w:t xml:space="preserve">вознаграждение (справедливое и целенаправленное вознаграждение персонала, которое позволит получить максимум прибыли), </w:t>
      </w:r>
    </w:p>
    <w:p w:rsidR="002C0F56" w:rsidRDefault="00E67C6E">
      <w:pPr>
        <w:numPr>
          <w:ilvl w:val="0"/>
          <w:numId w:val="260"/>
        </w:numPr>
        <w:ind w:right="302"/>
      </w:pPr>
      <w:r>
        <w:t>цикличнос</w:t>
      </w:r>
      <w:r>
        <w:t xml:space="preserve">ть (повторяющийся процесс, результатом которого является единое целое из различных элементов организации, позволяющий определить общие закономерности процесса развития кадрового потенциала и прогнозировать его), </w:t>
      </w:r>
    </w:p>
    <w:p w:rsidR="002C0F56" w:rsidRDefault="00E67C6E">
      <w:pPr>
        <w:numPr>
          <w:ilvl w:val="0"/>
          <w:numId w:val="260"/>
        </w:numPr>
        <w:ind w:right="302"/>
      </w:pPr>
      <w:r>
        <w:t>текучесть кадров (это показатель, который д</w:t>
      </w:r>
      <w:r>
        <w:t xml:space="preserve">емонстрирует то, насколько долго работник остается на своем месте, и чем выше показатель, тем меньше стабильность в компании) [2]. </w:t>
      </w:r>
    </w:p>
    <w:p w:rsidR="002C0F56" w:rsidRDefault="00E67C6E">
      <w:pPr>
        <w:ind w:left="994" w:right="302"/>
      </w:pPr>
      <w:r>
        <w:t>Что касается развития кадрового потенциала в Ростовской области, то нами было отмечено, что потребность в профессиональном обучении с каждым годом растет в данном регионе. Это связано с появлением спроса на систематическое обучения персонала, а также дефиц</w:t>
      </w:r>
      <w:r>
        <w:t xml:space="preserve">ита специалистов рабочих профессий. Данная категория работников нуждается в обучении, так как на данный момент такие профессии не востребованы, и необходимо обучать имеющихся сотрудников [3]. </w:t>
      </w:r>
    </w:p>
    <w:p w:rsidR="002C0F56" w:rsidRDefault="00E67C6E">
      <w:pPr>
        <w:spacing w:after="4"/>
        <w:ind w:left="994" w:right="302"/>
      </w:pPr>
      <w:r>
        <w:lastRenderedPageBreak/>
        <w:t xml:space="preserve"> Выделяют два основных вида обучения   персонала – это професси</w:t>
      </w:r>
      <w:r>
        <w:t xml:space="preserve">ональное и дополнительное профессиональное обучение. Так, число предприятий, проводивших профессиональное обучение кадров, составило 77,0% от общего числа обследованных организаций (в 2015 году – 75,3%). Обучение проводилось как на самих предприятиях, так </w:t>
      </w:r>
      <w:r>
        <w:t xml:space="preserve">и в образовательных учреждениях. </w:t>
      </w:r>
    </w:p>
    <w:p w:rsidR="002C0F56" w:rsidRDefault="00E67C6E">
      <w:pPr>
        <w:spacing w:after="6"/>
        <w:ind w:left="994" w:right="302"/>
      </w:pPr>
      <w:r>
        <w:t xml:space="preserve">Более 40% от общего числа сотрудников, охваченных различными видами профессиональной подготовки, </w:t>
      </w:r>
      <w:r>
        <w:rPr>
          <w:i/>
        </w:rPr>
        <w:t>профессиональное обучение</w:t>
      </w:r>
      <w:r>
        <w:t xml:space="preserve"> прошли 29,8 тыс. человек. Из них 16,1 тыс. человек прошли профобучение по программе повышения квали</w:t>
      </w:r>
      <w:r>
        <w:t xml:space="preserve">фикации рабочих и служащих в целях последовательного совершенствования профессиональных знаний, умений и навыков по имеющейся профессии рабочего или имеющейся должности служащего. </w:t>
      </w:r>
    </w:p>
    <w:p w:rsidR="002C0F56" w:rsidRDefault="00E67C6E">
      <w:pPr>
        <w:spacing w:after="9"/>
        <w:ind w:left="994" w:right="302"/>
      </w:pPr>
      <w:r>
        <w:t xml:space="preserve">Число работников по рабочим профессиям, повысивших квалификацию, составило </w:t>
      </w:r>
      <w:r>
        <w:t xml:space="preserve">12,2 тыс. человек; руководителей, специалистов и других служащих – 3,9 тыс. человек. </w:t>
      </w:r>
    </w:p>
    <w:p w:rsidR="002C0F56" w:rsidRDefault="00E67C6E">
      <w:pPr>
        <w:ind w:left="994" w:right="302"/>
      </w:pPr>
      <w:r>
        <w:t>За 2016 год численность работников, получивших дополнительное профессиональное образование, составило 21,8 тыс. человек. Из них по программе повышения квалификации – 16,1</w:t>
      </w:r>
      <w:r>
        <w:t xml:space="preserve"> тыс. человек; по программе профессиональной переподготовки – 5,7 тыс. человек [5]. </w:t>
      </w:r>
    </w:p>
    <w:p w:rsidR="002C0F56" w:rsidRDefault="00E67C6E">
      <w:pPr>
        <w:ind w:left="994" w:right="302"/>
      </w:pPr>
      <w:r>
        <w:t>Объем средств, направленных предприятиями на обучение персонала  увеличился в 2016 году на 4,3% и составил 514 млн. 645,3 тыс. рублей.   Затраты на обучение одного работни</w:t>
      </w:r>
      <w:r>
        <w:t xml:space="preserve">ка выросли по сравнению с 2015 годом на 25,4% и составили 7,06 тыс. рублей (в 2015 году – 5,63 тыс. руб.). </w:t>
      </w:r>
    </w:p>
    <w:p w:rsidR="002C0F56" w:rsidRDefault="00E67C6E">
      <w:pPr>
        <w:ind w:left="994" w:right="302"/>
      </w:pPr>
      <w:r>
        <w:t>Несмотря на проводимую работу по профессиональной подготовке, переподготовке кадров на предприятиях и организациях области,</w:t>
      </w:r>
      <w:r>
        <w:rPr>
          <w:b/>
        </w:rPr>
        <w:t xml:space="preserve"> </w:t>
      </w:r>
      <w:r>
        <w:t>остается высокой</w:t>
      </w:r>
      <w:r>
        <w:rPr>
          <w:b/>
        </w:rPr>
        <w:t xml:space="preserve"> </w:t>
      </w:r>
      <w:r>
        <w:t>потребн</w:t>
      </w:r>
      <w:r>
        <w:t>ость в квалифицированных кадрах. Из общей потребности работодателей в кадрах, основная доля (73,9%) приходится на рабочие профессии. Из числа рабочих наиболее востребованы следующие профессии: водители категории B, C, E; продавцы; слесари; рабочие строител</w:t>
      </w:r>
      <w:r>
        <w:t xml:space="preserve">ьных профессий; токари; электрогазосварщики; трактористы и др. Из числа специалистов: агрономы, врачи всех направлений; медицинские сестры; воспитатели; инженеры. К сожалению, проблема несоответствия спроса и предложения рабочей силы, остается актуальной. </w:t>
      </w:r>
    </w:p>
    <w:p w:rsidR="002C0F56" w:rsidRDefault="00E67C6E">
      <w:pPr>
        <w:spacing w:after="0"/>
        <w:ind w:left="994" w:right="302"/>
      </w:pPr>
      <w:r>
        <w:t>Таким образом, развитие кадрового потенциала в организации является самой важной составляющей. Чем больше сотрудник компании имеет знаний, навыков, тем больше пользы он принесет организации. Но обучения не всегда может решить вопрос нехватки специалистов,</w:t>
      </w:r>
      <w:r>
        <w:t xml:space="preserve"> как было отмечено в Ростовской области. При этом, в Ростовской области наблюдается активное развитие кадрового потенциала, это подтверждается большим количеством обучения персонала в различных организациях.  </w:t>
      </w:r>
    </w:p>
    <w:p w:rsidR="002C0F56" w:rsidRDefault="00E67C6E">
      <w:pPr>
        <w:spacing w:after="5"/>
        <w:ind w:left="994" w:right="302"/>
      </w:pPr>
      <w:r>
        <w:lastRenderedPageBreak/>
        <w:t>Необходимо учитывать множество факторов, но сф</w:t>
      </w:r>
      <w:r>
        <w:t>ормировав кадровый резерв и развивая кадровый потенциал, организация повышает свои возможности на рынке. Также можно сделать вывод, что чем больше вкладывается средств в обучение и развитие кадрового потенциала, тем выше производительность труда сотруднико</w:t>
      </w:r>
      <w:r>
        <w:t xml:space="preserve">в, качество работы и своевременное ее выполнение.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61"/>
        </w:numPr>
        <w:ind w:right="302"/>
      </w:pPr>
      <w:r>
        <w:t xml:space="preserve">Бухалков М.И. Управление персоналом: развитие трудового потенциала: Учебное пособие / М.И. Бухалков. – М.: НИЦ ИНФРА-М, 2014. – 192 с.  </w:t>
      </w:r>
    </w:p>
    <w:p w:rsidR="002C0F56" w:rsidRDefault="00E67C6E">
      <w:pPr>
        <w:numPr>
          <w:ilvl w:val="0"/>
          <w:numId w:val="261"/>
        </w:numPr>
        <w:ind w:right="302"/>
      </w:pPr>
      <w:r>
        <w:t>Галенко В.П., Страхова О.А., Файбушевич С.И. У</w:t>
      </w:r>
      <w:r>
        <w:t xml:space="preserve">правление персоналом и эффективность предприятий: Учеб. пособие. – СПб.: СПбУЭФ, 2013. – 452 с. </w:t>
      </w:r>
    </w:p>
    <w:p w:rsidR="002C0F56" w:rsidRDefault="00E67C6E">
      <w:pPr>
        <w:numPr>
          <w:ilvl w:val="0"/>
          <w:numId w:val="261"/>
        </w:numPr>
        <w:ind w:right="302"/>
      </w:pPr>
      <w:r>
        <w:t xml:space="preserve">Гонова, А. Управление человеческими ресурсами / А. Гонова // Проблемы теории и практики управления. - 2013. - № 7. - с. 45-53. </w:t>
      </w:r>
    </w:p>
    <w:p w:rsidR="002C0F56" w:rsidRDefault="00E67C6E">
      <w:pPr>
        <w:numPr>
          <w:ilvl w:val="0"/>
          <w:numId w:val="261"/>
        </w:numPr>
        <w:ind w:right="302"/>
      </w:pPr>
      <w:r>
        <w:t>Кибанов, А.Я. Управление персон</w:t>
      </w:r>
      <w:r>
        <w:t xml:space="preserve">алом организации: Учебник / Под ред. А.Я. Кибанова. - М.: ИНФРА-М, 2015. - 638 с. </w:t>
      </w:r>
    </w:p>
    <w:p w:rsidR="002C0F56" w:rsidRDefault="00E67C6E">
      <w:pPr>
        <w:numPr>
          <w:ilvl w:val="0"/>
          <w:numId w:val="261"/>
        </w:numPr>
        <w:ind w:right="302"/>
      </w:pPr>
      <w:r>
        <w:t>Официальный сайт Министерства труда и социального развития ростовской области –</w:t>
      </w:r>
      <w:hyperlink r:id="rId1347">
        <w:r>
          <w:t xml:space="preserve"> </w:t>
        </w:r>
      </w:hyperlink>
      <w:hyperlink r:id="rId1348">
        <w:r>
          <w:t>http://mintrud.donland.ru</w:t>
        </w:r>
      </w:hyperlink>
      <w:hyperlink r:id="rId1349">
        <w:r>
          <w:t xml:space="preserve"> </w:t>
        </w:r>
      </w:hyperlink>
      <w:r>
        <w:t xml:space="preserve">(дата обращения 20.04.2017 года). </w:t>
      </w:r>
    </w:p>
    <w:p w:rsidR="002C0F56" w:rsidRDefault="00E67C6E">
      <w:pPr>
        <w:spacing w:after="0" w:line="259" w:lineRule="auto"/>
        <w:ind w:left="1558" w:firstLine="0"/>
        <w:jc w:val="left"/>
      </w:pPr>
      <w:r>
        <w:t xml:space="preserve"> </w:t>
      </w:r>
    </w:p>
    <w:p w:rsidR="002C0F56" w:rsidRDefault="00E67C6E">
      <w:pPr>
        <w:spacing w:after="29" w:line="259" w:lineRule="auto"/>
        <w:ind w:left="1558" w:firstLine="0"/>
        <w:jc w:val="left"/>
      </w:pPr>
      <w:r>
        <w:t xml:space="preserve"> </w:t>
      </w:r>
    </w:p>
    <w:p w:rsidR="002C0F56" w:rsidRDefault="00E67C6E">
      <w:pPr>
        <w:spacing w:after="25" w:line="259" w:lineRule="auto"/>
        <w:ind w:left="10" w:right="309" w:hanging="10"/>
        <w:jc w:val="right"/>
      </w:pPr>
      <w:r>
        <w:rPr>
          <w:b/>
        </w:rPr>
        <w:t xml:space="preserve">Фатхелбаянов Р.М. </w:t>
      </w:r>
    </w:p>
    <w:p w:rsidR="002C0F56" w:rsidRDefault="00E67C6E">
      <w:pPr>
        <w:spacing w:after="11" w:line="270" w:lineRule="auto"/>
        <w:ind w:left="10" w:right="309" w:hanging="10"/>
        <w:jc w:val="right"/>
      </w:pPr>
      <w:r>
        <w:t xml:space="preserve">Научный руководитель: Сатарова М.Н., к.э.н., доц.  </w:t>
      </w:r>
    </w:p>
    <w:p w:rsidR="002C0F56" w:rsidRDefault="00E67C6E">
      <w:pPr>
        <w:spacing w:after="0" w:line="267" w:lineRule="auto"/>
        <w:ind w:left="905" w:right="313" w:hanging="10"/>
        <w:jc w:val="right"/>
      </w:pPr>
      <w:r>
        <w:rPr>
          <w:i/>
        </w:rPr>
        <w:t xml:space="preserve">Стерлитамакский филиал Башкирского государственного университета </w:t>
      </w:r>
    </w:p>
    <w:p w:rsidR="002C0F56" w:rsidRDefault="00E67C6E">
      <w:pPr>
        <w:spacing w:after="0" w:line="259" w:lineRule="auto"/>
        <w:ind w:left="1558" w:firstLine="0"/>
        <w:jc w:val="left"/>
      </w:pPr>
      <w:r>
        <w:t xml:space="preserve"> </w:t>
      </w:r>
    </w:p>
    <w:p w:rsidR="002C0F56" w:rsidRDefault="00E67C6E">
      <w:pPr>
        <w:pStyle w:val="1"/>
        <w:spacing w:after="15" w:line="271" w:lineRule="auto"/>
        <w:ind w:left="1335" w:right="0"/>
        <w:jc w:val="left"/>
      </w:pPr>
      <w:r>
        <w:t>БЕЗРАБ</w:t>
      </w:r>
      <w:r>
        <w:t xml:space="preserve">ОТИЦА В РЕСПУБЛИКЕ БАШКОРТОСТАН В УСЛОВИЯХ </w:t>
      </w:r>
    </w:p>
    <w:p w:rsidR="002C0F56" w:rsidRDefault="00E67C6E">
      <w:pPr>
        <w:pStyle w:val="1"/>
        <w:ind w:left="700" w:right="5"/>
      </w:pPr>
      <w:r>
        <w:t xml:space="preserve">ЭКОНОМИЧЕСКИХ САНКЦИЙ </w:t>
      </w:r>
    </w:p>
    <w:p w:rsidR="002C0F56" w:rsidRDefault="00E67C6E">
      <w:pPr>
        <w:spacing w:after="25" w:line="259" w:lineRule="auto"/>
        <w:ind w:left="1558" w:firstLine="0"/>
        <w:jc w:val="left"/>
      </w:pPr>
      <w:r>
        <w:t xml:space="preserve"> </w:t>
      </w:r>
    </w:p>
    <w:p w:rsidR="002C0F56" w:rsidRDefault="00E67C6E">
      <w:pPr>
        <w:spacing w:after="2"/>
        <w:ind w:left="994" w:right="302"/>
      </w:pPr>
      <w:r>
        <w:t xml:space="preserve"> </w:t>
      </w:r>
      <w:r>
        <w:t xml:space="preserve">Актуальность данной статьи выражена тем, что в условиях экономических санкций, государственные и коммерческие учреждения и организации Республики Башкортостан вынуждены экономить денежные средства для недопущения банкротства в частности и дефолта в целом. </w:t>
      </w:r>
      <w:r>
        <w:t xml:space="preserve"> </w:t>
      </w:r>
    </w:p>
    <w:p w:rsidR="002C0F56" w:rsidRDefault="00E67C6E">
      <w:pPr>
        <w:ind w:left="994" w:right="302"/>
      </w:pPr>
      <w:r>
        <w:t>Коммерческие предприятия Башкирии, которые до введения санкций изготавливали n-ую сумму товаров, сейчас вынуждены производить меньше, так как экспорт большей части товаров российского производства в США и страны Евросоюза запрещен, следовательно, идет ум</w:t>
      </w:r>
      <w:r>
        <w:t xml:space="preserve">еньшение объемов производства и сокращение рабочей силы. </w:t>
      </w:r>
    </w:p>
    <w:p w:rsidR="002C0F56" w:rsidRDefault="00E67C6E">
      <w:pPr>
        <w:ind w:left="994" w:right="302"/>
      </w:pPr>
      <w:r>
        <w:lastRenderedPageBreak/>
        <w:t xml:space="preserve"> Государственных учреждений Республики Башкортостан проблема безработицы тоже коснулась, ведь с введением санкций, муниципальным образованиям, начиная с 2017 года, уменьшили лимиты бюджетных обязате</w:t>
      </w:r>
      <w:r>
        <w:t xml:space="preserve">льств почти в 2 раза, а, значит, нет необходимости содержать большое количество госслужащих для освоения бюджетных средств. </w:t>
      </w:r>
    </w:p>
    <w:p w:rsidR="002C0F56" w:rsidRDefault="00E67C6E">
      <w:pPr>
        <w:spacing w:after="0"/>
        <w:ind w:left="994" w:right="302"/>
      </w:pPr>
      <w:r>
        <w:t>Начиная с 2014 года, уровень безработицы в Республике Башкортостан начал расти быстрыми темпами и связано это, прежде всего, с экон</w:t>
      </w:r>
      <w:r>
        <w:t>омическими санкциями, которые США и страны Евросоюза ввели по отношению к Российской Федерации. Ни для кого не секрет, что основной доход в бюджет Российской Федерации поступает от экспорта нефтепродуктов и страны Запада это знают и активно пользуются этим</w:t>
      </w:r>
      <w:r>
        <w:t>, снижая цены на нефть и, тем самым, расшатывают экономику нашего государства. В ряде крупных нефтегазовых компаний Республики Башкортостан, таких как АНК «Башнефть» и ОАО «Башкирнефтепродукт», проходят массовые сокращения, что приводит к росту безработицы</w:t>
      </w:r>
      <w:r>
        <w:t xml:space="preserve">.  </w:t>
      </w:r>
    </w:p>
    <w:p w:rsidR="002C0F56" w:rsidRDefault="00E67C6E">
      <w:pPr>
        <w:ind w:left="994" w:right="302"/>
      </w:pPr>
      <w:r>
        <w:t>Сокращения штатов организаций нефтегазовой отрасли происходят по причине резкого снижения цен за баррель нефти. В 2014 году цена за баррель нефти составляла $110, а в 2017 году она составляет $52,74, что, несомненно, вынуждает крупные организации Башки</w:t>
      </w:r>
      <w:r>
        <w:t xml:space="preserve">рии оптимизировать штатное расписание.  </w:t>
      </w:r>
    </w:p>
    <w:p w:rsidR="002C0F56" w:rsidRDefault="00E67C6E">
      <w:pPr>
        <w:spacing w:after="10"/>
        <w:ind w:left="994" w:right="302"/>
      </w:pPr>
      <w:r>
        <w:t xml:space="preserve">Трудоспособное население Республики Башкортостан, которое состоит на учете в центре занятости населения, с трудом находят работу по профилю, потому что у потенциальных работодателей нет потребности в работниках. </w:t>
      </w:r>
    </w:p>
    <w:p w:rsidR="002C0F56" w:rsidRDefault="00E67C6E">
      <w:pPr>
        <w:ind w:left="994" w:right="302"/>
      </w:pPr>
      <w:r>
        <w:t xml:space="preserve">В </w:t>
      </w:r>
      <w:r>
        <w:t xml:space="preserve">2014 году уровень безработицы в Башкирии составлял 5,3%, с конца 2015 года по начало 2017 года уровень безработицы вырос на 0,8%, т.е. до 6,1%  и держится на этом уровне 1,5 года по сравнению с показателями 2014 года.  </w:t>
      </w:r>
    </w:p>
    <w:p w:rsidR="002C0F56" w:rsidRDefault="00E67C6E">
      <w:pPr>
        <w:spacing w:after="10"/>
        <w:ind w:left="994" w:right="302"/>
      </w:pPr>
      <w:r>
        <w:t>Для сравнения уровня безработицы в Р</w:t>
      </w:r>
      <w:r>
        <w:t xml:space="preserve">еспублике Башкортостан, приведу пример в виде графика, в котором укажу динамику уровня безработицы в Республике Башкортостан и Российской Федерации с 2009 по 2016 года. </w:t>
      </w:r>
    </w:p>
    <w:p w:rsidR="002C0F56" w:rsidRDefault="00E67C6E">
      <w:pPr>
        <w:spacing w:after="0" w:line="259" w:lineRule="auto"/>
        <w:ind w:left="1558" w:right="1608" w:firstLine="0"/>
        <w:jc w:val="left"/>
      </w:pPr>
      <w:r>
        <w:t xml:space="preserve"> </w:t>
      </w:r>
    </w:p>
    <w:p w:rsidR="002C0F56" w:rsidRDefault="00E67C6E">
      <w:pPr>
        <w:spacing w:after="0" w:line="259" w:lineRule="auto"/>
        <w:ind w:left="0" w:right="1536" w:firstLine="0"/>
        <w:jc w:val="right"/>
      </w:pPr>
      <w:r>
        <w:rPr>
          <w:noProof/>
        </w:rPr>
        <w:lastRenderedPageBreak/>
        <w:drawing>
          <wp:inline distT="0" distB="0" distL="0" distR="0">
            <wp:extent cx="4114800" cy="2715260"/>
            <wp:effectExtent l="0" t="0" r="0" b="0"/>
            <wp:docPr id="79233" name="Picture 79233"/>
            <wp:cNvGraphicFramePr/>
            <a:graphic xmlns:a="http://schemas.openxmlformats.org/drawingml/2006/main">
              <a:graphicData uri="http://schemas.openxmlformats.org/drawingml/2006/picture">
                <pic:pic xmlns:pic="http://schemas.openxmlformats.org/drawingml/2006/picture">
                  <pic:nvPicPr>
                    <pic:cNvPr id="79233" name="Picture 79233"/>
                    <pic:cNvPicPr/>
                  </pic:nvPicPr>
                  <pic:blipFill>
                    <a:blip r:embed="rId1350"/>
                    <a:stretch>
                      <a:fillRect/>
                    </a:stretch>
                  </pic:blipFill>
                  <pic:spPr>
                    <a:xfrm>
                      <a:off x="0" y="0"/>
                      <a:ext cx="4114800" cy="2715260"/>
                    </a:xfrm>
                    <a:prstGeom prst="rect">
                      <a:avLst/>
                    </a:prstGeom>
                  </pic:spPr>
                </pic:pic>
              </a:graphicData>
            </a:graphic>
          </wp:inline>
        </w:drawing>
      </w:r>
      <w:r>
        <w:t xml:space="preserve"> </w:t>
      </w:r>
    </w:p>
    <w:p w:rsidR="002C0F56" w:rsidRDefault="00E67C6E">
      <w:pPr>
        <w:spacing w:after="5" w:line="271" w:lineRule="auto"/>
        <w:ind w:left="4396" w:right="396" w:hanging="2761"/>
        <w:jc w:val="left"/>
      </w:pPr>
      <w:r>
        <w:rPr>
          <w:b/>
          <w:sz w:val="24"/>
        </w:rPr>
        <w:t>Рис. 1. Динамика уровня безработицы в Республике Башкортостан и Российской Федера</w:t>
      </w:r>
      <w:r>
        <w:rPr>
          <w:b/>
          <w:sz w:val="24"/>
        </w:rPr>
        <w:t xml:space="preserve">ции в 2009-2015 гг. </w:t>
      </w:r>
    </w:p>
    <w:p w:rsidR="002C0F56" w:rsidRDefault="00E67C6E">
      <w:pPr>
        <w:spacing w:after="25" w:line="259" w:lineRule="auto"/>
        <w:ind w:left="1558" w:firstLine="0"/>
        <w:jc w:val="left"/>
      </w:pPr>
      <w:r>
        <w:t xml:space="preserve"> </w:t>
      </w:r>
    </w:p>
    <w:p w:rsidR="002C0F56" w:rsidRDefault="00E67C6E">
      <w:pPr>
        <w:spacing w:after="15"/>
        <w:ind w:left="994" w:right="302"/>
      </w:pPr>
      <w:r>
        <w:t xml:space="preserve"> В период с 2014 года по 2016 год потребность в работниках у организаций республики Башкортостан резко сократилась с 306,4 тыс. вакансий в 2014 году (278,1 по рабочим профессиям) до 189,4 тыс. в 2015 году и до 23,2 тыс. </w:t>
      </w:r>
    </w:p>
    <w:p w:rsidR="002C0F56" w:rsidRDefault="00E67C6E">
      <w:pPr>
        <w:spacing w:after="12"/>
        <w:ind w:left="994" w:right="302" w:firstLine="0"/>
      </w:pPr>
      <w:r>
        <w:t xml:space="preserve">вакансий в 2016 году [1]. </w:t>
      </w:r>
    </w:p>
    <w:p w:rsidR="002C0F56" w:rsidRDefault="00E67C6E">
      <w:pPr>
        <w:spacing w:after="0" w:line="259" w:lineRule="auto"/>
        <w:ind w:left="1558" w:right="1224" w:firstLine="0"/>
        <w:jc w:val="left"/>
      </w:pPr>
      <w:r>
        <w:t xml:space="preserve"> </w:t>
      </w:r>
    </w:p>
    <w:p w:rsidR="002C0F56" w:rsidRDefault="00E67C6E">
      <w:pPr>
        <w:spacing w:after="0" w:line="259" w:lineRule="auto"/>
        <w:ind w:left="0" w:right="1152" w:firstLine="0"/>
        <w:jc w:val="right"/>
      </w:pPr>
      <w:r>
        <w:rPr>
          <w:noProof/>
        </w:rPr>
        <w:drawing>
          <wp:inline distT="0" distB="0" distL="0" distR="0">
            <wp:extent cx="4601210" cy="2324100"/>
            <wp:effectExtent l="0" t="0" r="0" b="0"/>
            <wp:docPr id="79276" name="Picture 79276"/>
            <wp:cNvGraphicFramePr/>
            <a:graphic xmlns:a="http://schemas.openxmlformats.org/drawingml/2006/main">
              <a:graphicData uri="http://schemas.openxmlformats.org/drawingml/2006/picture">
                <pic:pic xmlns:pic="http://schemas.openxmlformats.org/drawingml/2006/picture">
                  <pic:nvPicPr>
                    <pic:cNvPr id="79276" name="Picture 79276"/>
                    <pic:cNvPicPr/>
                  </pic:nvPicPr>
                  <pic:blipFill>
                    <a:blip r:embed="rId1351"/>
                    <a:stretch>
                      <a:fillRect/>
                    </a:stretch>
                  </pic:blipFill>
                  <pic:spPr>
                    <a:xfrm>
                      <a:off x="0" y="0"/>
                      <a:ext cx="4601210" cy="2324100"/>
                    </a:xfrm>
                    <a:prstGeom prst="rect">
                      <a:avLst/>
                    </a:prstGeom>
                  </pic:spPr>
                </pic:pic>
              </a:graphicData>
            </a:graphic>
          </wp:inline>
        </w:drawing>
      </w:r>
      <w:r>
        <w:t xml:space="preserve"> </w:t>
      </w:r>
    </w:p>
    <w:p w:rsidR="002C0F56" w:rsidRDefault="00E67C6E">
      <w:pPr>
        <w:spacing w:after="0" w:line="259" w:lineRule="auto"/>
        <w:ind w:left="1558" w:firstLine="0"/>
        <w:jc w:val="left"/>
      </w:pPr>
      <w:r>
        <w:t xml:space="preserve"> </w:t>
      </w:r>
    </w:p>
    <w:p w:rsidR="002C0F56" w:rsidRDefault="00E67C6E">
      <w:pPr>
        <w:spacing w:after="5" w:line="271" w:lineRule="auto"/>
        <w:ind w:left="2190" w:right="396" w:hanging="10"/>
        <w:jc w:val="left"/>
      </w:pPr>
      <w:r>
        <w:rPr>
          <w:b/>
          <w:sz w:val="24"/>
        </w:rPr>
        <w:t xml:space="preserve">Рис. 2. Динамика вакансий в Республике Башкортостан в 2010-2015 гг. </w:t>
      </w:r>
    </w:p>
    <w:p w:rsidR="002C0F56" w:rsidRDefault="00E67C6E">
      <w:pPr>
        <w:spacing w:after="25" w:line="259" w:lineRule="auto"/>
        <w:ind w:left="1558" w:firstLine="0"/>
        <w:jc w:val="left"/>
      </w:pPr>
      <w:r>
        <w:t xml:space="preserve"> </w:t>
      </w:r>
    </w:p>
    <w:p w:rsidR="002C0F56" w:rsidRDefault="00E67C6E">
      <w:pPr>
        <w:spacing w:after="0"/>
        <w:ind w:left="994" w:right="302"/>
      </w:pPr>
      <w:r>
        <w:t xml:space="preserve"> С целью снижения уровня безработицы, Правительство Республики Башкортостан еще в 2015 году издало Постановление №182 «О программе </w:t>
      </w:r>
    </w:p>
    <w:p w:rsidR="002C0F56" w:rsidRDefault="00E67C6E">
      <w:pPr>
        <w:spacing w:after="0"/>
        <w:ind w:left="994" w:right="302" w:firstLine="0"/>
      </w:pPr>
      <w:r>
        <w:t>«Дополнительные мер</w:t>
      </w:r>
      <w:r>
        <w:t xml:space="preserve">оприятия по снижению напряженности на рынке труда Республики Башкортостан»», в котором Министерство труда и социальной защиты Республики Башкортостан предложило пять направлений стабилизации рынка труда: организацию временных работ на системообразующих </w:t>
      </w:r>
      <w:r>
        <w:lastRenderedPageBreak/>
        <w:t>пре</w:t>
      </w:r>
      <w:r>
        <w:t>дприятиях; опережающее обучение работников, находящихся под угрозой увольнения; грантовую поддержку молодежных бизнес-проектов, ориентированных на оказание социальной помощи; стимулирование приема на работу инвалидов и предоставление субсидий частным кадро</w:t>
      </w:r>
      <w:r>
        <w:t xml:space="preserve">вым агентствам </w:t>
      </w:r>
    </w:p>
    <w:p w:rsidR="002C0F56" w:rsidRDefault="00E67C6E">
      <w:pPr>
        <w:spacing w:after="12"/>
        <w:ind w:left="994" w:right="302" w:firstLine="0"/>
      </w:pPr>
      <w:r>
        <w:t xml:space="preserve">[2]. </w:t>
      </w:r>
    </w:p>
    <w:p w:rsidR="002C0F56" w:rsidRDefault="00E67C6E">
      <w:pPr>
        <w:spacing w:after="0"/>
        <w:ind w:left="994" w:right="302"/>
      </w:pPr>
      <w:r>
        <w:t>На организацию временной занятости в республике было предусмотрено 192 млн.  рублей. Средства распределили между 12 ведущими предприятиями республики, на которых планировалось организовать временное трудоустройство работников, находящ</w:t>
      </w:r>
      <w:r>
        <w:t xml:space="preserve">ихся под риском увольнения, а также граждан, ищущих работу. Это Башкирские художественные промыслы «Агидель», Белорецкий металлургический комбинат, ОАО «Искож» и другие предприятия.  </w:t>
      </w:r>
    </w:p>
    <w:p w:rsidR="002C0F56" w:rsidRDefault="00E67C6E">
      <w:pPr>
        <w:spacing w:after="0"/>
        <w:ind w:left="994" w:right="302"/>
      </w:pPr>
      <w:r>
        <w:t xml:space="preserve">На реализацию мер по опережающему обучению работников из 17 предприятий </w:t>
      </w:r>
      <w:r>
        <w:t>республики, находящихся под риском увольнения, заложено 186 млн. рублей. Что касается поддержки молодежи, гранты в размере 300 тысяч рублей получат индивидуальные предприниматели в возрасте от 22 до 30 лет или социально-ориентированные некоммерческие орган</w:t>
      </w:r>
      <w:r>
        <w:t xml:space="preserve">изации республики, представившие бизнес-планы, ориентированные на оказание социальной помощи инвалидам, лицам пенсионного возраста, по оказанию услуг присмотра за детьми и проекты, направленные на патриотическое воспитание. В рамках данных проектов должны </w:t>
      </w:r>
      <w:r>
        <w:t xml:space="preserve">быть созданы дополнительные рабочие места. На содействие социальной занятости инвалидов в программе было выделено 24 млн. рублей. </w:t>
      </w:r>
    </w:p>
    <w:p w:rsidR="002C0F56" w:rsidRDefault="00E67C6E">
      <w:pPr>
        <w:spacing w:after="2"/>
        <w:ind w:left="994" w:right="302"/>
      </w:pPr>
      <w:r>
        <w:t xml:space="preserve">В результате принятия таких мер, было создано 3200 временных рабочих мест, 3100 работников организаций после прохождения профессионального обучения были обеспечены трудовой занятостью, а также было сохранено 300 рабочих мест для инвалидов. </w:t>
      </w:r>
    </w:p>
    <w:p w:rsidR="002C0F56" w:rsidRDefault="00E67C6E">
      <w:pPr>
        <w:spacing w:after="2"/>
        <w:ind w:left="994" w:right="302"/>
      </w:pPr>
      <w:r>
        <w:t xml:space="preserve">На сегодняшний </w:t>
      </w:r>
      <w:r>
        <w:t xml:space="preserve">день Правительство Республики Башкортостан активно противостоит негативным воздействиям от экономических санкций и пытается выработать систему, которая позволит пусть не снизить уровень безработицы, а хотя бы удержать его на одном уровне. </w:t>
      </w:r>
    </w:p>
    <w:p w:rsidR="002C0F56" w:rsidRDefault="00E67C6E">
      <w:pPr>
        <w:spacing w:after="25" w:line="259" w:lineRule="auto"/>
        <w:ind w:left="1558" w:firstLine="0"/>
        <w:jc w:val="left"/>
      </w:pPr>
      <w:r>
        <w:t xml:space="preserve"> </w:t>
      </w:r>
    </w:p>
    <w:p w:rsidR="002C0F56" w:rsidRDefault="00E67C6E">
      <w:pPr>
        <w:spacing w:after="15" w:line="268" w:lineRule="auto"/>
        <w:ind w:left="1262" w:right="2" w:hanging="10"/>
        <w:jc w:val="center"/>
      </w:pPr>
      <w:r>
        <w:t>Список литерат</w:t>
      </w:r>
      <w:r>
        <w:t xml:space="preserve">уры: </w:t>
      </w:r>
    </w:p>
    <w:p w:rsidR="002C0F56" w:rsidRDefault="00E67C6E">
      <w:pPr>
        <w:numPr>
          <w:ilvl w:val="0"/>
          <w:numId w:val="262"/>
        </w:numPr>
        <w:ind w:right="302"/>
      </w:pPr>
      <w:r>
        <w:t xml:space="preserve">Доклад министра труда и социальной защиты населения Республики Башкортостан Л. Х. Ивановой на расширенном заседании Коллегии Министерства труда и социальной защиты населения РБ 18 февраля 2016 г. </w:t>
      </w:r>
    </w:p>
    <w:p w:rsidR="002C0F56" w:rsidRDefault="00E67C6E">
      <w:pPr>
        <w:numPr>
          <w:ilvl w:val="0"/>
          <w:numId w:val="262"/>
        </w:numPr>
        <w:spacing w:after="10"/>
        <w:ind w:right="302"/>
      </w:pPr>
      <w:r>
        <w:t>Постановление №182 Правительства Республики Башкортос</w:t>
      </w:r>
      <w:r>
        <w:t xml:space="preserve">тан «О программе «Дополнительные мероприятия по снижению напряженности на рынке труда Республики Башкортостан»» </w:t>
      </w:r>
    </w:p>
    <w:p w:rsidR="002C0F56" w:rsidRDefault="00E67C6E">
      <w:pPr>
        <w:spacing w:after="0" w:line="259" w:lineRule="auto"/>
        <w:ind w:left="1558" w:firstLine="0"/>
        <w:jc w:val="left"/>
      </w:pPr>
      <w:r>
        <w:t xml:space="preserve"> </w:t>
      </w:r>
    </w:p>
    <w:p w:rsidR="002C0F56" w:rsidRDefault="00E67C6E">
      <w:pPr>
        <w:spacing w:after="24" w:line="259" w:lineRule="auto"/>
        <w:ind w:left="1558" w:firstLine="0"/>
        <w:jc w:val="left"/>
      </w:pPr>
      <w:r>
        <w:lastRenderedPageBreak/>
        <w:t xml:space="preserve"> </w:t>
      </w:r>
    </w:p>
    <w:p w:rsidR="002C0F56" w:rsidRDefault="00E67C6E">
      <w:pPr>
        <w:ind w:left="5960" w:right="302" w:firstLine="130"/>
      </w:pPr>
      <w:r>
        <w:rPr>
          <w:b/>
        </w:rPr>
        <w:t xml:space="preserve">Федоренков В. С., Гарбацевич В. И. </w:t>
      </w:r>
      <w:r>
        <w:t xml:space="preserve">Научный руководитель: Кулакова Н.Л. </w:t>
      </w:r>
    </w:p>
    <w:p w:rsidR="002C0F56" w:rsidRDefault="00E67C6E">
      <w:pPr>
        <w:spacing w:after="0" w:line="267" w:lineRule="auto"/>
        <w:ind w:left="905" w:right="310" w:hanging="10"/>
        <w:jc w:val="right"/>
      </w:pPr>
      <w:r>
        <w:rPr>
          <w:i/>
        </w:rPr>
        <w:t xml:space="preserve">Полесский государственный университет  </w:t>
      </w:r>
    </w:p>
    <w:p w:rsidR="002C0F56" w:rsidRDefault="00E67C6E">
      <w:pPr>
        <w:spacing w:after="0" w:line="259" w:lineRule="auto"/>
        <w:ind w:left="1558" w:firstLine="0"/>
        <w:jc w:val="left"/>
      </w:pPr>
      <w:r>
        <w:t xml:space="preserve"> </w:t>
      </w:r>
    </w:p>
    <w:p w:rsidR="002C0F56" w:rsidRDefault="00E67C6E">
      <w:pPr>
        <w:pStyle w:val="1"/>
        <w:ind w:left="700" w:right="4"/>
      </w:pPr>
      <w:r>
        <w:t xml:space="preserve">ПОТРЕБЛЕНИЕ ЭНЕРГИИ В ДОМАШНИХ ХОЗЯЙСТВАХ </w:t>
      </w:r>
    </w:p>
    <w:p w:rsidR="002C0F56" w:rsidRDefault="00E67C6E">
      <w:pPr>
        <w:pStyle w:val="1"/>
        <w:ind w:left="700" w:right="4"/>
      </w:pPr>
      <w:r>
        <w:t xml:space="preserve">РЕСПУБЛИКИ БЕЛАРУСЬ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На современном этапе развития экономических отношений в Республике Беларусь возрастают требования по внедрению и применению достижений НТП. С другой стороны, подобные изменения характеризуются большими затратами не только ресурсов, но и запасов энергии. По</w:t>
      </w:r>
      <w:r>
        <w:t>требителями такой энергии являются домашние хозяйства, которые стремятся максимально удовлетворить ряд потребностей, такие как: отопление, горячее водоснабжение, приготовление пищи, использование дополнительных отопительных и водонагревательных приборов, э</w:t>
      </w:r>
      <w:r>
        <w:t xml:space="preserve">лектрической энергии на освещение и работу бытовых приборов, энергосберегающих осветительных приборов [1].  </w:t>
      </w:r>
    </w:p>
    <w:p w:rsidR="002C0F56" w:rsidRDefault="00E67C6E">
      <w:pPr>
        <w:spacing w:after="0"/>
        <w:ind w:left="994" w:right="302"/>
      </w:pPr>
      <w:r>
        <w:t>Долгое время рост энергопотребления считали показателем экономического и социального прогресса. Но постепенно стало очевидным, что большинство испо</w:t>
      </w:r>
      <w:r>
        <w:t>льзуемых энергоносителей, таких, как нефть и природный газ, в недалеком будущем будут исчерпаны. Радикальной замены таким ресурсам пока не найдено, и, следовательно, нужно более экономно обращаться с исходными продуктами и стремиться шире использовать неис</w:t>
      </w:r>
      <w:r>
        <w:t xml:space="preserve">сякаемые источники энергии, что особенно  актуально в наши дни и в ближайшем будущем. </w:t>
      </w:r>
    </w:p>
    <w:p w:rsidR="002C0F56" w:rsidRDefault="00E67C6E">
      <w:pPr>
        <w:spacing w:after="0"/>
        <w:ind w:left="994" w:right="302"/>
      </w:pPr>
      <w:r>
        <w:t>Для поиска решений проблем такого рода на государственном уровне проводится исследовательская работа и ведётся аналитическая статистика с целью формирования целостной ст</w:t>
      </w:r>
      <w:r>
        <w:t xml:space="preserve">руктуры конечного потребления и создания базы данных для разработки показателей энергоэффективности в жилищном секторе.  </w:t>
      </w:r>
    </w:p>
    <w:p w:rsidR="002C0F56" w:rsidRDefault="00E67C6E">
      <w:pPr>
        <w:spacing w:after="0"/>
        <w:ind w:left="994" w:right="302"/>
      </w:pPr>
      <w:r>
        <w:t>Конечное потребление энергии в домашних хозяйствах включает потребление различных видов топлива и энергии в домашних хозяйствах. Не вк</w:t>
      </w:r>
      <w:r>
        <w:t xml:space="preserve">лючаются в данные о конечном потреблении энергии в домашних хозяйствах расходы топлива в двигателях внутреннего сгорания транспортных средств, сельскохозяйственной и иной техники, потери топлива, связанные с производством тепловой и электрической энергии, </w:t>
      </w:r>
      <w:r>
        <w:t xml:space="preserve">а также использование топлива для неэнергетических целей [1].  </w:t>
      </w:r>
    </w:p>
    <w:p w:rsidR="002C0F56" w:rsidRDefault="00E67C6E">
      <w:pPr>
        <w:spacing w:after="0"/>
        <w:ind w:left="994" w:right="302"/>
      </w:pPr>
      <w:r>
        <w:t>Структура конечного потребления энергии в домашних хозяйствах в каждой стране имеет свои особенности. Основные факторы, повлиявшие на формирование структуры конечного потребления энергии в Рес</w:t>
      </w:r>
      <w:r>
        <w:t xml:space="preserve">публике Беларусь: высокая доля централизованного теплоснабжения, климатические </w:t>
      </w:r>
      <w:r>
        <w:lastRenderedPageBreak/>
        <w:t xml:space="preserve">особенности, низкая оснащенность электрическими бытовыми приборами, национальные традиции. </w:t>
      </w:r>
    </w:p>
    <w:p w:rsidR="002C0F56" w:rsidRDefault="00E67C6E">
      <w:pPr>
        <w:ind w:left="994" w:right="302"/>
      </w:pPr>
      <w:r>
        <w:t>Рассмотрим показатели общего конечного потребления энергии в домашних хозяйствах по о</w:t>
      </w:r>
      <w:r>
        <w:t xml:space="preserve">сновным целевым направлениям использования </w:t>
      </w:r>
    </w:p>
    <w:p w:rsidR="002C0F56" w:rsidRDefault="00E67C6E">
      <w:pPr>
        <w:spacing w:after="12"/>
        <w:ind w:left="994" w:right="302" w:firstLine="0"/>
      </w:pPr>
      <w:r>
        <w:t xml:space="preserve">(таблица 1): </w:t>
      </w:r>
    </w:p>
    <w:p w:rsidR="002C0F56" w:rsidRDefault="00E67C6E">
      <w:pPr>
        <w:spacing w:after="5" w:line="271" w:lineRule="auto"/>
        <w:ind w:left="2254" w:right="396" w:hanging="355"/>
        <w:jc w:val="left"/>
      </w:pPr>
      <w:r>
        <w:rPr>
          <w:i/>
          <w:sz w:val="24"/>
        </w:rPr>
        <w:t>Таблица 1</w:t>
      </w:r>
      <w:r>
        <w:rPr>
          <w:sz w:val="24"/>
        </w:rPr>
        <w:t xml:space="preserve"> – </w:t>
      </w:r>
      <w:r>
        <w:rPr>
          <w:b/>
          <w:sz w:val="24"/>
        </w:rPr>
        <w:t xml:space="preserve">Показатели общего конечного потребления энергии в домашних хозяйствах по основным целевым направлениям использования. </w:t>
      </w:r>
    </w:p>
    <w:tbl>
      <w:tblPr>
        <w:tblStyle w:val="TableGrid"/>
        <w:tblW w:w="9344" w:type="dxa"/>
        <w:tblInd w:w="1144" w:type="dxa"/>
        <w:tblCellMar>
          <w:top w:w="14" w:type="dxa"/>
          <w:left w:w="107" w:type="dxa"/>
          <w:bottom w:w="0" w:type="dxa"/>
          <w:right w:w="115" w:type="dxa"/>
        </w:tblCellMar>
        <w:tblLook w:val="04A0" w:firstRow="1" w:lastRow="0" w:firstColumn="1" w:lastColumn="0" w:noHBand="0" w:noVBand="1"/>
      </w:tblPr>
      <w:tblGrid>
        <w:gridCol w:w="4670"/>
        <w:gridCol w:w="4674"/>
      </w:tblGrid>
      <w:tr w:rsidR="002C0F56">
        <w:trPr>
          <w:trHeight w:val="283"/>
        </w:trPr>
        <w:tc>
          <w:tcPr>
            <w:tcW w:w="4670" w:type="dxa"/>
            <w:tcBorders>
              <w:top w:val="single" w:sz="4" w:space="0" w:color="000000"/>
              <w:left w:val="single" w:sz="4" w:space="0" w:color="000000"/>
              <w:bottom w:val="single" w:sz="4" w:space="0" w:color="000000"/>
              <w:right w:val="single" w:sz="4" w:space="0" w:color="000000"/>
            </w:tcBorders>
            <w:shd w:val="clear" w:color="auto" w:fill="4F81BD"/>
          </w:tcPr>
          <w:p w:rsidR="002C0F56" w:rsidRDefault="00E67C6E">
            <w:pPr>
              <w:spacing w:after="0" w:line="259" w:lineRule="auto"/>
              <w:ind w:left="5" w:firstLine="0"/>
              <w:jc w:val="center"/>
            </w:pPr>
            <w:r>
              <w:rPr>
                <w:b/>
                <w:sz w:val="24"/>
              </w:rPr>
              <w:t xml:space="preserve">Наименование показателя </w:t>
            </w:r>
          </w:p>
        </w:tc>
        <w:tc>
          <w:tcPr>
            <w:tcW w:w="4674" w:type="dxa"/>
            <w:tcBorders>
              <w:top w:val="single" w:sz="4" w:space="0" w:color="000000"/>
              <w:left w:val="single" w:sz="4" w:space="0" w:color="000000"/>
              <w:bottom w:val="single" w:sz="4" w:space="0" w:color="000000"/>
              <w:right w:val="single" w:sz="4" w:space="0" w:color="000000"/>
            </w:tcBorders>
            <w:shd w:val="clear" w:color="auto" w:fill="4F81BD"/>
          </w:tcPr>
          <w:p w:rsidR="002C0F56" w:rsidRDefault="00E67C6E">
            <w:pPr>
              <w:spacing w:after="0" w:line="259" w:lineRule="auto"/>
              <w:ind w:left="8" w:firstLine="0"/>
              <w:jc w:val="center"/>
            </w:pPr>
            <w:r>
              <w:rPr>
                <w:b/>
                <w:sz w:val="24"/>
              </w:rPr>
              <w:t xml:space="preserve">Киловатт-часов </w:t>
            </w:r>
          </w:p>
        </w:tc>
      </w:tr>
      <w:tr w:rsidR="002C0F56">
        <w:trPr>
          <w:trHeight w:val="841"/>
        </w:trPr>
        <w:tc>
          <w:tcPr>
            <w:tcW w:w="467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878" w:firstLine="0"/>
              <w:jc w:val="left"/>
            </w:pPr>
            <w:r>
              <w:rPr>
                <w:sz w:val="24"/>
              </w:rPr>
              <w:t xml:space="preserve">Общее энергопотребление на одно домашнее хозяйство, в том числе: </w:t>
            </w:r>
          </w:p>
        </w:tc>
        <w:tc>
          <w:tcPr>
            <w:tcW w:w="467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5" w:firstLine="0"/>
              <w:jc w:val="center"/>
            </w:pPr>
            <w:r>
              <w:rPr>
                <w:sz w:val="24"/>
              </w:rPr>
              <w:t xml:space="preserve">14 979,4 </w:t>
            </w:r>
          </w:p>
        </w:tc>
      </w:tr>
      <w:tr w:rsidR="002C0F56">
        <w:trPr>
          <w:trHeight w:val="286"/>
        </w:trPr>
        <w:tc>
          <w:tcPr>
            <w:tcW w:w="467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на отопление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8868,8 </w:t>
            </w:r>
          </w:p>
        </w:tc>
      </w:tr>
      <w:tr w:rsidR="002C0F56">
        <w:trPr>
          <w:trHeight w:val="286"/>
        </w:trPr>
        <w:tc>
          <w:tcPr>
            <w:tcW w:w="467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для горячего водоснабжения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2664,5 </w:t>
            </w:r>
          </w:p>
        </w:tc>
      </w:tr>
      <w:tr w:rsidR="002C0F56">
        <w:trPr>
          <w:trHeight w:val="286"/>
        </w:trPr>
        <w:tc>
          <w:tcPr>
            <w:tcW w:w="467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для приготовления пищи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1947,2 </w:t>
            </w:r>
          </w:p>
        </w:tc>
      </w:tr>
      <w:tr w:rsidR="002C0F56">
        <w:trPr>
          <w:trHeight w:val="286"/>
        </w:trPr>
        <w:tc>
          <w:tcPr>
            <w:tcW w:w="467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на работу бытовых приборов и освещение </w:t>
            </w:r>
          </w:p>
        </w:tc>
        <w:tc>
          <w:tcPr>
            <w:tcW w:w="467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8" w:firstLine="0"/>
              <w:jc w:val="center"/>
            </w:pPr>
            <w:r>
              <w:rPr>
                <w:sz w:val="24"/>
              </w:rPr>
              <w:t xml:space="preserve">1498,9 </w:t>
            </w:r>
          </w:p>
        </w:tc>
      </w:tr>
    </w:tbl>
    <w:p w:rsidR="002C0F56" w:rsidRDefault="00E67C6E">
      <w:pPr>
        <w:spacing w:after="12"/>
        <w:ind w:left="1558" w:right="302" w:firstLine="0"/>
      </w:pPr>
      <w:r>
        <w:t xml:space="preserve">Источник: [1] </w:t>
      </w:r>
    </w:p>
    <w:p w:rsidR="002C0F56" w:rsidRDefault="00E67C6E">
      <w:pPr>
        <w:spacing w:after="0" w:line="259" w:lineRule="auto"/>
        <w:ind w:left="1558" w:firstLine="0"/>
        <w:jc w:val="left"/>
      </w:pPr>
      <w:r>
        <w:t xml:space="preserve"> </w:t>
      </w:r>
    </w:p>
    <w:p w:rsidR="002C0F56" w:rsidRDefault="00E67C6E">
      <w:pPr>
        <w:ind w:left="994" w:right="302"/>
      </w:pPr>
      <w:r>
        <w:t>Следовательно, наибольшая часть конечного потребления энергии в домашних хозяйствах приходится на отопление - 8868,8 киловатт-часов, то есть на искусственный обогрев помещений с целью возмещения в них тепловых потерь и поддержания температуры на уровне, ко</w:t>
      </w:r>
      <w:r>
        <w:t xml:space="preserve">мфортном для проживания людей. Обогрев может обеспечиваться посредством различных систем отопления и видов топлива. 2664,5 киловатт-часов конечного потребления приходится на горячее водоснабжение (обеспечение потребителей горячей </w:t>
      </w:r>
      <w:hyperlink r:id="rId1352">
        <w:r>
          <w:t>водой</w:t>
        </w:r>
      </w:hyperlink>
      <w:hyperlink r:id="rId1353">
        <w:r>
          <w:t xml:space="preserve"> </w:t>
        </w:r>
      </w:hyperlink>
      <w:r>
        <w:t xml:space="preserve">для </w:t>
      </w:r>
      <w:hyperlink r:id="rId1354">
        <w:r>
          <w:t>технологически</w:t>
        </w:r>
        <w:r>
          <w:t>х</w:t>
        </w:r>
      </w:hyperlink>
      <w:hyperlink r:id="rId1355">
        <w:r>
          <w:t>,</w:t>
        </w:r>
      </w:hyperlink>
      <w:hyperlink r:id="rId1356">
        <w:r>
          <w:t xml:space="preserve"> </w:t>
        </w:r>
      </w:hyperlink>
      <w:hyperlink r:id="rId1357">
        <w:r>
          <w:t>санитарных</w:t>
        </w:r>
      </w:hyperlink>
      <w:hyperlink r:id="rId1358">
        <w:r>
          <w:t xml:space="preserve"> </w:t>
        </w:r>
      </w:hyperlink>
      <w:r>
        <w:t xml:space="preserve">и </w:t>
      </w:r>
      <w:hyperlink r:id="rId1359">
        <w:r>
          <w:t>гигиенических</w:t>
        </w:r>
      </w:hyperlink>
      <w:hyperlink r:id="rId1360">
        <w:r>
          <w:t xml:space="preserve"> </w:t>
        </w:r>
      </w:hyperlink>
      <w:r>
        <w:t xml:space="preserve">целей).  </w:t>
      </w:r>
    </w:p>
    <w:p w:rsidR="002C0F56" w:rsidRDefault="00E67C6E">
      <w:pPr>
        <w:ind w:left="994" w:right="302"/>
      </w:pPr>
      <w:r>
        <w:t>Немалая доля использования энергии приходится на приготовление пищи - 1947 киловатт-</w:t>
      </w:r>
      <w:r>
        <w:t>часов. Пищу можно готовить с использованием широкого набора устройств, от высокотехнологичных индукционных кухонных плит до традиционных печей. Для приготовления пищи используются разные источники энергии: природный газ, электричество, дрова, сжиженный газ</w:t>
      </w:r>
      <w:r>
        <w:t xml:space="preserve">. В энергопотребление для процессов приготовления пищи также включается энергия, используемая в духовых шкафах. Кухонное оборудование, такое как тостеры и микроволновые печи, включается в категорию бытовой техники.  </w:t>
      </w:r>
    </w:p>
    <w:p w:rsidR="002C0F56" w:rsidRDefault="00E67C6E">
      <w:pPr>
        <w:spacing w:after="10"/>
        <w:ind w:left="994" w:right="302"/>
      </w:pPr>
      <w:r>
        <w:t>Оставшаяся часть энергии составляет 149</w:t>
      </w:r>
      <w:r>
        <w:t>8,9 киловатт-часов, приходящаяся на бытовое освещение и приборы. Источником энергии для внутреннего или наружного освещения жилых помещений, а также для работы бытовых приборов в основном является электричество. Бытовая техника включает широкий спектр элек</w:t>
      </w:r>
      <w:r>
        <w:t xml:space="preserve">троприборов, от электронного оборудования, такого как телевизоры, компьютеры, аудио- и видеотехника, до пылесосов, микроволновых печей, утюгов, кухонной техники. </w:t>
      </w:r>
    </w:p>
    <w:p w:rsidR="002C0F56" w:rsidRDefault="00E67C6E">
      <w:pPr>
        <w:ind w:left="994" w:right="302"/>
      </w:pPr>
      <w:r>
        <w:lastRenderedPageBreak/>
        <w:t xml:space="preserve">Таким образом структуру конечного потребления энергии в домашних хозяйствах можно отобразить </w:t>
      </w:r>
      <w:r>
        <w:t xml:space="preserve">следующим образом (рисунок 1): </w:t>
      </w:r>
    </w:p>
    <w:p w:rsidR="002C0F56" w:rsidRDefault="00E67C6E">
      <w:pPr>
        <w:spacing w:after="298" w:line="259" w:lineRule="auto"/>
        <w:ind w:left="642" w:firstLine="0"/>
        <w:jc w:val="left"/>
      </w:pPr>
      <w:r>
        <w:rPr>
          <w:rFonts w:ascii="Calibri" w:eastAsia="Calibri" w:hAnsi="Calibri" w:cs="Calibri"/>
          <w:noProof/>
          <w:sz w:val="22"/>
        </w:rPr>
        <mc:AlternateContent>
          <mc:Choice Requires="wpg">
            <w:drawing>
              <wp:inline distT="0" distB="0" distL="0" distR="0">
                <wp:extent cx="6298409" cy="3101708"/>
                <wp:effectExtent l="0" t="0" r="0" b="0"/>
                <wp:docPr id="678458" name="Group 678458"/>
                <wp:cNvGraphicFramePr/>
                <a:graphic xmlns:a="http://schemas.openxmlformats.org/drawingml/2006/main">
                  <a:graphicData uri="http://schemas.microsoft.com/office/word/2010/wordprocessingGroup">
                    <wpg:wgp>
                      <wpg:cNvGrpSpPr/>
                      <wpg:grpSpPr>
                        <a:xfrm>
                          <a:off x="0" y="0"/>
                          <a:ext cx="6298409" cy="3101708"/>
                          <a:chOff x="0" y="0"/>
                          <a:chExt cx="6298409" cy="3101708"/>
                        </a:xfrm>
                      </wpg:grpSpPr>
                      <wps:wsp>
                        <wps:cNvPr id="79688" name="Shape 79688"/>
                        <wps:cNvSpPr/>
                        <wps:spPr>
                          <a:xfrm>
                            <a:off x="2451070" y="134873"/>
                            <a:ext cx="1946803" cy="2517299"/>
                          </a:xfrm>
                          <a:custGeom>
                            <a:avLst/>
                            <a:gdLst/>
                            <a:ahLst/>
                            <a:cxnLst/>
                            <a:rect l="0" t="0" r="0" b="0"/>
                            <a:pathLst>
                              <a:path w="1946803" h="2517299">
                                <a:moveTo>
                                  <a:pt x="687152" y="0"/>
                                </a:moveTo>
                                <a:lnTo>
                                  <a:pt x="776129" y="0"/>
                                </a:lnTo>
                                <a:lnTo>
                                  <a:pt x="827099" y="12827"/>
                                </a:lnTo>
                                <a:lnTo>
                                  <a:pt x="877943" y="12827"/>
                                </a:lnTo>
                                <a:lnTo>
                                  <a:pt x="916076" y="25400"/>
                                </a:lnTo>
                                <a:lnTo>
                                  <a:pt x="967174" y="25400"/>
                                </a:lnTo>
                                <a:lnTo>
                                  <a:pt x="1005306" y="38099"/>
                                </a:lnTo>
                                <a:lnTo>
                                  <a:pt x="1056023" y="50926"/>
                                </a:lnTo>
                                <a:lnTo>
                                  <a:pt x="1094155" y="63499"/>
                                </a:lnTo>
                                <a:lnTo>
                                  <a:pt x="1132288" y="76453"/>
                                </a:lnTo>
                                <a:lnTo>
                                  <a:pt x="1183386" y="101853"/>
                                </a:lnTo>
                                <a:lnTo>
                                  <a:pt x="1221519" y="114426"/>
                                </a:lnTo>
                                <a:lnTo>
                                  <a:pt x="1297784" y="152526"/>
                                </a:lnTo>
                                <a:lnTo>
                                  <a:pt x="1374050" y="203452"/>
                                </a:lnTo>
                                <a:lnTo>
                                  <a:pt x="1437731" y="241552"/>
                                </a:lnTo>
                                <a:lnTo>
                                  <a:pt x="1488829" y="279652"/>
                                </a:lnTo>
                                <a:lnTo>
                                  <a:pt x="1526962" y="318005"/>
                                </a:lnTo>
                                <a:lnTo>
                                  <a:pt x="1577679" y="368678"/>
                                </a:lnTo>
                                <a:lnTo>
                                  <a:pt x="1628776" y="407032"/>
                                </a:lnTo>
                                <a:lnTo>
                                  <a:pt x="1666909" y="457705"/>
                                </a:lnTo>
                                <a:lnTo>
                                  <a:pt x="1705042" y="508631"/>
                                </a:lnTo>
                                <a:lnTo>
                                  <a:pt x="1743174" y="559558"/>
                                </a:lnTo>
                                <a:lnTo>
                                  <a:pt x="1768723" y="610230"/>
                                </a:lnTo>
                                <a:lnTo>
                                  <a:pt x="1806856" y="661157"/>
                                </a:lnTo>
                                <a:lnTo>
                                  <a:pt x="1832405" y="712084"/>
                                </a:lnTo>
                                <a:lnTo>
                                  <a:pt x="1857573" y="762757"/>
                                </a:lnTo>
                                <a:lnTo>
                                  <a:pt x="1870538" y="826256"/>
                                </a:lnTo>
                                <a:lnTo>
                                  <a:pt x="1895705" y="877309"/>
                                </a:lnTo>
                                <a:lnTo>
                                  <a:pt x="1908670" y="940809"/>
                                </a:lnTo>
                                <a:lnTo>
                                  <a:pt x="1921254" y="1004308"/>
                                </a:lnTo>
                                <a:lnTo>
                                  <a:pt x="1933838" y="1055235"/>
                                </a:lnTo>
                                <a:lnTo>
                                  <a:pt x="1946803" y="1118862"/>
                                </a:lnTo>
                                <a:lnTo>
                                  <a:pt x="1946803" y="1423913"/>
                                </a:lnTo>
                                <a:lnTo>
                                  <a:pt x="1933838" y="1487413"/>
                                </a:lnTo>
                                <a:lnTo>
                                  <a:pt x="1921254" y="1538467"/>
                                </a:lnTo>
                                <a:lnTo>
                                  <a:pt x="1908670" y="1601966"/>
                                </a:lnTo>
                                <a:lnTo>
                                  <a:pt x="1883122" y="1665465"/>
                                </a:lnTo>
                                <a:lnTo>
                                  <a:pt x="1870538" y="1716138"/>
                                </a:lnTo>
                                <a:lnTo>
                                  <a:pt x="1844989" y="1779688"/>
                                </a:lnTo>
                                <a:lnTo>
                                  <a:pt x="1806856" y="1830640"/>
                                </a:lnTo>
                                <a:lnTo>
                                  <a:pt x="1781307" y="1894191"/>
                                </a:lnTo>
                                <a:lnTo>
                                  <a:pt x="1743174" y="1945143"/>
                                </a:lnTo>
                                <a:lnTo>
                                  <a:pt x="1705042" y="1995790"/>
                                </a:lnTo>
                                <a:lnTo>
                                  <a:pt x="1666909" y="2046742"/>
                                </a:lnTo>
                                <a:lnTo>
                                  <a:pt x="1628776" y="2097694"/>
                                </a:lnTo>
                                <a:lnTo>
                                  <a:pt x="1590644" y="2148341"/>
                                </a:lnTo>
                                <a:lnTo>
                                  <a:pt x="1539546" y="2186708"/>
                                </a:lnTo>
                                <a:lnTo>
                                  <a:pt x="1488829" y="2224770"/>
                                </a:lnTo>
                                <a:lnTo>
                                  <a:pt x="1450696" y="2262831"/>
                                </a:lnTo>
                                <a:lnTo>
                                  <a:pt x="1399598" y="2300905"/>
                                </a:lnTo>
                                <a:lnTo>
                                  <a:pt x="1348882" y="2339272"/>
                                </a:lnTo>
                                <a:lnTo>
                                  <a:pt x="1285200" y="2364748"/>
                                </a:lnTo>
                                <a:lnTo>
                                  <a:pt x="1234103" y="2389919"/>
                                </a:lnTo>
                                <a:lnTo>
                                  <a:pt x="1183386" y="2415395"/>
                                </a:lnTo>
                                <a:lnTo>
                                  <a:pt x="1119705" y="2440871"/>
                                </a:lnTo>
                                <a:lnTo>
                                  <a:pt x="1068988" y="2453457"/>
                                </a:lnTo>
                                <a:lnTo>
                                  <a:pt x="1005306" y="2478933"/>
                                </a:lnTo>
                                <a:lnTo>
                                  <a:pt x="954208" y="2491823"/>
                                </a:lnTo>
                                <a:lnTo>
                                  <a:pt x="890527" y="2504408"/>
                                </a:lnTo>
                                <a:lnTo>
                                  <a:pt x="827099" y="2504408"/>
                                </a:lnTo>
                                <a:lnTo>
                                  <a:pt x="776129" y="2517299"/>
                                </a:lnTo>
                                <a:lnTo>
                                  <a:pt x="585338" y="2517299"/>
                                </a:lnTo>
                                <a:lnTo>
                                  <a:pt x="521656" y="2504408"/>
                                </a:lnTo>
                                <a:lnTo>
                                  <a:pt x="470685" y="2491823"/>
                                </a:lnTo>
                                <a:lnTo>
                                  <a:pt x="407258" y="2478933"/>
                                </a:lnTo>
                                <a:lnTo>
                                  <a:pt x="343576" y="2466347"/>
                                </a:lnTo>
                                <a:lnTo>
                                  <a:pt x="279895" y="2453457"/>
                                </a:lnTo>
                                <a:lnTo>
                                  <a:pt x="228924" y="2428285"/>
                                </a:lnTo>
                                <a:lnTo>
                                  <a:pt x="165496" y="2402809"/>
                                </a:lnTo>
                                <a:lnTo>
                                  <a:pt x="114398" y="2377333"/>
                                </a:lnTo>
                                <a:lnTo>
                                  <a:pt x="50717" y="2351857"/>
                                </a:lnTo>
                                <a:lnTo>
                                  <a:pt x="0" y="2313796"/>
                                </a:lnTo>
                                <a:lnTo>
                                  <a:pt x="687152" y="1258434"/>
                                </a:lnTo>
                                <a:lnTo>
                                  <a:pt x="687152" y="0"/>
                                </a:lnTo>
                                <a:close/>
                              </a:path>
                            </a:pathLst>
                          </a:custGeom>
                          <a:ln w="0" cap="flat">
                            <a:miter lim="127000"/>
                          </a:ln>
                        </wps:spPr>
                        <wps:style>
                          <a:lnRef idx="0">
                            <a:srgbClr val="000000">
                              <a:alpha val="0"/>
                            </a:srgbClr>
                          </a:lnRef>
                          <a:fillRef idx="1">
                            <a:srgbClr val="616161"/>
                          </a:fillRef>
                          <a:effectRef idx="0">
                            <a:scrgbClr r="0" g="0" b="0"/>
                          </a:effectRef>
                          <a:fontRef idx="none"/>
                        </wps:style>
                        <wps:bodyPr/>
                      </wps:wsp>
                      <wps:wsp>
                        <wps:cNvPr id="79689" name="Shape 79689"/>
                        <wps:cNvSpPr/>
                        <wps:spPr>
                          <a:xfrm>
                            <a:off x="1878317" y="1240781"/>
                            <a:ext cx="1259905" cy="1207888"/>
                          </a:xfrm>
                          <a:custGeom>
                            <a:avLst/>
                            <a:gdLst/>
                            <a:ahLst/>
                            <a:cxnLst/>
                            <a:rect l="0" t="0" r="0" b="0"/>
                            <a:pathLst>
                              <a:path w="1259905" h="1207888">
                                <a:moveTo>
                                  <a:pt x="12965" y="0"/>
                                </a:moveTo>
                                <a:lnTo>
                                  <a:pt x="1259905" y="152526"/>
                                </a:lnTo>
                                <a:lnTo>
                                  <a:pt x="572753" y="1207888"/>
                                </a:lnTo>
                                <a:lnTo>
                                  <a:pt x="496488" y="1156923"/>
                                </a:lnTo>
                                <a:lnTo>
                                  <a:pt x="432807" y="1093386"/>
                                </a:lnTo>
                                <a:lnTo>
                                  <a:pt x="369125" y="1042433"/>
                                </a:lnTo>
                                <a:lnTo>
                                  <a:pt x="305443" y="978896"/>
                                </a:lnTo>
                                <a:lnTo>
                                  <a:pt x="254727" y="902773"/>
                                </a:lnTo>
                                <a:lnTo>
                                  <a:pt x="203629" y="839235"/>
                                </a:lnTo>
                                <a:lnTo>
                                  <a:pt x="152912" y="762807"/>
                                </a:lnTo>
                                <a:lnTo>
                                  <a:pt x="114779" y="686671"/>
                                </a:lnTo>
                                <a:lnTo>
                                  <a:pt x="76647" y="597657"/>
                                </a:lnTo>
                                <a:lnTo>
                                  <a:pt x="51098" y="521204"/>
                                </a:lnTo>
                                <a:lnTo>
                                  <a:pt x="38514" y="432559"/>
                                </a:lnTo>
                                <a:lnTo>
                                  <a:pt x="12965" y="343533"/>
                                </a:lnTo>
                                <a:lnTo>
                                  <a:pt x="12965" y="305179"/>
                                </a:lnTo>
                                <a:lnTo>
                                  <a:pt x="0" y="267079"/>
                                </a:lnTo>
                                <a:lnTo>
                                  <a:pt x="0" y="38353"/>
                                </a:lnTo>
                                <a:lnTo>
                                  <a:pt x="12965" y="0"/>
                                </a:lnTo>
                                <a:close/>
                              </a:path>
                            </a:pathLst>
                          </a:custGeom>
                          <a:ln w="0" cap="flat">
                            <a:miter lim="127000"/>
                          </a:ln>
                        </wps:spPr>
                        <wps:style>
                          <a:lnRef idx="0">
                            <a:srgbClr val="000000">
                              <a:alpha val="0"/>
                            </a:srgbClr>
                          </a:lnRef>
                          <a:fillRef idx="1">
                            <a:srgbClr val="B3B3B3"/>
                          </a:fillRef>
                          <a:effectRef idx="0">
                            <a:scrgbClr r="0" g="0" b="0"/>
                          </a:effectRef>
                          <a:fontRef idx="none"/>
                        </wps:style>
                        <wps:bodyPr/>
                      </wps:wsp>
                      <wps:wsp>
                        <wps:cNvPr id="79690" name="Shape 79690"/>
                        <wps:cNvSpPr/>
                        <wps:spPr>
                          <a:xfrm>
                            <a:off x="1891282" y="376425"/>
                            <a:ext cx="1246940" cy="1016882"/>
                          </a:xfrm>
                          <a:custGeom>
                            <a:avLst/>
                            <a:gdLst/>
                            <a:ahLst/>
                            <a:cxnLst/>
                            <a:rect l="0" t="0" r="0" b="0"/>
                            <a:pathLst>
                              <a:path w="1246940" h="1016882">
                                <a:moveTo>
                                  <a:pt x="508691" y="0"/>
                                </a:moveTo>
                                <a:lnTo>
                                  <a:pt x="1246940" y="1016882"/>
                                </a:lnTo>
                                <a:lnTo>
                                  <a:pt x="0" y="864356"/>
                                </a:lnTo>
                                <a:lnTo>
                                  <a:pt x="12584" y="788283"/>
                                </a:lnTo>
                                <a:lnTo>
                                  <a:pt x="25549" y="737357"/>
                                </a:lnTo>
                                <a:lnTo>
                                  <a:pt x="38133" y="673730"/>
                                </a:lnTo>
                                <a:lnTo>
                                  <a:pt x="50716" y="610231"/>
                                </a:lnTo>
                                <a:lnTo>
                                  <a:pt x="76266" y="546731"/>
                                </a:lnTo>
                                <a:lnTo>
                                  <a:pt x="101814" y="483105"/>
                                </a:lnTo>
                                <a:lnTo>
                                  <a:pt x="127363" y="432178"/>
                                </a:lnTo>
                                <a:lnTo>
                                  <a:pt x="165496" y="381505"/>
                                </a:lnTo>
                                <a:lnTo>
                                  <a:pt x="190664" y="318006"/>
                                </a:lnTo>
                                <a:lnTo>
                                  <a:pt x="228797" y="267079"/>
                                </a:lnTo>
                                <a:lnTo>
                                  <a:pt x="267310" y="216153"/>
                                </a:lnTo>
                                <a:lnTo>
                                  <a:pt x="318027" y="165480"/>
                                </a:lnTo>
                                <a:lnTo>
                                  <a:pt x="356160" y="127126"/>
                                </a:lnTo>
                                <a:lnTo>
                                  <a:pt x="407258" y="76453"/>
                                </a:lnTo>
                                <a:lnTo>
                                  <a:pt x="457974" y="38100"/>
                                </a:lnTo>
                                <a:lnTo>
                                  <a:pt x="508691" y="0"/>
                                </a:lnTo>
                                <a:close/>
                              </a:path>
                            </a:pathLst>
                          </a:custGeom>
                          <a:ln w="0" cap="flat">
                            <a:miter lim="127000"/>
                          </a:ln>
                        </wps:spPr>
                        <wps:style>
                          <a:lnRef idx="0">
                            <a:srgbClr val="000000">
                              <a:alpha val="0"/>
                            </a:srgbClr>
                          </a:lnRef>
                          <a:fillRef idx="1">
                            <a:srgbClr val="818181"/>
                          </a:fillRef>
                          <a:effectRef idx="0">
                            <a:scrgbClr r="0" g="0" b="0"/>
                          </a:effectRef>
                          <a:fontRef idx="none"/>
                        </wps:style>
                        <wps:bodyPr/>
                      </wps:wsp>
                      <wps:wsp>
                        <wps:cNvPr id="79691" name="Shape 79691"/>
                        <wps:cNvSpPr/>
                        <wps:spPr>
                          <a:xfrm>
                            <a:off x="2399973" y="134873"/>
                            <a:ext cx="738250" cy="1258434"/>
                          </a:xfrm>
                          <a:custGeom>
                            <a:avLst/>
                            <a:gdLst/>
                            <a:ahLst/>
                            <a:cxnLst/>
                            <a:rect l="0" t="0" r="0" b="0"/>
                            <a:pathLst>
                              <a:path w="738250" h="1258434">
                                <a:moveTo>
                                  <a:pt x="636435" y="0"/>
                                </a:moveTo>
                                <a:lnTo>
                                  <a:pt x="738250" y="0"/>
                                </a:lnTo>
                                <a:lnTo>
                                  <a:pt x="738250" y="1258434"/>
                                </a:lnTo>
                                <a:lnTo>
                                  <a:pt x="0" y="241552"/>
                                </a:lnTo>
                                <a:lnTo>
                                  <a:pt x="38514" y="216026"/>
                                </a:lnTo>
                                <a:lnTo>
                                  <a:pt x="76647" y="190626"/>
                                </a:lnTo>
                                <a:lnTo>
                                  <a:pt x="127363" y="165480"/>
                                </a:lnTo>
                                <a:lnTo>
                                  <a:pt x="165496" y="139953"/>
                                </a:lnTo>
                                <a:lnTo>
                                  <a:pt x="216594" y="114426"/>
                                </a:lnTo>
                                <a:lnTo>
                                  <a:pt x="254727" y="89026"/>
                                </a:lnTo>
                                <a:lnTo>
                                  <a:pt x="305443" y="76453"/>
                                </a:lnTo>
                                <a:lnTo>
                                  <a:pt x="356541" y="63499"/>
                                </a:lnTo>
                                <a:lnTo>
                                  <a:pt x="394674" y="50926"/>
                                </a:lnTo>
                                <a:lnTo>
                                  <a:pt x="445517" y="38099"/>
                                </a:lnTo>
                                <a:lnTo>
                                  <a:pt x="496488" y="25400"/>
                                </a:lnTo>
                                <a:lnTo>
                                  <a:pt x="547332" y="12827"/>
                                </a:lnTo>
                                <a:lnTo>
                                  <a:pt x="598303" y="12827"/>
                                </a:lnTo>
                                <a:lnTo>
                                  <a:pt x="636435" y="0"/>
                                </a:lnTo>
                                <a:close/>
                              </a:path>
                            </a:pathLst>
                          </a:custGeom>
                          <a:ln w="0" cap="flat">
                            <a:miter lim="127000"/>
                          </a:ln>
                        </wps:spPr>
                        <wps:style>
                          <a:lnRef idx="0">
                            <a:srgbClr val="000000">
                              <a:alpha val="0"/>
                            </a:srgbClr>
                          </a:lnRef>
                          <a:fillRef idx="1">
                            <a:srgbClr val="505050"/>
                          </a:fillRef>
                          <a:effectRef idx="0">
                            <a:scrgbClr r="0" g="0" b="0"/>
                          </a:effectRef>
                          <a:fontRef idx="none"/>
                        </wps:style>
                        <wps:bodyPr/>
                      </wps:wsp>
                      <wps:wsp>
                        <wps:cNvPr id="79692" name="Rectangle 79692"/>
                        <wps:cNvSpPr/>
                        <wps:spPr>
                          <a:xfrm>
                            <a:off x="3481798" y="1564956"/>
                            <a:ext cx="170563" cy="17236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59</w:t>
                              </w:r>
                            </w:p>
                          </w:txbxContent>
                        </wps:txbx>
                        <wps:bodyPr horzOverflow="overflow" vert="horz" lIns="0" tIns="0" rIns="0" bIns="0" rtlCol="0">
                          <a:noAutofit/>
                        </wps:bodyPr>
                      </wps:wsp>
                      <wps:wsp>
                        <wps:cNvPr id="79693" name="Rectangle 79693"/>
                        <wps:cNvSpPr/>
                        <wps:spPr>
                          <a:xfrm>
                            <a:off x="3608907" y="1564956"/>
                            <a:ext cx="121104" cy="17236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w:t>
                              </w:r>
                            </w:p>
                          </w:txbxContent>
                        </wps:txbx>
                        <wps:bodyPr horzOverflow="overflow" vert="horz" lIns="0" tIns="0" rIns="0" bIns="0" rtlCol="0">
                          <a:noAutofit/>
                        </wps:bodyPr>
                      </wps:wsp>
                      <wps:wsp>
                        <wps:cNvPr id="79694" name="Rectangle 79694"/>
                        <wps:cNvSpPr/>
                        <wps:spPr>
                          <a:xfrm>
                            <a:off x="2323707" y="1656878"/>
                            <a:ext cx="196044" cy="18984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2"/>
                                </w:rPr>
                                <w:t>18</w:t>
                              </w:r>
                            </w:p>
                          </w:txbxContent>
                        </wps:txbx>
                        <wps:bodyPr horzOverflow="overflow" vert="horz" lIns="0" tIns="0" rIns="0" bIns="0" rtlCol="0">
                          <a:noAutofit/>
                        </wps:bodyPr>
                      </wps:wsp>
                      <wps:wsp>
                        <wps:cNvPr id="79695" name="Rectangle 79695"/>
                        <wps:cNvSpPr/>
                        <wps:spPr>
                          <a:xfrm>
                            <a:off x="2463654" y="1656878"/>
                            <a:ext cx="133385" cy="18984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2"/>
                                </w:rPr>
                                <w:t>%</w:t>
                              </w:r>
                            </w:p>
                          </w:txbxContent>
                        </wps:txbx>
                        <wps:bodyPr horzOverflow="overflow" vert="horz" lIns="0" tIns="0" rIns="0" bIns="0" rtlCol="0">
                          <a:noAutofit/>
                        </wps:bodyPr>
                      </wps:wsp>
                      <wps:wsp>
                        <wps:cNvPr id="79696" name="Rectangle 79696"/>
                        <wps:cNvSpPr/>
                        <wps:spPr>
                          <a:xfrm>
                            <a:off x="2272990" y="919648"/>
                            <a:ext cx="179274" cy="18984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2"/>
                                </w:rPr>
                                <w:t>13</w:t>
                              </w:r>
                            </w:p>
                          </w:txbxContent>
                        </wps:txbx>
                        <wps:bodyPr horzOverflow="overflow" vert="horz" lIns="0" tIns="0" rIns="0" bIns="0" rtlCol="0">
                          <a:noAutofit/>
                        </wps:bodyPr>
                      </wps:wsp>
                      <wps:wsp>
                        <wps:cNvPr id="79697" name="Rectangle 79697"/>
                        <wps:cNvSpPr/>
                        <wps:spPr>
                          <a:xfrm>
                            <a:off x="2412938" y="919648"/>
                            <a:ext cx="133385" cy="18984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2"/>
                                </w:rPr>
                                <w:t>%</w:t>
                              </w:r>
                            </w:p>
                          </w:txbxContent>
                        </wps:txbx>
                        <wps:bodyPr horzOverflow="overflow" vert="horz" lIns="0" tIns="0" rIns="0" bIns="0" rtlCol="0">
                          <a:noAutofit/>
                        </wps:bodyPr>
                      </wps:wsp>
                      <wps:wsp>
                        <wps:cNvPr id="79698" name="Rectangle 79698"/>
                        <wps:cNvSpPr/>
                        <wps:spPr>
                          <a:xfrm>
                            <a:off x="2794646" y="500297"/>
                            <a:ext cx="179274" cy="18984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2"/>
                                </w:rPr>
                                <w:t>10</w:t>
                              </w:r>
                            </w:p>
                          </w:txbxContent>
                        </wps:txbx>
                        <wps:bodyPr horzOverflow="overflow" vert="horz" lIns="0" tIns="0" rIns="0" bIns="0" rtlCol="0">
                          <a:noAutofit/>
                        </wps:bodyPr>
                      </wps:wsp>
                      <wps:wsp>
                        <wps:cNvPr id="79699" name="Rectangle 79699"/>
                        <wps:cNvSpPr/>
                        <wps:spPr>
                          <a:xfrm>
                            <a:off x="2934593" y="500297"/>
                            <a:ext cx="133385" cy="18984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2"/>
                                </w:rPr>
                                <w:t>%</w:t>
                              </w:r>
                            </w:p>
                          </w:txbxContent>
                        </wps:txbx>
                        <wps:bodyPr horzOverflow="overflow" vert="horz" lIns="0" tIns="0" rIns="0" bIns="0" rtlCol="0">
                          <a:noAutofit/>
                        </wps:bodyPr>
                      </wps:wsp>
                      <wps:wsp>
                        <wps:cNvPr id="705407" name="Shape 705407"/>
                        <wps:cNvSpPr/>
                        <wps:spPr>
                          <a:xfrm>
                            <a:off x="415405" y="2868272"/>
                            <a:ext cx="63365" cy="76125"/>
                          </a:xfrm>
                          <a:custGeom>
                            <a:avLst/>
                            <a:gdLst/>
                            <a:ahLst/>
                            <a:cxnLst/>
                            <a:rect l="0" t="0" r="0" b="0"/>
                            <a:pathLst>
                              <a:path w="63365" h="76125">
                                <a:moveTo>
                                  <a:pt x="0" y="0"/>
                                </a:moveTo>
                                <a:lnTo>
                                  <a:pt x="63365" y="0"/>
                                </a:lnTo>
                                <a:lnTo>
                                  <a:pt x="63365" y="76125"/>
                                </a:lnTo>
                                <a:lnTo>
                                  <a:pt x="0" y="76125"/>
                                </a:lnTo>
                                <a:lnTo>
                                  <a:pt x="0" y="0"/>
                                </a:lnTo>
                              </a:path>
                            </a:pathLst>
                          </a:custGeom>
                          <a:ln w="0" cap="flat">
                            <a:miter lim="127000"/>
                          </a:ln>
                        </wps:spPr>
                        <wps:style>
                          <a:lnRef idx="0">
                            <a:srgbClr val="000000">
                              <a:alpha val="0"/>
                            </a:srgbClr>
                          </a:lnRef>
                          <a:fillRef idx="1">
                            <a:srgbClr val="616161"/>
                          </a:fillRef>
                          <a:effectRef idx="0">
                            <a:scrgbClr r="0" g="0" b="0"/>
                          </a:effectRef>
                          <a:fontRef idx="none"/>
                        </wps:style>
                        <wps:bodyPr/>
                      </wps:wsp>
                      <wps:wsp>
                        <wps:cNvPr id="79701" name="Rectangle 79701"/>
                        <wps:cNvSpPr/>
                        <wps:spPr>
                          <a:xfrm>
                            <a:off x="516915" y="2848967"/>
                            <a:ext cx="777945" cy="1723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Отопление</w:t>
                              </w:r>
                            </w:p>
                          </w:txbxContent>
                        </wps:txbx>
                        <wps:bodyPr horzOverflow="overflow" vert="horz" lIns="0" tIns="0" rIns="0" bIns="0" rtlCol="0">
                          <a:noAutofit/>
                        </wps:bodyPr>
                      </wps:wsp>
                      <wps:wsp>
                        <wps:cNvPr id="705408" name="Shape 705408"/>
                        <wps:cNvSpPr/>
                        <wps:spPr>
                          <a:xfrm>
                            <a:off x="1204092" y="2868272"/>
                            <a:ext cx="76285" cy="76125"/>
                          </a:xfrm>
                          <a:custGeom>
                            <a:avLst/>
                            <a:gdLst/>
                            <a:ahLst/>
                            <a:cxnLst/>
                            <a:rect l="0" t="0" r="0" b="0"/>
                            <a:pathLst>
                              <a:path w="76285" h="76125">
                                <a:moveTo>
                                  <a:pt x="0" y="0"/>
                                </a:moveTo>
                                <a:lnTo>
                                  <a:pt x="76285" y="0"/>
                                </a:lnTo>
                                <a:lnTo>
                                  <a:pt x="76285" y="76125"/>
                                </a:lnTo>
                                <a:lnTo>
                                  <a:pt x="0" y="76125"/>
                                </a:lnTo>
                                <a:lnTo>
                                  <a:pt x="0" y="0"/>
                                </a:lnTo>
                              </a:path>
                            </a:pathLst>
                          </a:custGeom>
                          <a:ln w="0" cap="flat">
                            <a:miter lim="127000"/>
                          </a:ln>
                        </wps:spPr>
                        <wps:style>
                          <a:lnRef idx="0">
                            <a:srgbClr val="000000">
                              <a:alpha val="0"/>
                            </a:srgbClr>
                          </a:lnRef>
                          <a:fillRef idx="1">
                            <a:srgbClr val="B3B3B3"/>
                          </a:fillRef>
                          <a:effectRef idx="0">
                            <a:scrgbClr r="0" g="0" b="0"/>
                          </a:effectRef>
                          <a:fontRef idx="none"/>
                        </wps:style>
                        <wps:bodyPr/>
                      </wps:wsp>
                      <wps:wsp>
                        <wps:cNvPr id="79703" name="Rectangle 79703"/>
                        <wps:cNvSpPr/>
                        <wps:spPr>
                          <a:xfrm>
                            <a:off x="1305944" y="2848967"/>
                            <a:ext cx="1758974" cy="1723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Горячее водоснабжение</w:t>
                              </w:r>
                            </w:p>
                          </w:txbxContent>
                        </wps:txbx>
                        <wps:bodyPr horzOverflow="overflow" vert="horz" lIns="0" tIns="0" rIns="0" bIns="0" rtlCol="0">
                          <a:noAutofit/>
                        </wps:bodyPr>
                      </wps:wsp>
                      <wps:wsp>
                        <wps:cNvPr id="705409" name="Shape 705409"/>
                        <wps:cNvSpPr/>
                        <wps:spPr>
                          <a:xfrm>
                            <a:off x="2743676" y="2868272"/>
                            <a:ext cx="63673" cy="76125"/>
                          </a:xfrm>
                          <a:custGeom>
                            <a:avLst/>
                            <a:gdLst/>
                            <a:ahLst/>
                            <a:cxnLst/>
                            <a:rect l="0" t="0" r="0" b="0"/>
                            <a:pathLst>
                              <a:path w="63673" h="76125">
                                <a:moveTo>
                                  <a:pt x="0" y="0"/>
                                </a:moveTo>
                                <a:lnTo>
                                  <a:pt x="63673" y="0"/>
                                </a:lnTo>
                                <a:lnTo>
                                  <a:pt x="63673" y="76125"/>
                                </a:lnTo>
                                <a:lnTo>
                                  <a:pt x="0" y="76125"/>
                                </a:lnTo>
                                <a:lnTo>
                                  <a:pt x="0" y="0"/>
                                </a:lnTo>
                              </a:path>
                            </a:pathLst>
                          </a:custGeom>
                          <a:ln w="0" cap="flat">
                            <a:miter lim="127000"/>
                          </a:ln>
                        </wps:spPr>
                        <wps:style>
                          <a:lnRef idx="0">
                            <a:srgbClr val="000000">
                              <a:alpha val="0"/>
                            </a:srgbClr>
                          </a:lnRef>
                          <a:fillRef idx="1">
                            <a:srgbClr val="818181"/>
                          </a:fillRef>
                          <a:effectRef idx="0">
                            <a:scrgbClr r="0" g="0" b="0"/>
                          </a:effectRef>
                          <a:fontRef idx="none"/>
                        </wps:style>
                        <wps:bodyPr/>
                      </wps:wsp>
                      <wps:wsp>
                        <wps:cNvPr id="79705" name="Rectangle 79705"/>
                        <wps:cNvSpPr/>
                        <wps:spPr>
                          <a:xfrm>
                            <a:off x="2832779" y="2848967"/>
                            <a:ext cx="1546575" cy="1723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Приготовление пищи</w:t>
                              </w:r>
                            </w:p>
                          </w:txbxContent>
                        </wps:txbx>
                        <wps:bodyPr horzOverflow="overflow" vert="horz" lIns="0" tIns="0" rIns="0" bIns="0" rtlCol="0">
                          <a:noAutofit/>
                        </wps:bodyPr>
                      </wps:wsp>
                      <wps:wsp>
                        <wps:cNvPr id="705410" name="Shape 705410"/>
                        <wps:cNvSpPr/>
                        <wps:spPr>
                          <a:xfrm>
                            <a:off x="4092430" y="2868272"/>
                            <a:ext cx="76284" cy="76125"/>
                          </a:xfrm>
                          <a:custGeom>
                            <a:avLst/>
                            <a:gdLst/>
                            <a:ahLst/>
                            <a:cxnLst/>
                            <a:rect l="0" t="0" r="0" b="0"/>
                            <a:pathLst>
                              <a:path w="76284" h="76125">
                                <a:moveTo>
                                  <a:pt x="0" y="0"/>
                                </a:moveTo>
                                <a:lnTo>
                                  <a:pt x="76284" y="0"/>
                                </a:lnTo>
                                <a:lnTo>
                                  <a:pt x="76284" y="76125"/>
                                </a:lnTo>
                                <a:lnTo>
                                  <a:pt x="0" y="76125"/>
                                </a:lnTo>
                                <a:lnTo>
                                  <a:pt x="0" y="0"/>
                                </a:lnTo>
                              </a:path>
                            </a:pathLst>
                          </a:custGeom>
                          <a:ln w="0" cap="flat">
                            <a:miter lim="127000"/>
                          </a:ln>
                        </wps:spPr>
                        <wps:style>
                          <a:lnRef idx="0">
                            <a:srgbClr val="000000">
                              <a:alpha val="0"/>
                            </a:srgbClr>
                          </a:lnRef>
                          <a:fillRef idx="1">
                            <a:srgbClr val="505050"/>
                          </a:fillRef>
                          <a:effectRef idx="0">
                            <a:scrgbClr r="0" g="0" b="0"/>
                          </a:effectRef>
                          <a:fontRef idx="none"/>
                        </wps:style>
                        <wps:bodyPr/>
                      </wps:wsp>
                      <wps:wsp>
                        <wps:cNvPr id="79707" name="Rectangle 79707"/>
                        <wps:cNvSpPr/>
                        <wps:spPr>
                          <a:xfrm>
                            <a:off x="4194245" y="2848967"/>
                            <a:ext cx="2283532" cy="17237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sz w:val="20"/>
                                </w:rPr>
                                <w:t>Приборы и бытовое освещение</w:t>
                              </w:r>
                            </w:p>
                          </w:txbxContent>
                        </wps:txbx>
                        <wps:bodyPr horzOverflow="overflow" vert="horz" lIns="0" tIns="0" rIns="0" bIns="0" rtlCol="0">
                          <a:noAutofit/>
                        </wps:bodyPr>
                      </wps:wsp>
                      <wps:wsp>
                        <wps:cNvPr id="705411" name="Shape 705411"/>
                        <wps:cNvSpPr/>
                        <wps:spPr>
                          <a:xfrm>
                            <a:off x="6285698" y="0"/>
                            <a:ext cx="12711" cy="3101708"/>
                          </a:xfrm>
                          <a:custGeom>
                            <a:avLst/>
                            <a:gdLst/>
                            <a:ahLst/>
                            <a:cxnLst/>
                            <a:rect l="0" t="0" r="0" b="0"/>
                            <a:pathLst>
                              <a:path w="12711" h="3101708">
                                <a:moveTo>
                                  <a:pt x="0" y="0"/>
                                </a:moveTo>
                                <a:lnTo>
                                  <a:pt x="12711" y="0"/>
                                </a:lnTo>
                                <a:lnTo>
                                  <a:pt x="12711" y="3101708"/>
                                </a:lnTo>
                                <a:lnTo>
                                  <a:pt x="0" y="3101708"/>
                                </a:lnTo>
                                <a:lnTo>
                                  <a:pt x="0" y="0"/>
                                </a:lnTo>
                              </a:path>
                            </a:pathLst>
                          </a:custGeom>
                          <a:ln w="12601" cap="flat">
                            <a:round/>
                          </a:ln>
                        </wps:spPr>
                        <wps:style>
                          <a:lnRef idx="1">
                            <a:srgbClr val="868686"/>
                          </a:lnRef>
                          <a:fillRef idx="1">
                            <a:srgbClr val="868686"/>
                          </a:fillRef>
                          <a:effectRef idx="0">
                            <a:scrgbClr r="0" g="0" b="0"/>
                          </a:effectRef>
                          <a:fontRef idx="none"/>
                        </wps:style>
                        <wps:bodyPr/>
                      </wps:wsp>
                      <wps:wsp>
                        <wps:cNvPr id="705412" name="Shape 705412"/>
                        <wps:cNvSpPr/>
                        <wps:spPr>
                          <a:xfrm>
                            <a:off x="0" y="0"/>
                            <a:ext cx="6285698" cy="3101708"/>
                          </a:xfrm>
                          <a:custGeom>
                            <a:avLst/>
                            <a:gdLst/>
                            <a:ahLst/>
                            <a:cxnLst/>
                            <a:rect l="0" t="0" r="0" b="0"/>
                            <a:pathLst>
                              <a:path w="6285698" h="3101708">
                                <a:moveTo>
                                  <a:pt x="6285698" y="3101708"/>
                                </a:moveTo>
                                <a:lnTo>
                                  <a:pt x="0" y="3101708"/>
                                </a:lnTo>
                                <a:lnTo>
                                  <a:pt x="0" y="0"/>
                                </a:lnTo>
                                <a:lnTo>
                                  <a:pt x="6285698" y="0"/>
                                </a:lnTo>
                              </a:path>
                            </a:pathLst>
                          </a:custGeom>
                          <a:ln w="12601" cap="flat">
                            <a:round/>
                          </a:ln>
                        </wps:spPr>
                        <wps:style>
                          <a:lnRef idx="1">
                            <a:srgbClr val="868686"/>
                          </a:lnRef>
                          <a:fillRef idx="1">
                            <a:srgbClr val="868686"/>
                          </a:fillRef>
                          <a:effectRef idx="0">
                            <a:scrgbClr r="0" g="0" b="0"/>
                          </a:effectRef>
                          <a:fontRef idx="none"/>
                        </wps:style>
                        <wps:bodyPr/>
                      </wps:wsp>
                    </wpg:wgp>
                  </a:graphicData>
                </a:graphic>
              </wp:inline>
            </w:drawing>
          </mc:Choice>
          <mc:Fallback xmlns:a="http://schemas.openxmlformats.org/drawingml/2006/main">
            <w:pict>
              <v:group id="Group 678458" style="width:495.938pt;height:244.229pt;mso-position-horizontal-relative:char;mso-position-vertical-relative:line" coordsize="62984,31017">
                <v:shape id="Shape 79688" style="position:absolute;width:19468;height:25172;left:24510;top:1348;" coordsize="1946803,2517299" path="m687152,0l776129,0l827099,12827l877943,12827l916076,25400l967174,25400l1005306,38099l1056023,50926l1094155,63499l1132288,76453l1183386,101853l1221519,114426l1297784,152526l1374050,203452l1437731,241552l1488829,279652l1526962,318005l1577679,368678l1628776,407032l1666909,457705l1705042,508631l1743174,559558l1768723,610230l1806856,661157l1832405,712084l1857573,762757l1870538,826256l1895705,877309l1908670,940809l1921254,1004308l1933838,1055235l1946803,1118862l1946803,1423913l1933838,1487413l1921254,1538467l1908670,1601966l1883122,1665465l1870538,1716138l1844989,1779688l1806856,1830640l1781307,1894191l1743174,1945143l1705042,1995790l1666909,2046742l1628776,2097694l1590644,2148341l1539546,2186708l1488829,2224770l1450696,2262831l1399598,2300905l1348882,2339272l1285200,2364748l1234103,2389919l1183386,2415395l1119705,2440871l1068988,2453457l1005306,2478933l954208,2491823l890527,2504408l827099,2504408l776129,2517299l585338,2517299l521656,2504408l470685,2491823l407258,2478933l343576,2466347l279895,2453457l228924,2428285l165496,2402809l114398,2377333l50717,2351857l0,2313796l687152,1258434l687152,0x">
                  <v:stroke weight="0pt" endcap="flat" joinstyle="miter" miterlimit="10" on="false" color="#000000" opacity="0"/>
                  <v:fill on="true" color="#616161"/>
                </v:shape>
                <v:shape id="Shape 79689" style="position:absolute;width:12599;height:12078;left:18783;top:12407;" coordsize="1259905,1207888" path="m12965,0l1259905,152526l572753,1207888l496488,1156923l432807,1093386l369125,1042433l305443,978896l254727,902773l203629,839235l152912,762807l114779,686671l76647,597657l51098,521204l38514,432559l12965,343533l12965,305179l0,267079l0,38353l12965,0x">
                  <v:stroke weight="0pt" endcap="flat" joinstyle="miter" miterlimit="10" on="false" color="#000000" opacity="0"/>
                  <v:fill on="true" color="#b3b3b3"/>
                </v:shape>
                <v:shape id="Shape 79690" style="position:absolute;width:12469;height:10168;left:18912;top:3764;" coordsize="1246940,1016882" path="m508691,0l1246940,1016882l0,864356l12584,788283l25549,737357l38133,673730l50716,610231l76266,546731l101814,483105l127363,432178l165496,381505l190664,318006l228797,267079l267310,216153l318027,165480l356160,127126l407258,76453l457974,38100l508691,0x">
                  <v:stroke weight="0pt" endcap="flat" joinstyle="miter" miterlimit="10" on="false" color="#000000" opacity="0"/>
                  <v:fill on="true" color="#818181"/>
                </v:shape>
                <v:shape id="Shape 79691" style="position:absolute;width:7382;height:12584;left:23999;top:1348;" coordsize="738250,1258434" path="m636435,0l738250,0l738250,1258434l0,241552l38514,216026l76647,190626l127363,165480l165496,139953l216594,114426l254727,89026l305443,76453l356541,63499l394674,50926l445517,38099l496488,25400l547332,12827l598303,12827l636435,0x">
                  <v:stroke weight="0pt" endcap="flat" joinstyle="miter" miterlimit="10" on="false" color="#000000" opacity="0"/>
                  <v:fill on="true" color="#505050"/>
                </v:shape>
                <v:rect id="Rectangle 79692" style="position:absolute;width:1705;height:1723;left:34817;top:15649;" filled="f" stroked="f">
                  <v:textbox inset="0,0,0,0">
                    <w:txbxContent>
                      <w:p>
                        <w:pPr>
                          <w:spacing w:before="0" w:after="160" w:line="259" w:lineRule="auto"/>
                          <w:ind w:left="0" w:firstLine="0"/>
                          <w:jc w:val="left"/>
                        </w:pPr>
                        <w:r>
                          <w:rPr>
                            <w:rFonts w:cs="Calibri" w:hAnsi="Calibri" w:eastAsia="Calibri" w:ascii="Calibri"/>
                            <w:sz w:val="20"/>
                          </w:rPr>
                          <w:t xml:space="preserve">59</w:t>
                        </w:r>
                      </w:p>
                    </w:txbxContent>
                  </v:textbox>
                </v:rect>
                <v:rect id="Rectangle 79693" style="position:absolute;width:1211;height:1723;left:36089;top:15649;" filled="f" stroked="f">
                  <v:textbox inset="0,0,0,0">
                    <w:txbxContent>
                      <w:p>
                        <w:pPr>
                          <w:spacing w:before="0" w:after="160" w:line="259" w:lineRule="auto"/>
                          <w:ind w:left="0" w:firstLine="0"/>
                          <w:jc w:val="left"/>
                        </w:pPr>
                        <w:r>
                          <w:rPr>
                            <w:rFonts w:cs="Calibri" w:hAnsi="Calibri" w:eastAsia="Calibri" w:ascii="Calibri"/>
                            <w:sz w:val="20"/>
                          </w:rPr>
                          <w:t xml:space="preserve">%</w:t>
                        </w:r>
                      </w:p>
                    </w:txbxContent>
                  </v:textbox>
                </v:rect>
                <v:rect id="Rectangle 79694" style="position:absolute;width:1960;height:1898;left:23237;top:16568;" filled="f" stroked="f">
                  <v:textbox inset="0,0,0,0">
                    <w:txbxContent>
                      <w:p>
                        <w:pPr>
                          <w:spacing w:before="0" w:after="160" w:line="259" w:lineRule="auto"/>
                          <w:ind w:left="0" w:firstLine="0"/>
                          <w:jc w:val="left"/>
                        </w:pPr>
                        <w:r>
                          <w:rPr>
                            <w:rFonts w:cs="Calibri" w:hAnsi="Calibri" w:eastAsia="Calibri" w:ascii="Calibri"/>
                            <w:sz w:val="22"/>
                          </w:rPr>
                          <w:t xml:space="preserve">18</w:t>
                        </w:r>
                      </w:p>
                    </w:txbxContent>
                  </v:textbox>
                </v:rect>
                <v:rect id="Rectangle 79695" style="position:absolute;width:1333;height:1898;left:24636;top:16568;" filled="f" stroked="f">
                  <v:textbox inset="0,0,0,0">
                    <w:txbxContent>
                      <w:p>
                        <w:pPr>
                          <w:spacing w:before="0" w:after="160" w:line="259" w:lineRule="auto"/>
                          <w:ind w:left="0" w:firstLine="0"/>
                          <w:jc w:val="left"/>
                        </w:pPr>
                        <w:r>
                          <w:rPr>
                            <w:rFonts w:cs="Calibri" w:hAnsi="Calibri" w:eastAsia="Calibri" w:ascii="Calibri"/>
                            <w:sz w:val="22"/>
                          </w:rPr>
                          <w:t xml:space="preserve">%</w:t>
                        </w:r>
                      </w:p>
                    </w:txbxContent>
                  </v:textbox>
                </v:rect>
                <v:rect id="Rectangle 79696" style="position:absolute;width:1792;height:1898;left:22729;top:9196;" filled="f" stroked="f">
                  <v:textbox inset="0,0,0,0">
                    <w:txbxContent>
                      <w:p>
                        <w:pPr>
                          <w:spacing w:before="0" w:after="160" w:line="259" w:lineRule="auto"/>
                          <w:ind w:left="0" w:firstLine="0"/>
                          <w:jc w:val="left"/>
                        </w:pPr>
                        <w:r>
                          <w:rPr>
                            <w:rFonts w:cs="Calibri" w:hAnsi="Calibri" w:eastAsia="Calibri" w:ascii="Calibri"/>
                            <w:sz w:val="22"/>
                          </w:rPr>
                          <w:t xml:space="preserve">13</w:t>
                        </w:r>
                      </w:p>
                    </w:txbxContent>
                  </v:textbox>
                </v:rect>
                <v:rect id="Rectangle 79697" style="position:absolute;width:1333;height:1898;left:24129;top:9196;" filled="f" stroked="f">
                  <v:textbox inset="0,0,0,0">
                    <w:txbxContent>
                      <w:p>
                        <w:pPr>
                          <w:spacing w:before="0" w:after="160" w:line="259" w:lineRule="auto"/>
                          <w:ind w:left="0" w:firstLine="0"/>
                          <w:jc w:val="left"/>
                        </w:pPr>
                        <w:r>
                          <w:rPr>
                            <w:rFonts w:cs="Calibri" w:hAnsi="Calibri" w:eastAsia="Calibri" w:ascii="Calibri"/>
                            <w:sz w:val="22"/>
                          </w:rPr>
                          <w:t xml:space="preserve">%</w:t>
                        </w:r>
                      </w:p>
                    </w:txbxContent>
                  </v:textbox>
                </v:rect>
                <v:rect id="Rectangle 79698" style="position:absolute;width:1792;height:1898;left:27946;top:5002;" filled="f" stroked="f">
                  <v:textbox inset="0,0,0,0">
                    <w:txbxContent>
                      <w:p>
                        <w:pPr>
                          <w:spacing w:before="0" w:after="160" w:line="259" w:lineRule="auto"/>
                          <w:ind w:left="0" w:firstLine="0"/>
                          <w:jc w:val="left"/>
                        </w:pPr>
                        <w:r>
                          <w:rPr>
                            <w:rFonts w:cs="Calibri" w:hAnsi="Calibri" w:eastAsia="Calibri" w:ascii="Calibri"/>
                            <w:sz w:val="22"/>
                          </w:rPr>
                          <w:t xml:space="preserve">10</w:t>
                        </w:r>
                      </w:p>
                    </w:txbxContent>
                  </v:textbox>
                </v:rect>
                <v:rect id="Rectangle 79699" style="position:absolute;width:1333;height:1898;left:29345;top:5002;" filled="f" stroked="f">
                  <v:textbox inset="0,0,0,0">
                    <w:txbxContent>
                      <w:p>
                        <w:pPr>
                          <w:spacing w:before="0" w:after="160" w:line="259" w:lineRule="auto"/>
                          <w:ind w:left="0" w:firstLine="0"/>
                          <w:jc w:val="left"/>
                        </w:pPr>
                        <w:r>
                          <w:rPr>
                            <w:rFonts w:cs="Calibri" w:hAnsi="Calibri" w:eastAsia="Calibri" w:ascii="Calibri"/>
                            <w:sz w:val="22"/>
                          </w:rPr>
                          <w:t xml:space="preserve">%</w:t>
                        </w:r>
                      </w:p>
                    </w:txbxContent>
                  </v:textbox>
                </v:rect>
                <v:shape id="Shape 705413" style="position:absolute;width:633;height:761;left:4154;top:28682;" coordsize="63365,76125" path="m0,0l63365,0l63365,76125l0,76125l0,0">
                  <v:stroke weight="0pt" endcap="flat" joinstyle="miter" miterlimit="10" on="false" color="#000000" opacity="0"/>
                  <v:fill on="true" color="#616161"/>
                </v:shape>
                <v:rect id="Rectangle 79701" style="position:absolute;width:7779;height:1723;left:5169;top:28489;" filled="f" stroked="f">
                  <v:textbox inset="0,0,0,0">
                    <w:txbxContent>
                      <w:p>
                        <w:pPr>
                          <w:spacing w:before="0" w:after="160" w:line="259" w:lineRule="auto"/>
                          <w:ind w:left="0" w:firstLine="0"/>
                          <w:jc w:val="left"/>
                        </w:pPr>
                        <w:r>
                          <w:rPr>
                            <w:rFonts w:cs="Calibri" w:hAnsi="Calibri" w:eastAsia="Calibri" w:ascii="Calibri"/>
                            <w:sz w:val="20"/>
                          </w:rPr>
                          <w:t xml:space="preserve">Отопление</w:t>
                        </w:r>
                      </w:p>
                    </w:txbxContent>
                  </v:textbox>
                </v:rect>
                <v:shape id="Shape 705414" style="position:absolute;width:762;height:761;left:12040;top:28682;" coordsize="76285,76125" path="m0,0l76285,0l76285,76125l0,76125l0,0">
                  <v:stroke weight="0pt" endcap="flat" joinstyle="miter" miterlimit="10" on="false" color="#000000" opacity="0"/>
                  <v:fill on="true" color="#b3b3b3"/>
                </v:shape>
                <v:rect id="Rectangle 79703" style="position:absolute;width:17589;height:1723;left:13059;top:28489;" filled="f" stroked="f">
                  <v:textbox inset="0,0,0,0">
                    <w:txbxContent>
                      <w:p>
                        <w:pPr>
                          <w:spacing w:before="0" w:after="160" w:line="259" w:lineRule="auto"/>
                          <w:ind w:left="0" w:firstLine="0"/>
                          <w:jc w:val="left"/>
                        </w:pPr>
                        <w:r>
                          <w:rPr>
                            <w:rFonts w:cs="Calibri" w:hAnsi="Calibri" w:eastAsia="Calibri" w:ascii="Calibri"/>
                            <w:sz w:val="20"/>
                          </w:rPr>
                          <w:t xml:space="preserve">Горячее водоснабжение</w:t>
                        </w:r>
                      </w:p>
                    </w:txbxContent>
                  </v:textbox>
                </v:rect>
                <v:shape id="Shape 705415" style="position:absolute;width:636;height:761;left:27436;top:28682;" coordsize="63673,76125" path="m0,0l63673,0l63673,76125l0,76125l0,0">
                  <v:stroke weight="0pt" endcap="flat" joinstyle="miter" miterlimit="10" on="false" color="#000000" opacity="0"/>
                  <v:fill on="true" color="#818181"/>
                </v:shape>
                <v:rect id="Rectangle 79705" style="position:absolute;width:15465;height:1723;left:28327;top:28489;" filled="f" stroked="f">
                  <v:textbox inset="0,0,0,0">
                    <w:txbxContent>
                      <w:p>
                        <w:pPr>
                          <w:spacing w:before="0" w:after="160" w:line="259" w:lineRule="auto"/>
                          <w:ind w:left="0" w:firstLine="0"/>
                          <w:jc w:val="left"/>
                        </w:pPr>
                        <w:r>
                          <w:rPr>
                            <w:rFonts w:cs="Calibri" w:hAnsi="Calibri" w:eastAsia="Calibri" w:ascii="Calibri"/>
                            <w:sz w:val="20"/>
                          </w:rPr>
                          <w:t xml:space="preserve">Приготовление пищи</w:t>
                        </w:r>
                      </w:p>
                    </w:txbxContent>
                  </v:textbox>
                </v:rect>
                <v:shape id="Shape 705416" style="position:absolute;width:762;height:761;left:40924;top:28682;" coordsize="76284,76125" path="m0,0l76284,0l76284,76125l0,76125l0,0">
                  <v:stroke weight="0pt" endcap="flat" joinstyle="miter" miterlimit="10" on="false" color="#000000" opacity="0"/>
                  <v:fill on="true" color="#505050"/>
                </v:shape>
                <v:rect id="Rectangle 79707" style="position:absolute;width:22835;height:1723;left:41942;top:28489;" filled="f" stroked="f">
                  <v:textbox inset="0,0,0,0">
                    <w:txbxContent>
                      <w:p>
                        <w:pPr>
                          <w:spacing w:before="0" w:after="160" w:line="259" w:lineRule="auto"/>
                          <w:ind w:left="0" w:firstLine="0"/>
                          <w:jc w:val="left"/>
                        </w:pPr>
                        <w:r>
                          <w:rPr>
                            <w:rFonts w:cs="Calibri" w:hAnsi="Calibri" w:eastAsia="Calibri" w:ascii="Calibri"/>
                            <w:sz w:val="20"/>
                          </w:rPr>
                          <w:t xml:space="preserve">Приборы и бытовое освещение</w:t>
                        </w:r>
                      </w:p>
                    </w:txbxContent>
                  </v:textbox>
                </v:rect>
                <v:shape id="Shape 705417" style="position:absolute;width:127;height:31017;left:62856;top:0;" coordsize="12711,3101708" path="m0,0l12711,0l12711,3101708l0,3101708l0,0">
                  <v:stroke weight="0.992173pt" endcap="flat" joinstyle="round" on="true" color="#868686"/>
                  <v:fill on="true" color="#868686"/>
                </v:shape>
                <v:shape id="Shape 705418" style="position:absolute;width:62856;height:31017;left:0;top:0;" coordsize="6285698,3101708" path="m6285698,3101708l0,3101708l0,0l6285698,0">
                  <v:stroke weight="0.992173pt" endcap="flat" joinstyle="round" on="true" color="#868686"/>
                  <v:fill on="true" color="#868686"/>
                </v:shape>
              </v:group>
            </w:pict>
          </mc:Fallback>
        </mc:AlternateContent>
      </w:r>
    </w:p>
    <w:p w:rsidR="002C0F56" w:rsidRDefault="00E67C6E">
      <w:pPr>
        <w:spacing w:after="5" w:line="271" w:lineRule="auto"/>
        <w:ind w:left="2007" w:right="396" w:hanging="10"/>
        <w:jc w:val="left"/>
      </w:pPr>
      <w:r>
        <w:rPr>
          <w:b/>
          <w:sz w:val="24"/>
        </w:rPr>
        <w:t xml:space="preserve">Рис. 1. Структура конечного потребления энергии в домашних хозяйствах </w:t>
      </w:r>
    </w:p>
    <w:p w:rsidR="002C0F56" w:rsidRDefault="00E67C6E">
      <w:pPr>
        <w:spacing w:after="0" w:line="259" w:lineRule="auto"/>
        <w:ind w:left="1558" w:firstLine="0"/>
        <w:jc w:val="left"/>
      </w:pPr>
      <w:r>
        <w:t xml:space="preserve"> </w:t>
      </w:r>
    </w:p>
    <w:p w:rsidR="002C0F56" w:rsidRDefault="00E67C6E">
      <w:pPr>
        <w:spacing w:after="7"/>
        <w:ind w:left="994" w:right="302"/>
      </w:pPr>
      <w:r>
        <w:t>Из всего вышесказанного следует, что всё большее количество запасов энергоресурсов приходится на домашние хозяйства. Наибольшую часть потребления занимают отопление и горячее водоснабжение. Для снижения объёмов потребления целесообразно осуществлять эконом</w:t>
      </w:r>
      <w:r>
        <w:t>ию энергии. Нужно понимать это действие не как отказ от комфорта, а наоборот, — цели энергосбережения — это обеспечение необходимых условий жизни для населения. В этой связи важно решить вопрос о нормировании расходов  потребления ресурсов (жилищно-коммуна</w:t>
      </w:r>
      <w:r>
        <w:t xml:space="preserve">льных услуг) и о суммах их оплаты, что возможно путём более тщательного учёта посредством определения средних или удельных величин потребления ресурса за сутки или неделю </w:t>
      </w:r>
    </w:p>
    <w:p w:rsidR="002C0F56" w:rsidRDefault="00E67C6E">
      <w:pPr>
        <w:spacing w:after="12"/>
        <w:ind w:left="994" w:right="302" w:firstLine="0"/>
      </w:pPr>
      <w:r>
        <w:t xml:space="preserve">(месяц, год).  </w:t>
      </w:r>
    </w:p>
    <w:p w:rsidR="002C0F56" w:rsidRDefault="00E67C6E">
      <w:pPr>
        <w:spacing w:after="2"/>
        <w:ind w:left="994" w:right="302"/>
      </w:pPr>
      <w:r>
        <w:t>Снижение тарифов за расходование электроэнергии в ночное время также</w:t>
      </w:r>
      <w:r>
        <w:t xml:space="preserve"> является немаловажным фактором в среде экономии энергоресурсов. Это позволит отслеживать ежедневные затраты и повысит стремление к экономии у энергопользователей.  </w:t>
      </w:r>
    </w:p>
    <w:p w:rsidR="002C0F56" w:rsidRDefault="00E67C6E">
      <w:pPr>
        <w:spacing w:after="12"/>
        <w:ind w:left="994" w:right="302"/>
      </w:pPr>
      <w:r>
        <w:t xml:space="preserve">Решением также может выступить и переход на альтернативные источники энергии. Например, в </w:t>
      </w:r>
      <w:r>
        <w:t xml:space="preserve">настоящее время получает развитие белорусский проект “Энергодом” по разработке технологий энергоэффективного строительства частных домов, </w:t>
      </w:r>
      <w:r>
        <w:rPr>
          <w:b/>
        </w:rPr>
        <w:t>которые не просто сохраняют энергию, но и сами ее вырабатывают</w:t>
      </w:r>
      <w:r>
        <w:t>,</w:t>
      </w:r>
      <w:r>
        <w:rPr>
          <w:b/>
        </w:rPr>
        <w:t xml:space="preserve"> </w:t>
      </w:r>
      <w:r>
        <w:t>что впоследствии положительно повлияет на экономию эне</w:t>
      </w:r>
      <w:r>
        <w:t xml:space="preserve">ргии [2].  </w:t>
      </w:r>
    </w:p>
    <w:p w:rsidR="002C0F56" w:rsidRDefault="00E67C6E">
      <w:pPr>
        <w:spacing w:after="25" w:line="259" w:lineRule="auto"/>
        <w:ind w:left="1558" w:firstLine="0"/>
        <w:jc w:val="left"/>
      </w:pPr>
      <w:r>
        <w:rPr>
          <w:b/>
        </w:rPr>
        <w:lastRenderedPageBreak/>
        <w:t xml:space="preserve"> </w:t>
      </w:r>
    </w:p>
    <w:p w:rsidR="002C0F56" w:rsidRDefault="00E67C6E">
      <w:pPr>
        <w:spacing w:after="15" w:line="268" w:lineRule="auto"/>
        <w:ind w:left="1262" w:hanging="10"/>
        <w:jc w:val="center"/>
      </w:pPr>
      <w:r>
        <w:t xml:space="preserve">Список литературы: </w:t>
      </w:r>
    </w:p>
    <w:p w:rsidR="002C0F56" w:rsidRDefault="00E67C6E">
      <w:pPr>
        <w:numPr>
          <w:ilvl w:val="0"/>
          <w:numId w:val="263"/>
        </w:numPr>
        <w:ind w:right="302"/>
      </w:pPr>
      <w:r>
        <w:t>Потребление энергии в домашних хозяйствах Республики Беларусь [Электронный ресурс] / Национальный статистический комитет РБ.– Режим доступа: http://www.belstat.gov.by/upload-belstat/upload-belstatpdf/oficial_statistika /Po</w:t>
      </w:r>
      <w:r>
        <w:t xml:space="preserve">treblenie_energii_v_dom_hoz.pdf.- Дата доступа: 12.04.2017. </w:t>
      </w:r>
    </w:p>
    <w:p w:rsidR="002C0F56" w:rsidRDefault="00E67C6E">
      <w:pPr>
        <w:numPr>
          <w:ilvl w:val="0"/>
          <w:numId w:val="263"/>
        </w:numPr>
        <w:ind w:right="302"/>
      </w:pPr>
      <w:r>
        <w:t xml:space="preserve">Энергоэффективный дом - что это такое? [Электронный ресурс] / ЭнергоДом.– Режим доступа: http://energodom.by/.- Дата доступа: 12.04.2017. </w:t>
      </w:r>
    </w:p>
    <w:p w:rsidR="002C0F56" w:rsidRDefault="00E67C6E">
      <w:pPr>
        <w:spacing w:after="0" w:line="259" w:lineRule="auto"/>
        <w:ind w:left="1558" w:firstLine="0"/>
        <w:jc w:val="left"/>
      </w:pPr>
      <w:r>
        <w:t xml:space="preserve"> </w:t>
      </w:r>
    </w:p>
    <w:p w:rsidR="002C0F56" w:rsidRDefault="00E67C6E">
      <w:pPr>
        <w:spacing w:after="29" w:line="259" w:lineRule="auto"/>
        <w:ind w:left="1558" w:firstLine="0"/>
        <w:jc w:val="left"/>
      </w:pPr>
      <w:r>
        <w:t xml:space="preserve"> </w:t>
      </w:r>
    </w:p>
    <w:p w:rsidR="002C0F56" w:rsidRDefault="00E67C6E">
      <w:pPr>
        <w:spacing w:after="25" w:line="259" w:lineRule="auto"/>
        <w:ind w:left="10" w:right="307" w:hanging="10"/>
        <w:jc w:val="right"/>
      </w:pPr>
      <w:r>
        <w:rPr>
          <w:b/>
        </w:rPr>
        <w:t xml:space="preserve">Хмелевский Б.В. </w:t>
      </w:r>
    </w:p>
    <w:p w:rsidR="002C0F56" w:rsidRDefault="00E67C6E">
      <w:pPr>
        <w:spacing w:after="11" w:line="270" w:lineRule="auto"/>
        <w:ind w:left="10" w:right="310" w:hanging="10"/>
        <w:jc w:val="right"/>
      </w:pPr>
      <w:r>
        <w:t xml:space="preserve">Научный руководитель:  Иванченко Е. Н </w:t>
      </w:r>
    </w:p>
    <w:p w:rsidR="002C0F56" w:rsidRDefault="00E67C6E">
      <w:pPr>
        <w:spacing w:after="0" w:line="267" w:lineRule="auto"/>
        <w:ind w:left="905" w:right="310" w:hanging="10"/>
        <w:jc w:val="right"/>
      </w:pPr>
      <w:r>
        <w:rPr>
          <w:i/>
        </w:rPr>
        <w:t xml:space="preserve">Макеевский медицинский колледж  </w:t>
      </w:r>
    </w:p>
    <w:p w:rsidR="002C0F56" w:rsidRDefault="00E67C6E">
      <w:pPr>
        <w:spacing w:after="30" w:line="259" w:lineRule="auto"/>
        <w:ind w:left="994" w:firstLine="0"/>
        <w:jc w:val="left"/>
      </w:pPr>
      <w:r>
        <w:t xml:space="preserve"> </w:t>
      </w:r>
    </w:p>
    <w:p w:rsidR="002C0F56" w:rsidRDefault="00E67C6E">
      <w:pPr>
        <w:pStyle w:val="1"/>
        <w:spacing w:after="15" w:line="271" w:lineRule="auto"/>
        <w:ind w:left="1268" w:right="0"/>
        <w:jc w:val="left"/>
      </w:pPr>
      <w:r>
        <w:t xml:space="preserve">РЕШЕНИЕ ПРОБЛЕМЫ ГЕЛЬМИНТОЗОВ – ОДНА ИЗ ОСНОВНЫХ </w:t>
      </w:r>
    </w:p>
    <w:p w:rsidR="002C0F56" w:rsidRDefault="00E67C6E">
      <w:pPr>
        <w:pStyle w:val="1"/>
        <w:ind w:left="700" w:right="4"/>
      </w:pPr>
      <w:r>
        <w:t xml:space="preserve">СТОРОН ЭКОЛОГИЧЕСКОГО ВОСПИТАНИЯ ДЕТЕЙ </w:t>
      </w:r>
    </w:p>
    <w:p w:rsidR="002C0F56" w:rsidRDefault="00E67C6E">
      <w:pPr>
        <w:spacing w:after="0" w:line="259" w:lineRule="auto"/>
        <w:ind w:left="1558" w:firstLine="0"/>
        <w:jc w:val="left"/>
      </w:pPr>
      <w:r>
        <w:t xml:space="preserve"> </w:t>
      </w:r>
    </w:p>
    <w:p w:rsidR="002C0F56" w:rsidRDefault="00E67C6E">
      <w:pPr>
        <w:spacing w:after="11"/>
        <w:ind w:left="994" w:right="302"/>
      </w:pPr>
      <w:r>
        <w:t>Одной из важнейших задач нашей молодой Донецкой Народной республики является охрана здоров</w:t>
      </w:r>
      <w:r>
        <w:t xml:space="preserve">ья населения. Борьба с паразитами человека и животных является глобальной проблемой соответствующих министерств. </w:t>
      </w:r>
    </w:p>
    <w:p w:rsidR="002C0F56" w:rsidRDefault="00E67C6E">
      <w:pPr>
        <w:ind w:left="994" w:right="302"/>
      </w:pPr>
      <w:r>
        <w:t>В данной статье кратко рассмотрена ситуация по основным паразитарным болезням людей в мире, а также подробнее – по гельминтозам детей в Донецк</w:t>
      </w:r>
      <w:r>
        <w:t xml:space="preserve">ой Народной республике. </w:t>
      </w:r>
    </w:p>
    <w:p w:rsidR="002C0F56" w:rsidRDefault="00E67C6E">
      <w:pPr>
        <w:spacing w:after="0"/>
        <w:ind w:left="994" w:right="302"/>
      </w:pPr>
      <w:r>
        <w:t xml:space="preserve">Гельминтозы – это целая группа заболеваний, которые возникают в результате жизнедеятельности внутри человека паразитических многоклеточных организмов. Относятся они к низшим червям. На данный момент известно более 250 видов данных </w:t>
      </w:r>
      <w:r>
        <w:t>паразитов. Стоит отметить, что гельминты являются основной причиной развития многих заболеваний. По данным ВОЗ, каждый год приблизительно каждый второй человек на планете заражается одним из трёх основных видов гельминтов, что приводит к энтеробиозу, анкил</w:t>
      </w:r>
      <w:r>
        <w:t xml:space="preserve">остомозу, трихоцефалезу и аскаридозу. </w:t>
      </w:r>
    </w:p>
    <w:p w:rsidR="002C0F56" w:rsidRDefault="00E67C6E">
      <w:pPr>
        <w:spacing w:after="2"/>
        <w:ind w:left="994" w:right="302"/>
      </w:pPr>
      <w:r>
        <w:t xml:space="preserve">    В наше время значимость гельминтозов недооценивается. Тем не менее, только в нашем регионе ежегодно выявляется более полумиллиона зараженных глистами людей, из которых более 80%-</w:t>
      </w:r>
      <w:r>
        <w:t>дети, так как они подвергнуты большему риску заражения. Очевидно, что причинами гельминтозов являются паразитические черви, или их личинки, попадающие в организм человека и поражающие различные органы и системы. У каждого вида гельминтоза имеется собственн</w:t>
      </w:r>
      <w:r>
        <w:t xml:space="preserve">ая причина – какой-либо конкретный червь или его личинки, способные паразитировать в органах и тканях организма человека. Так, </w:t>
      </w:r>
      <w:r>
        <w:lastRenderedPageBreak/>
        <w:t>причиной энтеробиоза являются черви острицы, тениоза – свиные цепни, цистицеркоза – личинки свиного цепня и т. д. Однако, условно</w:t>
      </w:r>
      <w:r>
        <w:t xml:space="preserve"> можно назвать причинами гельминтозов различные факторы, благодаря которым создаются идеальные условия для проникновения паразитов в организм человека. Ктаким факторам, делающим максимальной вероятность инфицирования гельминтозами, относят следующие: 1) на</w:t>
      </w:r>
      <w:r>
        <w:t>рушение правил личной гигиены, 2) неправильная, или некачественная обработка продуктов питания, 3) состояния ослабленного иммунитета, 4) дисбактериоз кишечника и заболевания пищеварительного тракта. Источником заражения гельминтозами являются люди, уже стр</w:t>
      </w:r>
      <w:r>
        <w:t>адающие паразитарными инфекциями, а также инфицированные домашние и дикие животные. Инфицированные люди и животные выделяют во внешнюю среду яйца и личинки гельминтов, которые попадают в почву, воду и на растительность. Для некоторых гельминтозов источнико</w:t>
      </w:r>
      <w:r>
        <w:t>м заражения является исключительно другой уже инфицированный человек, для других – больные люди и животные, а для третьих – только животные. Так, передача от человека к человеку характерна для аскаридоза, трихоцефалеза, энтеробиоза, анкилостомоза, гименоле</w:t>
      </w:r>
      <w:r>
        <w:t xml:space="preserve">пидоза, тениидоза и т. д. От животных и человека передаются следующие гельминтозы фасциолез, описторхоз, дифиллоботриоз и др. И исключительно от животных человеку передаются эхинококкоз, альвеококкоз и трихинеллез. </w:t>
      </w:r>
    </w:p>
    <w:p w:rsidR="002C0F56" w:rsidRDefault="00E67C6E">
      <w:pPr>
        <w:ind w:left="994" w:right="302"/>
      </w:pPr>
      <w:r>
        <w:t>Инфицирование гельминтами человека может</w:t>
      </w:r>
      <w:r>
        <w:t xml:space="preserve"> происходить различными путями, такими, как: </w:t>
      </w:r>
    </w:p>
    <w:p w:rsidR="002C0F56" w:rsidRDefault="00E67C6E">
      <w:pPr>
        <w:ind w:left="994" w:right="302"/>
      </w:pPr>
      <w:r>
        <w:t>1) Фекально-оральный (черви, их личинки или яйца попадают в организм с загрязненной водой или пищей, например, плохо промытыми овощами и фруктами или недостаточно термически обработанными продуктами животного п</w:t>
      </w:r>
      <w:r>
        <w:t xml:space="preserve">роисхождения – мясом, сыром, молоком и т. д.). Данный путь инфицирования характерен для энтеробиоза, аскаридоза и др. </w:t>
      </w:r>
    </w:p>
    <w:p w:rsidR="002C0F56" w:rsidRDefault="00E67C6E">
      <w:pPr>
        <w:spacing w:after="10"/>
        <w:ind w:left="994" w:right="302"/>
      </w:pPr>
      <w:r>
        <w:t>2)Перкутанный (черви, их личинки или яйца внедряются в организм через неповрежденные кожные покровы и слизистые оболочки). Данный путь ин</w:t>
      </w:r>
      <w:r>
        <w:t xml:space="preserve">фицирования характерен для шистосом и анкилостомид. </w:t>
      </w:r>
    </w:p>
    <w:p w:rsidR="002C0F56" w:rsidRDefault="00E67C6E">
      <w:pPr>
        <w:ind w:left="994" w:right="302"/>
      </w:pPr>
      <w:r>
        <w:t xml:space="preserve">3)Трансмиссивный инокуляционный (черви или их личинки попадают в организм человека при укусе насекомых). </w:t>
      </w:r>
    </w:p>
    <w:p w:rsidR="002C0F56" w:rsidRDefault="00E67C6E">
      <w:pPr>
        <w:spacing w:after="0"/>
        <w:ind w:left="994" w:right="302"/>
      </w:pPr>
      <w:r>
        <w:t xml:space="preserve">Проводимые в Донецком регионе противогельминтные мероприятия часто не дают желаемого результата. </w:t>
      </w:r>
      <w:r>
        <w:t>Это связано со слабой изученностью биологии гельминтов, эпидемиологических и эпизоотологических особенностей гельминтов, влияния природных и социальных факторов на эпидемический и эпизоотический процессы, недостаточной разработкой дифференциальной диагност</w:t>
      </w:r>
      <w:r>
        <w:t xml:space="preserve">ики, методов борьбы и профилактики рассматриваемых заразных болезней. Наиболее часто у детей регистрируются энтеробиоз, аскаридоз и трихоцефалез. Проблемами также остаются описторхоз, трихинеллез, </w:t>
      </w:r>
      <w:r>
        <w:lastRenderedPageBreak/>
        <w:t>эхинококкоз и гименолепидоз. Заболеваемость названными гель</w:t>
      </w:r>
      <w:r>
        <w:t>минтозами в ряде возрастных групп детей за последние годы повышается. Дети имеют больший риск заражения гельминтозами, по сравнению со взрослыми по целому ряду причин. Во-первых, дети контактируют с большим количеством сверстников, которые не всегда здоров</w:t>
      </w:r>
      <w:r>
        <w:t>ы. Во-вторых, иммунная система детей не до конца сформирована, вследствие чего они легче и быстрее инфицируются паразитами. В-третьих, дети не обладают хорошо развитыми навыками личной гигиены, а часто и попросту пренебрегают ими, облизывая грязные руки, п</w:t>
      </w:r>
      <w:r>
        <w:t>робуя различные предметы на вкус и т. д. Соответственно, гельминтозы у детей встречаются чаще, чем у взрослых людей. Гельминтозы у детей проявляются симптомами интоксикации (температура, слабость, боли в суставах и мышцах, и т. д.), аллергическими реакциям</w:t>
      </w:r>
      <w:r>
        <w:t xml:space="preserve">и и синдромом часто болеющего ребенка. Наиболее часто у детей встречается энтеробиоз (до 75% от всех случаев гельминтозов). В этом случае ребенок жалуется на зуд в области ануса. Вторым по частоте встречаемости гельминтозом у детей является аскаридоз, при </w:t>
      </w:r>
      <w:r>
        <w:t xml:space="preserve">котором ребенок страдает от кишечной непроходимости. </w:t>
      </w:r>
    </w:p>
    <w:p w:rsidR="002C0F56" w:rsidRDefault="00E67C6E">
      <w:pPr>
        <w:ind w:left="994" w:right="302"/>
      </w:pPr>
      <w:r>
        <w:t xml:space="preserve">Часто наблюдается вторичное заражение. В этом и заключается трудность в лечении энтеробиоза. </w:t>
      </w:r>
    </w:p>
    <w:p w:rsidR="002C0F56" w:rsidRDefault="00E67C6E">
      <w:pPr>
        <w:ind w:left="994" w:right="302"/>
      </w:pPr>
      <w:r>
        <w:t>В остальном клиническая симптоматика, диагностика, профилактика и принципы лечения гельминтозов у детей таки</w:t>
      </w:r>
      <w:r>
        <w:t xml:space="preserve">е же, как и у взрослых людей. </w:t>
      </w:r>
    </w:p>
    <w:p w:rsidR="002C0F56" w:rsidRDefault="00E67C6E">
      <w:pPr>
        <w:spacing w:after="2"/>
        <w:ind w:left="994" w:right="302"/>
      </w:pPr>
      <w:r>
        <w:t>Учитывая все вышесказанное, студентами отделения «Лабораторная диагностика», Макеевского медицинского колледжа, была проведена лекция, с элементами санитарно-просветительной работы среди учащихся 2,7 и 10 классов ОШ – I-III с</w:t>
      </w:r>
      <w:r>
        <w:t>т. №49 г.Донецка, где рассмотрена актуальность проблемы гельминтозов, их  причины и меры профилактики, проведен социальный опрос о правилах личной гигиены школьников, который показал что большинство учащихся школ  понятия не имеют, что такое гельминты, как</w:t>
      </w:r>
      <w:r>
        <w:t xml:space="preserve"> они проникают в организм человека и чем они опасны.  Что требует дополнительного внимания и объяснения данной проблемы со стороны педагогов и родителей с использованием методических рекомендаций по данному вопросу . </w:t>
      </w:r>
    </w:p>
    <w:p w:rsidR="002C0F56" w:rsidRDefault="00E67C6E">
      <w:pPr>
        <w:spacing w:after="0"/>
        <w:ind w:left="994" w:right="302"/>
      </w:pPr>
      <w:r>
        <w:t>Вывод: Изучение литературы и проведенн</w:t>
      </w:r>
      <w:r>
        <w:t>ые исследования по данной теме показывают, что в Донецкой Народной республике до последнего времени гельминтологическая ситуация по гельминтозам человека и животных остается напряженной. На основе полученных данных можно сделать вывод о необходимости улучш</w:t>
      </w:r>
      <w:r>
        <w:t>ения санитарно-просветительной работы среди дошкольников и учащихся школ с целью выявления, ликвидации   распространения основных гельминтозов у детей, улучшение работы специализированных гельминтологических учреждений и внедрение в практику здравоохранени</w:t>
      </w:r>
      <w:r>
        <w:t xml:space="preserve">я и сельского хозяйства методических рекомендаций по борьбе и профилактике важнейших и опасных гельминтозов человека и животных.      </w:t>
      </w:r>
    </w:p>
    <w:p w:rsidR="002C0F56" w:rsidRDefault="00E67C6E">
      <w:pPr>
        <w:spacing w:after="0" w:line="259" w:lineRule="auto"/>
        <w:ind w:left="1558" w:right="528" w:firstLine="0"/>
        <w:jc w:val="left"/>
      </w:pPr>
      <w:r>
        <w:t xml:space="preserve"> </w:t>
      </w:r>
    </w:p>
    <w:p w:rsidR="002C0F56" w:rsidRDefault="00E67C6E">
      <w:pPr>
        <w:spacing w:after="0" w:line="259" w:lineRule="auto"/>
        <w:ind w:left="0" w:right="456" w:firstLine="0"/>
        <w:jc w:val="right"/>
      </w:pPr>
      <w:r>
        <w:rPr>
          <w:noProof/>
        </w:rPr>
        <w:lastRenderedPageBreak/>
        <w:drawing>
          <wp:inline distT="0" distB="0" distL="0" distR="0">
            <wp:extent cx="5486401" cy="2955290"/>
            <wp:effectExtent l="0" t="0" r="0" b="0"/>
            <wp:docPr id="80139" name="Picture 80139"/>
            <wp:cNvGraphicFramePr/>
            <a:graphic xmlns:a="http://schemas.openxmlformats.org/drawingml/2006/main">
              <a:graphicData uri="http://schemas.openxmlformats.org/drawingml/2006/picture">
                <pic:pic xmlns:pic="http://schemas.openxmlformats.org/drawingml/2006/picture">
                  <pic:nvPicPr>
                    <pic:cNvPr id="80139" name="Picture 80139"/>
                    <pic:cNvPicPr/>
                  </pic:nvPicPr>
                  <pic:blipFill>
                    <a:blip r:embed="rId1361"/>
                    <a:stretch>
                      <a:fillRect/>
                    </a:stretch>
                  </pic:blipFill>
                  <pic:spPr>
                    <a:xfrm>
                      <a:off x="0" y="0"/>
                      <a:ext cx="5486401" cy="2955290"/>
                    </a:xfrm>
                    <a:prstGeom prst="rect">
                      <a:avLst/>
                    </a:prstGeom>
                  </pic:spPr>
                </pic:pic>
              </a:graphicData>
            </a:graphic>
          </wp:inline>
        </w:drawing>
      </w:r>
      <w:r>
        <w:t xml:space="preserve"> </w:t>
      </w:r>
    </w:p>
    <w:p w:rsidR="002C0F56" w:rsidRDefault="00E67C6E">
      <w:pPr>
        <w:spacing w:after="5" w:line="271" w:lineRule="auto"/>
        <w:ind w:left="3157" w:right="396" w:hanging="10"/>
        <w:jc w:val="left"/>
      </w:pPr>
      <w:r>
        <w:rPr>
          <w:b/>
          <w:sz w:val="24"/>
        </w:rPr>
        <w:t xml:space="preserve">Рис. 1. Беседа с учащимися 2-Б класса об энтеробиозе </w:t>
      </w:r>
    </w:p>
    <w:p w:rsidR="002C0F56" w:rsidRDefault="00E67C6E">
      <w:pPr>
        <w:spacing w:after="0" w:line="259" w:lineRule="auto"/>
        <w:ind w:left="0" w:right="403" w:firstLine="0"/>
        <w:jc w:val="right"/>
      </w:pPr>
      <w:r>
        <w:rPr>
          <w:noProof/>
        </w:rPr>
        <w:drawing>
          <wp:inline distT="0" distB="0" distL="0" distR="0">
            <wp:extent cx="5657215" cy="3848100"/>
            <wp:effectExtent l="0" t="0" r="0" b="0"/>
            <wp:docPr id="80148" name="Picture 80148"/>
            <wp:cNvGraphicFramePr/>
            <a:graphic xmlns:a="http://schemas.openxmlformats.org/drawingml/2006/main">
              <a:graphicData uri="http://schemas.openxmlformats.org/drawingml/2006/picture">
                <pic:pic xmlns:pic="http://schemas.openxmlformats.org/drawingml/2006/picture">
                  <pic:nvPicPr>
                    <pic:cNvPr id="80148" name="Picture 80148"/>
                    <pic:cNvPicPr/>
                  </pic:nvPicPr>
                  <pic:blipFill>
                    <a:blip r:embed="rId1362"/>
                    <a:stretch>
                      <a:fillRect/>
                    </a:stretch>
                  </pic:blipFill>
                  <pic:spPr>
                    <a:xfrm>
                      <a:off x="0" y="0"/>
                      <a:ext cx="5657215" cy="3848100"/>
                    </a:xfrm>
                    <a:prstGeom prst="rect">
                      <a:avLst/>
                    </a:prstGeom>
                  </pic:spPr>
                </pic:pic>
              </a:graphicData>
            </a:graphic>
          </wp:inline>
        </w:drawing>
      </w:r>
      <w:r>
        <w:t xml:space="preserve"> </w:t>
      </w:r>
    </w:p>
    <w:p w:rsidR="002C0F56" w:rsidRDefault="00E67C6E">
      <w:pPr>
        <w:spacing w:after="5" w:line="271" w:lineRule="auto"/>
        <w:ind w:left="2792" w:right="396" w:hanging="10"/>
        <w:jc w:val="left"/>
      </w:pPr>
      <w:r>
        <w:rPr>
          <w:b/>
          <w:sz w:val="24"/>
        </w:rPr>
        <w:t xml:space="preserve">Рис. 2. Учащиеся 7-А класса слушают лекцию о гельминтах </w:t>
      </w:r>
    </w:p>
    <w:p w:rsidR="002C0F56" w:rsidRDefault="00E67C6E">
      <w:pPr>
        <w:spacing w:after="0" w:line="259" w:lineRule="auto"/>
        <w:ind w:left="1558" w:firstLine="0"/>
        <w:jc w:val="left"/>
      </w:pPr>
      <w:r>
        <w:t xml:space="preserve"> </w:t>
      </w:r>
    </w:p>
    <w:p w:rsidR="002C0F56" w:rsidRDefault="00E67C6E">
      <w:pPr>
        <w:spacing w:after="64" w:line="259" w:lineRule="auto"/>
        <w:ind w:left="1479" w:firstLine="0"/>
        <w:jc w:val="left"/>
      </w:pPr>
      <w:r>
        <w:rPr>
          <w:noProof/>
        </w:rPr>
        <w:lastRenderedPageBreak/>
        <w:drawing>
          <wp:inline distT="0" distB="0" distL="0" distR="0">
            <wp:extent cx="5903595" cy="3864610"/>
            <wp:effectExtent l="0" t="0" r="0" b="0"/>
            <wp:docPr id="80176" name="Picture 80176"/>
            <wp:cNvGraphicFramePr/>
            <a:graphic xmlns:a="http://schemas.openxmlformats.org/drawingml/2006/main">
              <a:graphicData uri="http://schemas.openxmlformats.org/drawingml/2006/picture">
                <pic:pic xmlns:pic="http://schemas.openxmlformats.org/drawingml/2006/picture">
                  <pic:nvPicPr>
                    <pic:cNvPr id="80176" name="Picture 80176"/>
                    <pic:cNvPicPr/>
                  </pic:nvPicPr>
                  <pic:blipFill>
                    <a:blip r:embed="rId1363"/>
                    <a:stretch>
                      <a:fillRect/>
                    </a:stretch>
                  </pic:blipFill>
                  <pic:spPr>
                    <a:xfrm>
                      <a:off x="0" y="0"/>
                      <a:ext cx="5903595" cy="3864610"/>
                    </a:xfrm>
                    <a:prstGeom prst="rect">
                      <a:avLst/>
                    </a:prstGeom>
                  </pic:spPr>
                </pic:pic>
              </a:graphicData>
            </a:graphic>
          </wp:inline>
        </w:drawing>
      </w:r>
    </w:p>
    <w:p w:rsidR="002C0F56" w:rsidRDefault="00E67C6E">
      <w:pPr>
        <w:spacing w:after="5" w:line="270" w:lineRule="auto"/>
        <w:ind w:left="1181" w:right="430" w:hanging="10"/>
        <w:jc w:val="center"/>
      </w:pPr>
      <w:r>
        <w:rPr>
          <w:b/>
          <w:sz w:val="24"/>
        </w:rPr>
        <w:t xml:space="preserve">Рис. 3. Учащиеся 10-В класса отвечают на вопросы анкетирования о соблюдении правил личной гигиены. </w:t>
      </w:r>
    </w:p>
    <w:p w:rsidR="002C0F56" w:rsidRDefault="00E67C6E">
      <w:pPr>
        <w:spacing w:after="0" w:line="259" w:lineRule="auto"/>
        <w:ind w:left="1558" w:firstLine="0"/>
        <w:jc w:val="left"/>
      </w:pPr>
      <w:r>
        <w:t xml:space="preserve"> </w:t>
      </w:r>
    </w:p>
    <w:p w:rsidR="002C0F56" w:rsidRDefault="00E67C6E">
      <w:pPr>
        <w:spacing w:after="12"/>
        <w:ind w:left="1558" w:right="302" w:firstLine="0"/>
      </w:pPr>
      <w:r>
        <w:t xml:space="preserve">                                                Список литературы: </w:t>
      </w:r>
    </w:p>
    <w:p w:rsidR="002C0F56" w:rsidRDefault="00E67C6E">
      <w:pPr>
        <w:spacing w:after="0"/>
        <w:ind w:left="994" w:right="302"/>
      </w:pPr>
      <w:r>
        <w:t>1.Токмалаев А.К. Гельминтозы человека: клинико­патогенетические особенности, совреме</w:t>
      </w:r>
      <w:r>
        <w:t xml:space="preserve">нное состояние диагностики и лечения // Лечащий врач. — 2009. — № 7. </w:t>
      </w:r>
    </w:p>
    <w:p w:rsidR="002C0F56" w:rsidRDefault="00E67C6E">
      <w:pPr>
        <w:ind w:left="994" w:right="302"/>
      </w:pPr>
      <w:r>
        <w:t>2.Бронштейн А.М., Малышев Н.А. Современные вопросы патофизиологии, диагностики и лечения паразитарных заболеваний органов пищеварения // Российский журнал гастроэнтерологии, гепатологии,</w:t>
      </w:r>
      <w:r>
        <w:t xml:space="preserve"> колопроктологии. 2013. — № 14 (приложение № 20). — 60-66. </w:t>
      </w:r>
    </w:p>
    <w:p w:rsidR="002C0F56" w:rsidRDefault="00E67C6E">
      <w:pPr>
        <w:ind w:left="1558" w:right="302" w:firstLine="0"/>
      </w:pPr>
      <w:r>
        <w:t xml:space="preserve">3.Лысенко А.Я., Беляев А.Е. Эпидемиология гельминтозов. – М., 1987. </w:t>
      </w:r>
    </w:p>
    <w:p w:rsidR="002C0F56" w:rsidRDefault="00E67C6E">
      <w:pPr>
        <w:spacing w:after="10"/>
        <w:ind w:left="994" w:right="302"/>
      </w:pPr>
      <w:r>
        <w:t>4.Готовский Ю.В., Л.Б, Косарева, Фролова Л.А. Резонансно-частотная диагностика и терапия грибков, вирусов, бактерий, простейших</w:t>
      </w:r>
      <w:r>
        <w:t xml:space="preserve"> и гельминтов: Методические рекомендации. - М.: ИМЕДИС, 2000. </w:t>
      </w:r>
    </w:p>
    <w:p w:rsidR="002C0F56" w:rsidRDefault="00E67C6E">
      <w:pPr>
        <w:ind w:left="994" w:right="302"/>
      </w:pPr>
      <w:r>
        <w:t xml:space="preserve">5.Малышев А.П., Сергиев Е.П., Дрынов И.Д. // Медицинская паразитология. - 2000. - №3. - С. 3-7.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lastRenderedPageBreak/>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11" w:line="270" w:lineRule="auto"/>
        <w:ind w:left="5745" w:right="307" w:hanging="10"/>
        <w:jc w:val="right"/>
      </w:pPr>
      <w:r>
        <w:rPr>
          <w:b/>
        </w:rPr>
        <w:t xml:space="preserve">Хохлова В.С.  </w:t>
      </w:r>
      <w:r>
        <w:t xml:space="preserve">Научный руководитель: Иванченко Е. Н. </w:t>
      </w:r>
    </w:p>
    <w:p w:rsidR="002C0F56" w:rsidRDefault="00E67C6E">
      <w:pPr>
        <w:spacing w:after="0" w:line="267" w:lineRule="auto"/>
        <w:ind w:left="905" w:right="310" w:hanging="10"/>
        <w:jc w:val="right"/>
      </w:pPr>
      <w:r>
        <w:rPr>
          <w:i/>
        </w:rPr>
        <w:t xml:space="preserve">Макеевский медицинский колледж  </w:t>
      </w:r>
    </w:p>
    <w:p w:rsidR="002C0F56" w:rsidRDefault="00E67C6E">
      <w:pPr>
        <w:spacing w:after="0" w:line="259" w:lineRule="auto"/>
        <w:ind w:left="1558" w:firstLine="0"/>
        <w:jc w:val="left"/>
      </w:pPr>
      <w:r>
        <w:rPr>
          <w:b/>
        </w:rPr>
        <w:t xml:space="preserve"> </w:t>
      </w:r>
    </w:p>
    <w:p w:rsidR="002C0F56" w:rsidRDefault="00E67C6E">
      <w:pPr>
        <w:pStyle w:val="1"/>
        <w:spacing w:after="15" w:line="271" w:lineRule="auto"/>
        <w:ind w:left="1037" w:right="0"/>
        <w:jc w:val="left"/>
      </w:pPr>
      <w:r>
        <w:t xml:space="preserve">РЕПРОДУКТИВНОЕ ЗДОРОВЬЕ МОЛОДЕЖИ И ЭПИГЕНЕТИЧЕСКАЯ </w:t>
      </w:r>
    </w:p>
    <w:p w:rsidR="002C0F56" w:rsidRDefault="00E67C6E">
      <w:pPr>
        <w:pStyle w:val="1"/>
        <w:ind w:left="700" w:right="4"/>
      </w:pPr>
      <w:r>
        <w:t xml:space="preserve">НАСЛЕДСТВЕННОСТЬ </w:t>
      </w:r>
    </w:p>
    <w:p w:rsidR="002C0F56" w:rsidRDefault="00E67C6E">
      <w:pPr>
        <w:spacing w:after="0" w:line="259" w:lineRule="auto"/>
        <w:ind w:left="1558" w:firstLine="0"/>
        <w:jc w:val="left"/>
      </w:pPr>
      <w:r>
        <w:rPr>
          <w:b/>
        </w:rPr>
        <w:t xml:space="preserve"> </w:t>
      </w:r>
    </w:p>
    <w:p w:rsidR="002C0F56" w:rsidRDefault="00E67C6E">
      <w:pPr>
        <w:ind w:left="994" w:right="302"/>
      </w:pPr>
      <w:r>
        <w:t>В данной работе обращается особое внимание на нравственное воспитание молодежи, борьбу с вредными привычками, мешающими нормальному формированию репр</w:t>
      </w:r>
      <w:r>
        <w:t>одуктивного здоровья молодого поколения, а также проводятся отдельные социологические исследования  со сбором и учетом статистических данных. В статье уточняется понятие «репродуктивное здоровье», рассматриваются факторы, влияющие на репродуктивное здоровь</w:t>
      </w:r>
      <w:r>
        <w:t xml:space="preserve">е и составляющие  основу эпигенетической наследственности, формируются определенные знания в области репродуктивной культуры молодежи.  </w:t>
      </w:r>
    </w:p>
    <w:p w:rsidR="002C0F56" w:rsidRDefault="00E67C6E">
      <w:pPr>
        <w:ind w:left="994" w:right="302"/>
      </w:pPr>
      <w:r>
        <w:t>Согласно определению  Всемирной  Организации  Здравоохранения (ВОЗ) подростковый возраст – это  период жизни человека о</w:t>
      </w:r>
      <w:r>
        <w:t xml:space="preserve">т 10 до  19 лет. В то же самое время ВОЗ использует термин «молодежь» в отношении людей возраста 15-24 года и обобщенно возраст от 10 до 24 лет определяет как «молодые люди». </w:t>
      </w:r>
    </w:p>
    <w:p w:rsidR="002C0F56" w:rsidRDefault="00E67C6E">
      <w:pPr>
        <w:ind w:left="994" w:right="302"/>
      </w:pPr>
      <w:r>
        <w:t>Молодежь сегодня составляет шестую часть населения планеты(более 1ми ллиарда чел</w:t>
      </w:r>
      <w:r>
        <w:t>овек). Повсюду в мире молодые люди играют все более заметную роль: звезды спорта и эстрады, выдающиеся ученые и успешные предприниматели, борцы за мир и защитники прав человека, неформальные лидеры – все это молодые люди. Здоровая молодежь – это надежное б</w:t>
      </w:r>
      <w:r>
        <w:t xml:space="preserve">удущее нашей Донецкой Народной республики, так как она сегодня представляет собой главную экономическую, политическую и социальную силу государства и состояние репродуктивного  здоровья молодежи – это залог его процветания.  </w:t>
      </w:r>
    </w:p>
    <w:p w:rsidR="002C0F56" w:rsidRDefault="00E67C6E">
      <w:pPr>
        <w:ind w:left="994" w:right="302"/>
      </w:pPr>
      <w:r>
        <w:t xml:space="preserve">Молодой возраст – это период, </w:t>
      </w:r>
      <w:r>
        <w:t>когда молодые люди сталкиваются с множеством факторов риска, которые, переходя в привычки поведения, могут привести к серьезным проблемам в более зрелом возрасте. В первую очередь – это курение, употребление алкогольных напитков, наркотиков и других токсич</w:t>
      </w:r>
      <w:r>
        <w:t xml:space="preserve">еских веществ. В большинстве случаев начало половой жизни также происходит в раннем молодом  (подростковом) возрасте.  </w:t>
      </w:r>
    </w:p>
    <w:p w:rsidR="002C0F56" w:rsidRDefault="00E67C6E">
      <w:pPr>
        <w:spacing w:after="11" w:line="270" w:lineRule="auto"/>
        <w:ind w:left="10" w:right="307" w:hanging="10"/>
        <w:jc w:val="right"/>
      </w:pPr>
      <w:r>
        <w:t xml:space="preserve">Раннее начало половой  жизни стало типичным явлением среди  молодежи: </w:t>
      </w:r>
    </w:p>
    <w:p w:rsidR="002C0F56" w:rsidRDefault="00E67C6E">
      <w:pPr>
        <w:ind w:left="994" w:right="302" w:firstLine="0"/>
      </w:pPr>
      <w:r>
        <w:t xml:space="preserve">от 40 до 60% несовершеннолетних юношей и девушек имеют опыт сексуального общения.  </w:t>
      </w:r>
    </w:p>
    <w:p w:rsidR="002C0F56" w:rsidRDefault="00E67C6E">
      <w:pPr>
        <w:spacing w:after="2"/>
        <w:ind w:left="994" w:right="302"/>
      </w:pPr>
      <w:r>
        <w:lastRenderedPageBreak/>
        <w:t>Исходя из особой актуальности в современном обществе проблем, связанных со здоровьем вообще и репродуктивным здоровьем в частности, была выбрана тема нашего исследования «Р</w:t>
      </w:r>
      <w:r>
        <w:t xml:space="preserve">епродуктивное здоровье молодежи и эпигенетическая наследственность». </w:t>
      </w:r>
    </w:p>
    <w:p w:rsidR="002C0F56" w:rsidRDefault="00E67C6E">
      <w:pPr>
        <w:spacing w:after="0"/>
        <w:ind w:left="994" w:right="302"/>
      </w:pPr>
      <w:r>
        <w:t>Целью нашего исследования было проанализировать состояние и перспективные подходы к решению проблем репродуктивного здоровья молодежи Донецкого региона и в частности студентов Макеевског</w:t>
      </w:r>
      <w:r>
        <w:t xml:space="preserve">о медицинского колледжа, путем социального опроса, анкетирования и результатов медицинского осмотра.  </w:t>
      </w:r>
    </w:p>
    <w:p w:rsidR="002C0F56" w:rsidRDefault="00E67C6E">
      <w:pPr>
        <w:spacing w:after="0"/>
        <w:ind w:left="994" w:right="302"/>
      </w:pPr>
      <w:r>
        <w:t xml:space="preserve">По результатам данной проектной работы представлены основные факторы школьной и студенческой сред, которые негативно влияют на состояние репродуктивного </w:t>
      </w:r>
      <w:r>
        <w:t xml:space="preserve">здоровья; показатели уровня заболеваемости репродуктивных органов среди подростков и юношества; проведен сравнительный анализ некоторых данных по годам, а также среди юношей и девушек. </w:t>
      </w:r>
    </w:p>
    <w:p w:rsidR="002C0F56" w:rsidRDefault="00E67C6E">
      <w:pPr>
        <w:ind w:left="994" w:right="302"/>
      </w:pPr>
      <w:r>
        <w:t>С каждым годом демографическая ситуация в регионе все более усугубляет</w:t>
      </w:r>
      <w:r>
        <w:t xml:space="preserve">ся. Причин тому найти можно сколько угодно: социальные факторы, стрессы, плохая экология, алкоголизм, финансовая нестабильность. Однако не последнюю роль в этом играет и отсутствие давно вышедшего из моды понятия «целомудрие», и банальное слово «гигиена». </w:t>
      </w:r>
      <w:r>
        <w:t xml:space="preserve">А ведь зачастую пренебрежение последним является серьезной угрозой репродуктивному здоровью. </w:t>
      </w:r>
    </w:p>
    <w:p w:rsidR="002C0F56" w:rsidRDefault="00E67C6E">
      <w:pPr>
        <w:spacing w:after="0"/>
        <w:ind w:left="994" w:right="302"/>
      </w:pPr>
      <w:r>
        <w:t>Репродуктивное здоровье  -  это состояние физического, умственного, и социального благополучия по всем пунктам, относящимся к репродуктивной системе на всех стади</w:t>
      </w:r>
      <w:r>
        <w:t xml:space="preserve">ях жизни. Репродуктивное здоровье предполагает, что человек может вести удовлетворительную и безопасную половую жизнь, что он способен рождать детей и свободно выбирать, при каких условиях, где и как часто это делать. Под этим подразумевается право мужчин </w:t>
      </w:r>
      <w:r>
        <w:t>и женщин получать информацию и доступ к безопасным, эффективным, доступным и приемлемым методам планирования семьи по своему выбору, и право на соответствующие услуги здравоохранения, которые позволяют женщинам безопасно пережить период беременности и роды</w:t>
      </w:r>
      <w:r>
        <w:t xml:space="preserve">.  </w:t>
      </w:r>
    </w:p>
    <w:p w:rsidR="002C0F56" w:rsidRDefault="00E67C6E">
      <w:pPr>
        <w:spacing w:after="3"/>
        <w:ind w:left="994" w:right="302"/>
      </w:pPr>
      <w:r>
        <w:t>В своей работе мы пытались показать, насколько серьезна ситуация в нашем регионе, что мешает нормальной профилактике и выявлению половых патологий у молодежи, как влияет учебная среда на молодежь, какова роль семьи и педагогов в половом воспитании юнош</w:t>
      </w:r>
      <w:r>
        <w:t xml:space="preserve">ества. </w:t>
      </w:r>
    </w:p>
    <w:p w:rsidR="002C0F56" w:rsidRDefault="00E67C6E">
      <w:pPr>
        <w:spacing w:after="11" w:line="270" w:lineRule="auto"/>
        <w:ind w:left="10" w:right="312" w:hanging="10"/>
        <w:jc w:val="right"/>
      </w:pPr>
      <w:r>
        <w:t xml:space="preserve">Оказалось, что основными факторами школьной среды, которые негативно </w:t>
      </w:r>
    </w:p>
    <w:p w:rsidR="002C0F56" w:rsidRDefault="00E67C6E">
      <w:pPr>
        <w:tabs>
          <w:tab w:val="center" w:pos="1435"/>
          <w:tab w:val="center" w:pos="2609"/>
          <w:tab w:val="center" w:pos="3943"/>
          <w:tab w:val="center" w:pos="6169"/>
          <w:tab w:val="center" w:pos="8361"/>
          <w:tab w:val="center" w:pos="10075"/>
        </w:tabs>
        <w:spacing w:after="12"/>
        <w:ind w:left="0" w:firstLine="0"/>
        <w:jc w:val="left"/>
      </w:pPr>
      <w:r>
        <w:rPr>
          <w:rFonts w:ascii="Calibri" w:eastAsia="Calibri" w:hAnsi="Calibri" w:cs="Calibri"/>
          <w:sz w:val="22"/>
        </w:rPr>
        <w:tab/>
      </w:r>
      <w:r>
        <w:t xml:space="preserve">влияют </w:t>
      </w:r>
      <w:r>
        <w:tab/>
        <w:t xml:space="preserve">на </w:t>
      </w:r>
      <w:r>
        <w:tab/>
        <w:t xml:space="preserve">состояние </w:t>
      </w:r>
      <w:r>
        <w:tab/>
        <w:t xml:space="preserve">репродуктивного </w:t>
      </w:r>
      <w:r>
        <w:tab/>
        <w:t xml:space="preserve">здоровья, </w:t>
      </w:r>
      <w:r>
        <w:tab/>
        <w:t xml:space="preserve">является:  </w:t>
      </w:r>
    </w:p>
    <w:p w:rsidR="002C0F56" w:rsidRDefault="00E67C6E">
      <w:pPr>
        <w:ind w:left="994" w:right="302" w:firstLine="0"/>
      </w:pPr>
      <w:r>
        <w:t xml:space="preserve">неудовлетворительное оснащение учебных заведений мебелью, согласно росту детей, что приводит к нарушениям осанки, </w:t>
      </w:r>
      <w:r>
        <w:t xml:space="preserve">сколиозам; отсутствие сбалансированного питания (потребление мяса, рыбы, яиц уменьшилось на 2540-80%, молока - на 20-50%, сыра мягкого на 60%, овощей,  фруктов - на 3040%), несоответствие гигиеническим требованиям расписания уроков, нагрузок, </w:t>
      </w:r>
      <w:r>
        <w:lastRenderedPageBreak/>
        <w:t>особенно в шк</w:t>
      </w:r>
      <w:r>
        <w:t>олах нового типа (лицеи, гимназии, колледжи), что, приводит к нервно-психическим  расстройствам; недостаточная физическая подвижность (в процессе обучения статическая нагрузка составляет 67-72%, а моторная плотность 30-40%) . Весомое значение в формировани</w:t>
      </w:r>
      <w:r>
        <w:t>и репродуктивного здоровья имеют социальные факторы, формирующие образ жизни ребенка в семье, обществе; из-за неправильного планирования школьного процесса учащихся не пускают на медосмотры. Вместо подлежащих осмотру гинекологом 5000 девочки, было осмотрен</w:t>
      </w:r>
      <w:r>
        <w:t xml:space="preserve">о всего чуть больше 60%.  </w:t>
      </w:r>
    </w:p>
    <w:p w:rsidR="002C0F56" w:rsidRDefault="00E67C6E">
      <w:pPr>
        <w:ind w:left="994" w:right="302"/>
      </w:pPr>
      <w:r>
        <w:t>По статистике в Донецком регионе каждая десятая девушка в возрасте от 15-19 лет делает аборт. В Донецке за период 2010-2015 годы было зафиксировано более 300 человека и несколько случай - до 14 лет. О последствиях абортов, думаем</w:t>
      </w:r>
      <w:r>
        <w:t xml:space="preserve">, говорить не стоит. Между тем, так называемое «поколение надежды» (это девочки до 18лет) в регионе непрестанно убывает.  </w:t>
      </w:r>
    </w:p>
    <w:p w:rsidR="002C0F56" w:rsidRDefault="00E67C6E">
      <w:pPr>
        <w:ind w:left="994" w:right="302"/>
      </w:pPr>
      <w:r>
        <w:t xml:space="preserve">Результаты медицинского осмотра, проведенного в октябре 2016г. в Макеевском медицинском колледже показали, что многие студенты имеют </w:t>
      </w:r>
      <w:r>
        <w:t xml:space="preserve">хронические заболевания, на диспансерном учете находится 40% студентов, 17 человек – инвалиды по состоянию здоровья. </w:t>
      </w:r>
    </w:p>
    <w:p w:rsidR="002C0F56" w:rsidRDefault="00E67C6E">
      <w:pPr>
        <w:spacing w:after="0"/>
        <w:ind w:left="994" w:right="302"/>
      </w:pPr>
      <w:r>
        <w:t>Анкетирование, проведенное среди студентов 1-го курса Макеевского медицинского колледжа (ММК) показало, что половой жизнью живут более 40%</w:t>
      </w:r>
      <w:r>
        <w:t xml:space="preserve"> молодежи, регулярно обследуется у гинеколога не более 15% , пренебрегают средствами контрацепции 20% , используют гормональные противозачаточные средства до 10% студентов. Около 50% студентов указывают в анкетах на употребление спиртных напитков, энергети</w:t>
      </w:r>
      <w:r>
        <w:t xml:space="preserve">ческих, слабоалкогольных, ежедневное выкуривание до 10 сигарет и больше.  </w:t>
      </w:r>
    </w:p>
    <w:p w:rsidR="002C0F56" w:rsidRDefault="00E67C6E">
      <w:pPr>
        <w:spacing w:after="10"/>
        <w:ind w:left="994" w:right="302"/>
      </w:pPr>
      <w:r>
        <w:t>Некоторые исследователи полагают, что отношения между родителями и детьми являются определяющим фактором в формировании поведения детей, и от этих отношений зависит возраст начала половых отношений подростков и число половых партнеров. Однако, как правило,</w:t>
      </w:r>
      <w:r>
        <w:t xml:space="preserve"> дети и родители оказываются в трудном положении при обсуждении проблем взросления.  </w:t>
      </w:r>
    </w:p>
    <w:p w:rsidR="002C0F56" w:rsidRDefault="00E67C6E">
      <w:pPr>
        <w:ind w:left="994" w:right="302"/>
      </w:pPr>
      <w:r>
        <w:t>Откровенные обсуждения родителями и детьми вопросов, связанных с половым развитием и созреванием, по-прежнему являются табу. Не получая информацию по вопросам  взросления</w:t>
      </w:r>
      <w:r>
        <w:t xml:space="preserve"> в школе и в семье, подростки обращаются за этими сведениями к другим подросткам, и зачастую эта информация является неверной. </w:t>
      </w:r>
    </w:p>
    <w:p w:rsidR="002C0F56" w:rsidRDefault="00E67C6E">
      <w:pPr>
        <w:spacing w:after="0"/>
        <w:ind w:left="994" w:right="302"/>
      </w:pPr>
      <w:r>
        <w:t>Сегодня очень часто у девочек 17-19-летнего возраста встречается такая аномалия, как закупорка маточных труб. Порой это является</w:t>
      </w:r>
      <w:r>
        <w:t xml:space="preserve"> следствием неграмотности педагогов. Во время менструации девочкам позволяют заниматься физкультурой, выполняя непосильную физическую нагрузку. Преподавателями физического воспитания Макеевского медицинского колледжа разработан комплекс щадящих упражнений </w:t>
      </w:r>
      <w:r>
        <w:t xml:space="preserve">для этих специальных </w:t>
      </w:r>
      <w:r>
        <w:lastRenderedPageBreak/>
        <w:t>групп студентов на разработку пояса верхних конечностей, наклонов и др., исключающих тяжелую нагрузку на нижнюю часть туловища. От занятий физической культуры по состоянию здоровья освобождено 80 студентов. Причины: гинекологические за</w:t>
      </w:r>
      <w:r>
        <w:t xml:space="preserve">болевания, ЖКТ, сердечнососудистые, заболевания щитовидной железы и др. </w:t>
      </w:r>
    </w:p>
    <w:p w:rsidR="002C0F56" w:rsidRDefault="00E67C6E">
      <w:pPr>
        <w:spacing w:after="3"/>
        <w:ind w:left="994" w:right="302"/>
      </w:pPr>
      <w:r>
        <w:t xml:space="preserve">Врачи, как правило, встречаются с проблемами постфактум, когда девушки приходят  к специалистам уже с хроническими заболеваниями либо с инфекцией… Особенно это касается девочек после </w:t>
      </w:r>
      <w:r>
        <w:t>9-го класса, которые уходят учиться в ПТУ, техникумы, так как в 17 лет большинство начинает жить половой жизнью, не уделяя особого внимания своему здоровью. Поэтому очень важно достучаться до семьи, чтобы именно там происходило грамотное воспитание, ведь д</w:t>
      </w:r>
      <w:r>
        <w:t xml:space="preserve">ети – будущее нации. </w:t>
      </w:r>
    </w:p>
    <w:p w:rsidR="002C0F56" w:rsidRDefault="00E67C6E">
      <w:pPr>
        <w:spacing w:after="0"/>
        <w:ind w:left="994" w:right="302"/>
      </w:pPr>
      <w:r>
        <w:t>Среди юношей, обучающихся в ММК картина обстоит не лучшим образом. Анкетирование показало, что у специалиста – андролога практически ни один студент не был на консультации. Да и в семье многих не учат даже элементарным правилам гигиен</w:t>
      </w:r>
      <w:r>
        <w:t>ы, чтобы избежать различных воспалительных процессов со стороны репродуктивных органов. Вообще, репродуктивному здоровью юношей нужно уделять не меньше внимания, чем здоровью девушек. Только вдумайтесь: в Донецком регионе 25% мужского населения страдает бе</w:t>
      </w:r>
      <w:r>
        <w:t xml:space="preserve">сплодием, а трое из четырех имеют серьезные нарушения в выработке качественной семенной жидкости.  </w:t>
      </w:r>
    </w:p>
    <w:p w:rsidR="002C0F56" w:rsidRDefault="00E67C6E">
      <w:pPr>
        <w:spacing w:after="0"/>
        <w:ind w:left="994" w:right="302"/>
      </w:pPr>
      <w:r>
        <w:t xml:space="preserve">Рождение детей у подростков, как в браке, так и вне брака, зачастую является незапланированным. В Донецком регионе 72% женщин, родивших в возрасте от 15 до </w:t>
      </w:r>
      <w:r>
        <w:t xml:space="preserve">19лет, сообщили, что их беременность была незапланированной. В программе подготовки медицинских сестер в ММК обязательным для изучения является дисциплина «Планирование семьи», что дает возможность молодому поколению подготовиться и правильно спланировать </w:t>
      </w:r>
      <w:r>
        <w:t xml:space="preserve">свою будущую семейную жизнь, рождение здорового ребенка.  </w:t>
      </w:r>
    </w:p>
    <w:p w:rsidR="002C0F56" w:rsidRDefault="00E67C6E">
      <w:pPr>
        <w:ind w:left="994" w:right="302"/>
      </w:pPr>
      <w:r>
        <w:t>Не все подростки ответственно относятся к началу половой жизни, многие вступают в первую половую связь со своими ровесниками, некоторые девушкиподростки после полового контакта испытывают чувство р</w:t>
      </w:r>
      <w:r>
        <w:t xml:space="preserve">азочарования, особенно если вскоре после этого отношения прерываются.  </w:t>
      </w:r>
    </w:p>
    <w:p w:rsidR="002C0F56" w:rsidRDefault="00E67C6E">
      <w:pPr>
        <w:spacing w:after="16"/>
        <w:ind w:left="994" w:right="302"/>
      </w:pPr>
      <w:r>
        <w:t>Около 20% опрошенных девушек имеют гинекологические заболевания. Частота гинекологических заболеваний за последние пять лет увеличилась в три раза. С возрастом распространенность гинек</w:t>
      </w:r>
      <w:r>
        <w:t>ологических нарушений возрастает  более чем в 2.5 раза – с 116,2% в 14 лет до 297,0% на 1000 осмотренных в 17-18 лет. Не лучшим образом обстоит дело и с репродуктивным здоровьем юношей. Частота заболеваний репродуктивной системы достигает 13-56%, а 2,2% юн</w:t>
      </w:r>
      <w:r>
        <w:t xml:space="preserve">ошей нуждаются в андрологическом оперативном лечении. Около 60% всех заболеваний у юношей в возрасте 14-19 лет представляют в будущем реальную угрозу бесплодия. </w:t>
      </w:r>
    </w:p>
    <w:p w:rsidR="002C0F56" w:rsidRDefault="00E67C6E">
      <w:pPr>
        <w:spacing w:after="5"/>
        <w:ind w:left="994" w:right="302"/>
      </w:pPr>
      <w:r>
        <w:lastRenderedPageBreak/>
        <w:t>Отмечен низкий уровень репродуктивных установок молодежи. Мы провели анкетирование, которое по</w:t>
      </w:r>
      <w:r>
        <w:t>казало, что 10,5% девушек-студенток ММК категорически против в будущем иметь детей. В сравнении с 1990г. число таких лиц не превышало 1%. Это говорит о постепенном крушении идеалов семейной жизни и предпочтении молодежью гражданских браков и холостяцкой жи</w:t>
      </w:r>
      <w:r>
        <w:t xml:space="preserve">зни.  </w:t>
      </w:r>
    </w:p>
    <w:p w:rsidR="002C0F56" w:rsidRDefault="00E67C6E">
      <w:pPr>
        <w:spacing w:after="2"/>
        <w:ind w:left="994" w:right="302"/>
      </w:pPr>
      <w:r>
        <w:t xml:space="preserve">Эти данные ещё раз подчеркивают, насколько серьезна ситуация по состоянию репродуктивного здоровья молодежи Донецкого региона, что требует  к себе срочного особого внимания со стороны Министерства здравоохранения Донецкой Народной республике.  </w:t>
      </w:r>
    </w:p>
    <w:p w:rsidR="002C0F56" w:rsidRDefault="00E67C6E">
      <w:pPr>
        <w:spacing w:after="0"/>
        <w:ind w:left="994" w:right="302"/>
      </w:pPr>
      <w:r>
        <w:t>Испо</w:t>
      </w:r>
      <w:r>
        <w:t xml:space="preserve">льзуя методы системного подхода, анкетирования и логического обобщения рассмотрев и проанализировав состояние и перспективные подходы к решению проблем репродуктивного здоровья молодежи, определив их основные причины, можно сделать </w:t>
      </w:r>
      <w:r>
        <w:rPr>
          <w:b/>
        </w:rPr>
        <w:t>вывод</w:t>
      </w:r>
      <w:r>
        <w:t>, что репродуктивно</w:t>
      </w:r>
      <w:r>
        <w:t>е здоровье современной молодежи, оставляет желать лучшего и полностью зависит от демографической ситуации в мире, современного и правильного представления молодежи о семьи и ответственности за свое здоровье  и рождение здорового ребенка. Огромную роль в фо</w:t>
      </w:r>
      <w:r>
        <w:t>рмировании тенденции здорового образа жизни юношества играет семья и педагоги.  Так как, здоровая молодежь – здоровая нация! Данные моего исследования еще раз подчеркивают, насколько серьезная ситуация по состоянию репродуктивного здоровья молодежи Донецко</w:t>
      </w:r>
      <w:r>
        <w:t xml:space="preserve">го региона, что требует к себе срочного особого внимания со стороны Министерства здравоохранения Донецкой Народной республики.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64"/>
        </w:numPr>
        <w:ind w:right="302"/>
      </w:pPr>
      <w:r>
        <w:t xml:space="preserve">Репродуктивное здоровье и планирование семьи. – И.Б. Назарва,    Н.Н. Посыпкина. – 2-е вид. – </w:t>
      </w:r>
      <w:r>
        <w:t xml:space="preserve">К.: Медицина, 2008.224с. </w:t>
      </w:r>
    </w:p>
    <w:p w:rsidR="002C0F56" w:rsidRDefault="00E67C6E">
      <w:pPr>
        <w:numPr>
          <w:ilvl w:val="0"/>
          <w:numId w:val="264"/>
        </w:numPr>
        <w:ind w:right="302"/>
      </w:pPr>
      <w:r>
        <w:t xml:space="preserve">Здоровье молодого поколения. – Д.К. Богданова. – К.: питание, 2007.345с. </w:t>
      </w:r>
    </w:p>
    <w:p w:rsidR="002C0F56" w:rsidRDefault="00E67C6E">
      <w:pPr>
        <w:numPr>
          <w:ilvl w:val="0"/>
          <w:numId w:val="264"/>
        </w:numPr>
        <w:ind w:right="302"/>
      </w:pPr>
      <w:r>
        <w:t xml:space="preserve">Человек и его здоровье В.П. Иванов; Под общим ред. В.П. Иванова. – доп. и перераб. – Ростов н/Д: Фенис, 2006. 604с. </w:t>
      </w:r>
    </w:p>
    <w:p w:rsidR="002C0F56" w:rsidRDefault="00E67C6E">
      <w:pPr>
        <w:numPr>
          <w:ilvl w:val="0"/>
          <w:numId w:val="264"/>
        </w:numPr>
        <w:ind w:right="302"/>
      </w:pPr>
      <w:r>
        <w:t xml:space="preserve">Здоровый образ жизни молодежи. – </w:t>
      </w:r>
      <w:r>
        <w:t xml:space="preserve">М.А. Солодинов. - доп. и перераб. – Ростов н/Д: Фенис, 2006. 603с. </w:t>
      </w:r>
    </w:p>
    <w:p w:rsidR="002C0F56" w:rsidRDefault="00E67C6E">
      <w:pPr>
        <w:spacing w:after="0" w:line="259" w:lineRule="auto"/>
        <w:ind w:left="1558" w:firstLine="0"/>
        <w:jc w:val="left"/>
      </w:pPr>
      <w: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25" w:line="259" w:lineRule="auto"/>
        <w:ind w:right="306"/>
        <w:jc w:val="right"/>
      </w:pPr>
      <w:r>
        <w:t xml:space="preserve">Хубутдинова Э.И. </w:t>
      </w:r>
      <w:r>
        <w:rPr>
          <w:b w:val="0"/>
        </w:rPr>
        <w:t xml:space="preserve">Научный руководитель Разуваева Е. Б. </w:t>
      </w:r>
    </w:p>
    <w:p w:rsidR="002C0F56" w:rsidRDefault="00E67C6E">
      <w:pPr>
        <w:spacing w:after="0" w:line="267" w:lineRule="auto"/>
        <w:ind w:left="905" w:right="313" w:hanging="10"/>
        <w:jc w:val="right"/>
      </w:pPr>
      <w:r>
        <w:rPr>
          <w:i/>
        </w:rPr>
        <w:t>Стерлитамакский филиал Башкирского государственного университета</w:t>
      </w:r>
      <w:r>
        <w:t xml:space="preserve"> </w:t>
      </w:r>
    </w:p>
    <w:p w:rsidR="002C0F56" w:rsidRDefault="00E67C6E">
      <w:pPr>
        <w:spacing w:after="0" w:line="259" w:lineRule="auto"/>
        <w:ind w:left="1558" w:firstLine="0"/>
        <w:jc w:val="left"/>
      </w:pPr>
      <w:r>
        <w:rPr>
          <w:b/>
        </w:rPr>
        <w:t xml:space="preserve"> </w:t>
      </w:r>
    </w:p>
    <w:p w:rsidR="002C0F56" w:rsidRDefault="00E67C6E">
      <w:pPr>
        <w:pStyle w:val="1"/>
        <w:ind w:left="700" w:right="4"/>
      </w:pPr>
      <w:r>
        <w:t xml:space="preserve">ПЕРЕПИСЬ НАСЕЛЕНИЯ КАК ЭЛЕМЕНТ СТАТИСТИЧЕСКОГО НАБЛЮДЕНИЯ </w:t>
      </w:r>
    </w:p>
    <w:p w:rsidR="002C0F56" w:rsidRDefault="00E67C6E">
      <w:pPr>
        <w:spacing w:after="0" w:line="259" w:lineRule="auto"/>
        <w:ind w:left="1558" w:firstLine="0"/>
        <w:jc w:val="left"/>
      </w:pPr>
      <w:r>
        <w:t xml:space="preserve"> </w:t>
      </w:r>
    </w:p>
    <w:p w:rsidR="002C0F56" w:rsidRDefault="00E67C6E">
      <w:pPr>
        <w:spacing w:after="0"/>
        <w:ind w:left="994" w:right="302"/>
      </w:pPr>
      <w:r>
        <w:lastRenderedPageBreak/>
        <w:t>Поскольку население любой страны находится в движении, через определенные промежутки времени результаты переписи и количественная оценка населения теряют свое значение и данные устаревают. Поэтому происходит периодическая потребность в переписи населения д</w:t>
      </w:r>
      <w:r>
        <w:t xml:space="preserve">о сбора сведений о лицах, находящихся на определенную дату на территории страны. </w:t>
      </w:r>
    </w:p>
    <w:p w:rsidR="002C0F56" w:rsidRDefault="00E67C6E">
      <w:pPr>
        <w:spacing w:after="0"/>
        <w:ind w:left="994" w:right="302"/>
      </w:pPr>
      <w:r>
        <w:t>Обследования населения позволяют выявить динамику демографических показателей, выяснить уровень и качество жизни людей. На основании этих данных правительство принимает решен</w:t>
      </w:r>
      <w:r>
        <w:t>ия в области социальной политики, строит экономические прогнозы и формирует планы развития страны. Целью переписи населения является получение обобщенных целостных данных о демографических, экономических и социальных характеристиках населения. С этими целя</w:t>
      </w:r>
      <w:r>
        <w:t>ми могут проводиться как всеобщие, так и частичные обследования, например, проводилось сельскохозяйственная перепись населения 2016 году в России. Задачами таких исследований является оценка состояния отдельных сегментов экономики и общества. У переписей е</w:t>
      </w:r>
      <w:r>
        <w:t xml:space="preserve">сть и еще одна важнейшая функция, как историческая, они документируют состояние страны на какой-то момент, являются своеобразной летописью.  </w:t>
      </w:r>
    </w:p>
    <w:p w:rsidR="002C0F56" w:rsidRDefault="00E67C6E">
      <w:pPr>
        <w:spacing w:after="10"/>
        <w:ind w:left="994" w:right="302"/>
      </w:pPr>
      <w:r>
        <w:t xml:space="preserve">В период переписей проводится сплошной учет населения, то есть текущие оценки численности населения уточняются на </w:t>
      </w:r>
      <w:r>
        <w:t xml:space="preserve">основании итогов очередной переписи и осуществляются в виде выборочных социально-демографических обследований, которые позволяют проследить изменения в составе населения в период между переписями. </w:t>
      </w:r>
    </w:p>
    <w:p w:rsidR="002C0F56" w:rsidRDefault="00E67C6E">
      <w:pPr>
        <w:spacing w:after="3"/>
        <w:ind w:left="994" w:right="302"/>
      </w:pPr>
      <w:r>
        <w:t>К итогам последней переписи ежегодно добавляется число род</w:t>
      </w:r>
      <w:r>
        <w:t xml:space="preserve">ившихся и прибывших на данную территорию и вычитается число умерших и выбывших с данной территории. Учитываются также изменения численности населения в результате административно-территориальных преобразований.[2] </w:t>
      </w:r>
    </w:p>
    <w:p w:rsidR="002C0F56" w:rsidRDefault="00E67C6E">
      <w:pPr>
        <w:ind w:left="994" w:right="302"/>
      </w:pPr>
      <w:r>
        <w:t xml:space="preserve">Непосредственно, при проведении переписей различают три основных категории населения:  </w:t>
      </w:r>
    </w:p>
    <w:p w:rsidR="002C0F56" w:rsidRDefault="00E67C6E">
      <w:pPr>
        <w:ind w:left="994" w:right="302"/>
      </w:pPr>
      <w:r>
        <w:t xml:space="preserve">1)Наличное население — население, на критический момент переписи находящееся на обследуемой территории, включая временное население. </w:t>
      </w:r>
    </w:p>
    <w:p w:rsidR="002C0F56" w:rsidRDefault="00E67C6E">
      <w:pPr>
        <w:ind w:left="994" w:right="302"/>
      </w:pPr>
      <w:r>
        <w:t>2)Постоянное население — население</w:t>
      </w:r>
      <w:r>
        <w:t xml:space="preserve">, постоянно проживающее на обследуемой территории (сроком более 6 месяцев или 1 года). </w:t>
      </w:r>
    </w:p>
    <w:p w:rsidR="002C0F56" w:rsidRDefault="00E67C6E">
      <w:pPr>
        <w:ind w:left="994" w:right="302"/>
      </w:pPr>
      <w:r>
        <w:t xml:space="preserve">3)Юридическое население — население, юридически закрепленное на данной территории.[3] </w:t>
      </w:r>
    </w:p>
    <w:p w:rsidR="002C0F56" w:rsidRDefault="00E67C6E">
      <w:pPr>
        <w:ind w:left="994" w:right="302"/>
      </w:pPr>
      <w:r>
        <w:t>Принципами, на которых строится исследование населения на момент переписи, являют</w:t>
      </w:r>
      <w:r>
        <w:t xml:space="preserve">ся[4]: </w:t>
      </w:r>
    </w:p>
    <w:p w:rsidR="002C0F56" w:rsidRDefault="00E67C6E">
      <w:pPr>
        <w:ind w:left="994" w:right="302"/>
      </w:pPr>
      <w:r>
        <w:t>1)Всеобщность</w:t>
      </w:r>
      <w:r>
        <w:rPr>
          <w:b/>
        </w:rPr>
        <w:t>-</w:t>
      </w:r>
      <w:r>
        <w:t xml:space="preserve">означает, что сведения, включенные в программу переписи, собираются ото всех и обо всех жителях данной страны или территории, а не только о какой-либо специфической их части. </w:t>
      </w:r>
    </w:p>
    <w:p w:rsidR="002C0F56" w:rsidRDefault="00E67C6E">
      <w:pPr>
        <w:ind w:left="994" w:right="302"/>
      </w:pPr>
      <w:r>
        <w:lastRenderedPageBreak/>
        <w:t>2)Одномоментность</w:t>
      </w:r>
      <w:r>
        <w:rPr>
          <w:b/>
        </w:rPr>
        <w:t>-</w:t>
      </w:r>
      <w:r>
        <w:t>проведения переписи означает, что все со</w:t>
      </w:r>
      <w:r>
        <w:t>бранные в ее ходе данные относятся к одному определенному и заранее установленному моменту, который называется критическим моментом переписи, или моментом счета. При этом любые изменения, произошедшие в период времени между критическим моментом и временем,</w:t>
      </w:r>
      <w:r>
        <w:t xml:space="preserve"> когда непосредственно проводится опрос, не учитываются. </w:t>
      </w:r>
    </w:p>
    <w:p w:rsidR="002C0F56" w:rsidRDefault="00E67C6E">
      <w:pPr>
        <w:ind w:left="994" w:right="302"/>
      </w:pPr>
      <w:r>
        <w:t>3)Единая программа переписи</w:t>
      </w:r>
      <w:r>
        <w:rPr>
          <w:b/>
        </w:rPr>
        <w:t>-</w:t>
      </w:r>
      <w:r>
        <w:t>означает, что и сбор первичных данных и их последующая обработка ведутся по единым для всех участников переписи правилам процедуры, по одному и тому же общему для всех пл</w:t>
      </w:r>
      <w:r>
        <w:t xml:space="preserve">ану. Обо всех людях, проживающих на территории страны и подлежащих переписи, собираются сведения об одних и тех же признаках, или характеристиках, включенных в переписной лист. </w:t>
      </w:r>
    </w:p>
    <w:p w:rsidR="002C0F56" w:rsidRDefault="00E67C6E">
      <w:pPr>
        <w:ind w:left="994" w:right="302"/>
      </w:pPr>
      <w:r>
        <w:t>4)Поимённость-означает сбор персональных и легко идентифицируемых сведений о к</w:t>
      </w:r>
      <w:r>
        <w:t xml:space="preserve">аждом отдельном человеке. В этом отношении перепись населения противоположна социологическим опросам, которые, как правило, анонимны. </w:t>
      </w:r>
    </w:p>
    <w:p w:rsidR="002C0F56" w:rsidRDefault="00E67C6E">
      <w:pPr>
        <w:ind w:left="994" w:right="302" w:firstLine="0"/>
      </w:pPr>
      <w:r>
        <w:t>Сведения о каждом человеке собирает в ходе личных бесед специально обученный персонал (счетчики, или регистраторы), котор</w:t>
      </w:r>
      <w:r>
        <w:t xml:space="preserve">ый фиксирует их на именных переписных листах. </w:t>
      </w:r>
    </w:p>
    <w:p w:rsidR="002C0F56" w:rsidRDefault="00E67C6E">
      <w:pPr>
        <w:ind w:left="994" w:right="302"/>
      </w:pPr>
      <w:r>
        <w:t>5)Самоопределение-означает, что все сведения фиксируются исключительно со слов опрашиваемого и что запрещено требовать документального подтверждения этих сведений. Применение принципа самоопределения обусловле</w:t>
      </w:r>
      <w:r>
        <w:t xml:space="preserve">но, с одной стороны, стремлением повысить степень доверия к переписи со стороны населения, а с другой, – невозможностью объективного отнесения человека к той или иной категории по большинству фиксируемых признаков. </w:t>
      </w:r>
    </w:p>
    <w:p w:rsidR="002C0F56" w:rsidRDefault="00E67C6E">
      <w:pPr>
        <w:ind w:left="994" w:right="302"/>
      </w:pPr>
      <w:r>
        <w:t>6)Строгая централизация управления переп</w:t>
      </w:r>
      <w:r>
        <w:t xml:space="preserve">иси - государство берёт на себя ответственность за проведение, контроль и финансирование переписи. </w:t>
      </w:r>
    </w:p>
    <w:p w:rsidR="002C0F56" w:rsidRDefault="00E67C6E">
      <w:pPr>
        <w:ind w:left="994" w:right="302"/>
      </w:pPr>
      <w:r>
        <w:t>7)Регулярность проведения переписи- важным является только в случае регулярного, со строгой периодичностью проведения переписей населения возможно получение</w:t>
      </w:r>
      <w:r>
        <w:t xml:space="preserve"> сопоставимых статистических данных о населении за длительный период времени.  </w:t>
      </w:r>
    </w:p>
    <w:p w:rsidR="002C0F56" w:rsidRDefault="00E67C6E">
      <w:pPr>
        <w:spacing w:after="15" w:line="268" w:lineRule="auto"/>
        <w:ind w:left="1262" w:right="669" w:hanging="10"/>
        <w:jc w:val="center"/>
      </w:pPr>
      <w:r>
        <w:t xml:space="preserve">При проведении переписи населения, применяются такие методы как: </w:t>
      </w:r>
    </w:p>
    <w:p w:rsidR="002C0F56" w:rsidRDefault="00E67C6E">
      <w:pPr>
        <w:ind w:left="994" w:right="302"/>
      </w:pPr>
      <w:r>
        <w:t>1)опрос — при этом методе проведения переписи переписной лист заполняется переписчиком (счётчиком, регистратор</w:t>
      </w:r>
      <w:r>
        <w:t xml:space="preserve">ом) в процессе личной беседы с переписываемым лицом. По этому методу проводились переписи населения России и СССР; </w:t>
      </w:r>
    </w:p>
    <w:p w:rsidR="002C0F56" w:rsidRDefault="00E67C6E">
      <w:pPr>
        <w:ind w:left="994" w:right="302"/>
      </w:pPr>
      <w:r>
        <w:t>2)самосчисление — переписываемые сами заполняют переписной лист, а переписчик (счётчик, регистратор) лишь проверяет правильность его заполне</w:t>
      </w:r>
      <w:r>
        <w:t xml:space="preserve">ния, уточняя пропущенные или неясные сведения. Применяется в некоторых европейских странах; </w:t>
      </w:r>
    </w:p>
    <w:p w:rsidR="002C0F56" w:rsidRDefault="00E67C6E">
      <w:pPr>
        <w:ind w:left="994" w:right="302"/>
      </w:pPr>
      <w:r>
        <w:lastRenderedPageBreak/>
        <w:t>3)смешанный (анкетный) метод (активно применяется за рубежом, в том числе в США) — при этом методе анкеты рассылаются переписчикам, которые сами заполняют их и зат</w:t>
      </w:r>
      <w:r>
        <w:t xml:space="preserve">ем высылают в бюро переписей или статистическую службу. </w:t>
      </w:r>
    </w:p>
    <w:p w:rsidR="002C0F56" w:rsidRDefault="00E67C6E">
      <w:pPr>
        <w:ind w:left="994" w:right="302"/>
      </w:pPr>
      <w:r>
        <w:t>Основываясь на принципах исследования населения, применяя существующие методы, проводится перепись населения, которая позволяет получить полные и достоверные сведения о численности, половозрастном со</w:t>
      </w:r>
      <w:r>
        <w:t xml:space="preserve">ставе, национальности, образовании и другие сведения, являющиеся основным источником информации, необходимым органам власти для расчета основных макроэкономических показателей. </w:t>
      </w:r>
    </w:p>
    <w:p w:rsidR="002C0F56" w:rsidRDefault="00E67C6E">
      <w:pPr>
        <w:spacing w:after="1"/>
        <w:ind w:left="994" w:right="302"/>
      </w:pPr>
      <w:r>
        <w:t>Таким образом, переписи- это инструмент экономического и социального прогнозир</w:t>
      </w:r>
      <w:r>
        <w:t xml:space="preserve">ования, они являются летописью, историей в мире. Непосредственно, результаты переписи адресованы не только современному обществу, но и его потомкам. </w:t>
      </w:r>
    </w:p>
    <w:p w:rsidR="002C0F56" w:rsidRDefault="00E67C6E">
      <w:pPr>
        <w:spacing w:after="27" w:line="259" w:lineRule="auto"/>
        <w:ind w:left="994" w:firstLine="0"/>
        <w:jc w:val="left"/>
      </w:pPr>
      <w:r>
        <w:t xml:space="preserve"> </w:t>
      </w:r>
    </w:p>
    <w:p w:rsidR="002C0F56" w:rsidRDefault="00E67C6E">
      <w:pPr>
        <w:spacing w:after="15" w:line="268" w:lineRule="auto"/>
        <w:ind w:left="1262" w:right="569" w:hanging="10"/>
        <w:jc w:val="center"/>
      </w:pPr>
      <w:r>
        <w:t xml:space="preserve">Список литературы: </w:t>
      </w:r>
    </w:p>
    <w:p w:rsidR="002C0F56" w:rsidRDefault="00E67C6E">
      <w:pPr>
        <w:tabs>
          <w:tab w:val="center" w:pos="2491"/>
          <w:tab w:val="center" w:pos="4039"/>
          <w:tab w:val="center" w:pos="4813"/>
          <w:tab w:val="center" w:pos="6164"/>
          <w:tab w:val="center" w:pos="7911"/>
          <w:tab w:val="center" w:pos="9415"/>
          <w:tab w:val="center" w:pos="10496"/>
        </w:tabs>
        <w:spacing w:after="11" w:line="270" w:lineRule="auto"/>
        <w:ind w:left="0" w:firstLine="0"/>
        <w:jc w:val="left"/>
      </w:pPr>
      <w:r>
        <w:rPr>
          <w:rFonts w:ascii="Calibri" w:eastAsia="Calibri" w:hAnsi="Calibri" w:cs="Calibri"/>
          <w:sz w:val="22"/>
        </w:rPr>
        <w:tab/>
      </w:r>
      <w:r>
        <w:t xml:space="preserve">1)Федеральный </w:t>
      </w:r>
      <w:r>
        <w:tab/>
        <w:t xml:space="preserve">закон </w:t>
      </w:r>
      <w:r>
        <w:tab/>
        <w:t xml:space="preserve">"О </w:t>
      </w:r>
      <w:r>
        <w:tab/>
        <w:t xml:space="preserve">Всероссийской </w:t>
      </w:r>
      <w:r>
        <w:tab/>
        <w:t xml:space="preserve">переписи </w:t>
      </w:r>
      <w:r>
        <w:tab/>
        <w:t xml:space="preserve">населения" </w:t>
      </w:r>
      <w:r>
        <w:tab/>
        <w:t xml:space="preserve">от </w:t>
      </w:r>
    </w:p>
    <w:p w:rsidR="002C0F56" w:rsidRDefault="00E67C6E">
      <w:pPr>
        <w:ind w:left="994" w:right="302" w:firstLine="0"/>
      </w:pPr>
      <w:r>
        <w:t xml:space="preserve">25.01.2002 №8 – </w:t>
      </w:r>
      <w:r>
        <w:t xml:space="preserve">ФЗ.М.,2002. </w:t>
      </w:r>
    </w:p>
    <w:p w:rsidR="002C0F56" w:rsidRDefault="00E67C6E">
      <w:pPr>
        <w:ind w:left="1558" w:right="302" w:firstLine="0"/>
      </w:pPr>
      <w:r>
        <w:t xml:space="preserve">2)Борисов Е.А, Демография: Учебник для вузов. М., 1999. С. 24. </w:t>
      </w:r>
    </w:p>
    <w:p w:rsidR="002C0F56" w:rsidRDefault="00E67C6E">
      <w:pPr>
        <w:ind w:left="994" w:right="302"/>
      </w:pPr>
      <w:r>
        <w:t xml:space="preserve">3)Смирнова Н.А., Смирнов С.А. Перепись населения/Вестник СПб университета </w:t>
      </w:r>
    </w:p>
    <w:p w:rsidR="002C0F56" w:rsidRDefault="00E67C6E">
      <w:pPr>
        <w:spacing w:after="12"/>
        <w:ind w:left="1558" w:right="302" w:firstLine="0"/>
      </w:pPr>
      <w:r>
        <w:t xml:space="preserve">4)http://studopedia.ru/1_74668_perepis-naseleniya.html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25" w:line="259" w:lineRule="auto"/>
        <w:ind w:right="310"/>
        <w:jc w:val="right"/>
      </w:pPr>
      <w:r>
        <w:t xml:space="preserve">Худик М.А. </w:t>
      </w:r>
      <w:r>
        <w:rPr>
          <w:b w:val="0"/>
        </w:rPr>
        <w:t>Научный руководитель: Хитрых О.В.</w:t>
      </w:r>
      <w:r>
        <w:rPr>
          <w:b w:val="0"/>
        </w:rPr>
        <w:t xml:space="preserve"> </w:t>
      </w:r>
    </w:p>
    <w:p w:rsidR="002C0F56" w:rsidRDefault="00E67C6E">
      <w:pPr>
        <w:spacing w:after="0" w:line="267" w:lineRule="auto"/>
        <w:ind w:left="905" w:right="312" w:hanging="10"/>
        <w:jc w:val="right"/>
      </w:pPr>
      <w:r>
        <w:rPr>
          <w:i/>
        </w:rPr>
        <w:t xml:space="preserve">Луганский национальный университет им.Т. Шевченка </w:t>
      </w:r>
    </w:p>
    <w:p w:rsidR="002C0F56" w:rsidRDefault="00E67C6E">
      <w:pPr>
        <w:spacing w:after="30" w:line="259" w:lineRule="auto"/>
        <w:ind w:left="1558" w:firstLine="0"/>
        <w:jc w:val="left"/>
      </w:pPr>
      <w:r>
        <w:t xml:space="preserve"> </w:t>
      </w:r>
    </w:p>
    <w:p w:rsidR="002C0F56" w:rsidRDefault="00E67C6E">
      <w:pPr>
        <w:pStyle w:val="1"/>
        <w:ind w:left="700" w:right="6"/>
      </w:pPr>
      <w:r>
        <w:t xml:space="preserve">АНАЛИЗ СЛОЖНОСТИ ПЕРЕХОДА С ОПЕРАЦИОННОЙ СИСТЕМЫ WINDOWS НА LINUX </w:t>
      </w:r>
    </w:p>
    <w:p w:rsidR="002C0F56" w:rsidRDefault="00E67C6E">
      <w:pPr>
        <w:spacing w:after="0" w:line="259" w:lineRule="auto"/>
        <w:ind w:left="1558" w:firstLine="0"/>
        <w:jc w:val="left"/>
      </w:pPr>
      <w:r>
        <w:t xml:space="preserve"> </w:t>
      </w:r>
    </w:p>
    <w:p w:rsidR="002C0F56" w:rsidRDefault="00E67C6E">
      <w:pPr>
        <w:spacing w:after="10"/>
        <w:ind w:left="994" w:right="302"/>
      </w:pPr>
      <w:r>
        <w:t>Первая операционная система, с которой знакомится пользователь, является Windows. Многие не задумываются о том, что существуют другие операционные системы, т.к. Windows устраивает своей функциональностью. С каждым годом всё больше пользователей начинают по</w:t>
      </w:r>
      <w:r>
        <w:t xml:space="preserve">льзоваться системой - Linux и сталкиваются с массой проблем.  </w:t>
      </w:r>
    </w:p>
    <w:p w:rsidR="002C0F56" w:rsidRDefault="00E67C6E">
      <w:pPr>
        <w:spacing w:after="0"/>
        <w:ind w:left="994" w:right="302"/>
      </w:pPr>
      <w:r>
        <w:t>Актуальность данного исследования: с каждым годом многие пользователи задумываются о том, стоит ли приобретать лицензии на операционную систему Windows и на все программы, которые работают на н</w:t>
      </w:r>
      <w:r>
        <w:t xml:space="preserve">ей, или перейти на </w:t>
      </w:r>
      <w:r>
        <w:lastRenderedPageBreak/>
        <w:t xml:space="preserve">свободное программное обеспечение, то есть Linux. Проблема актуальна как для системы образования, так и для обычного пользователя. </w:t>
      </w:r>
    </w:p>
    <w:p w:rsidR="002C0F56" w:rsidRDefault="00E67C6E">
      <w:pPr>
        <w:ind w:left="994" w:right="302"/>
      </w:pPr>
      <w:r>
        <w:t>Цель исследования: изучить две операционные системы Windows и Linux, дать четкое определение проблем, с к</w:t>
      </w:r>
      <w:r>
        <w:t xml:space="preserve">оторыми сталкиваются пользователи Linux. </w:t>
      </w:r>
    </w:p>
    <w:p w:rsidR="002C0F56" w:rsidRDefault="00E67C6E">
      <w:pPr>
        <w:ind w:left="994" w:right="302"/>
      </w:pPr>
      <w:r>
        <w:t xml:space="preserve">Объект исследования – функционирование операционных систем Windows и Linux.  </w:t>
      </w:r>
    </w:p>
    <w:p w:rsidR="002C0F56" w:rsidRDefault="00E67C6E">
      <w:pPr>
        <w:ind w:left="994" w:right="302"/>
      </w:pPr>
      <w:r>
        <w:t xml:space="preserve">Предмет исследования - развитие и программное обеспечение операционных систем Windows и Linux. </w:t>
      </w:r>
    </w:p>
    <w:p w:rsidR="002C0F56" w:rsidRDefault="00E67C6E">
      <w:pPr>
        <w:spacing w:after="62"/>
        <w:ind w:left="1558" w:right="302" w:firstLine="0"/>
      </w:pPr>
      <w:r>
        <w:t xml:space="preserve">Задачи исследования: </w:t>
      </w:r>
    </w:p>
    <w:p w:rsidR="002C0F56" w:rsidRDefault="00E67C6E">
      <w:pPr>
        <w:numPr>
          <w:ilvl w:val="0"/>
          <w:numId w:val="265"/>
        </w:numPr>
        <w:spacing w:after="12"/>
        <w:ind w:right="302"/>
      </w:pPr>
      <w:r>
        <w:t xml:space="preserve">выявить проблемы, </w:t>
      </w:r>
      <w:r>
        <w:t xml:space="preserve">с которыми сталкивается пользователь Linux; </w:t>
      </w:r>
    </w:p>
    <w:p w:rsidR="002C0F56" w:rsidRDefault="00E67C6E">
      <w:pPr>
        <w:numPr>
          <w:ilvl w:val="0"/>
          <w:numId w:val="265"/>
        </w:numPr>
        <w:spacing w:after="12"/>
        <w:ind w:right="302"/>
      </w:pPr>
      <w:r>
        <w:t xml:space="preserve">дать сравнительную характеристику операционным системам. </w:t>
      </w:r>
    </w:p>
    <w:p w:rsidR="002C0F56" w:rsidRDefault="00E67C6E">
      <w:pPr>
        <w:numPr>
          <w:ilvl w:val="0"/>
          <w:numId w:val="265"/>
        </w:numPr>
        <w:ind w:right="302"/>
      </w:pPr>
      <w:r>
        <w:t xml:space="preserve">рассмотреть проблемы, с которыми сталкивается пользователь который перешел с ОС Windows на дистрибутивы Linux. </w:t>
      </w:r>
    </w:p>
    <w:p w:rsidR="002C0F56" w:rsidRDefault="00E67C6E">
      <w:pPr>
        <w:spacing w:after="62"/>
        <w:ind w:left="1558" w:right="302" w:firstLine="0"/>
      </w:pPr>
      <w:r>
        <w:t xml:space="preserve">Рассмотрим следующие проблемы: </w:t>
      </w:r>
    </w:p>
    <w:p w:rsidR="002C0F56" w:rsidRDefault="00E67C6E">
      <w:pPr>
        <w:numPr>
          <w:ilvl w:val="0"/>
          <w:numId w:val="265"/>
        </w:numPr>
        <w:spacing w:after="12"/>
        <w:ind w:right="302"/>
      </w:pPr>
      <w:r>
        <w:t xml:space="preserve">Установка операционной системы: </w:t>
      </w:r>
    </w:p>
    <w:p w:rsidR="002C0F56" w:rsidRDefault="00E67C6E">
      <w:pPr>
        <w:spacing w:after="62"/>
        <w:ind w:left="994" w:right="302"/>
      </w:pPr>
      <w:r>
        <w:t>При установке операционной системы, которая основана на ядре Linux, могут возникнуть масса проблем, так как найти оригинальный образ дистрибутива, который пользователь желает установить - почти невозможно, а некоторые коман</w:t>
      </w:r>
      <w:r>
        <w:t xml:space="preserve">ды разработчиков (компании) не выпускают образы на дисках вовсе. </w:t>
      </w:r>
    </w:p>
    <w:p w:rsidR="002C0F56" w:rsidRDefault="00E67C6E">
      <w:pPr>
        <w:numPr>
          <w:ilvl w:val="0"/>
          <w:numId w:val="265"/>
        </w:numPr>
        <w:ind w:right="302"/>
      </w:pPr>
      <w:r>
        <w:t xml:space="preserve">Настройка операционной системы во время и после установки: </w:t>
      </w:r>
    </w:p>
    <w:p w:rsidR="002C0F56" w:rsidRDefault="00E67C6E">
      <w:pPr>
        <w:spacing w:after="12"/>
        <w:ind w:left="1558" w:right="302" w:firstLine="0"/>
      </w:pPr>
      <w:r>
        <w:t xml:space="preserve">Для пользователя, который перешел с операционной системы Windows на </w:t>
      </w:r>
    </w:p>
    <w:p w:rsidR="002C0F56" w:rsidRDefault="00E67C6E">
      <w:pPr>
        <w:spacing w:after="63"/>
        <w:ind w:left="994" w:right="302" w:firstLine="0"/>
      </w:pPr>
      <w:r>
        <w:t>Linux подобную систему, может столкнуться с проблемами при на</w:t>
      </w:r>
      <w:r>
        <w:t>стройке ОС Linux. В Linux системах есть масса возможностей, которых нет в Windows и пользователь (особенно начинающий) не сможет настроить операционную систему правильно, что повлечет за собой массу проблем, вплоть до потери работоспособности системы и выв</w:t>
      </w:r>
      <w:r>
        <w:t xml:space="preserve">ода компьютера из строя. </w:t>
      </w:r>
    </w:p>
    <w:p w:rsidR="002C0F56" w:rsidRDefault="00E67C6E">
      <w:pPr>
        <w:numPr>
          <w:ilvl w:val="0"/>
          <w:numId w:val="265"/>
        </w:numPr>
        <w:spacing w:after="12"/>
        <w:ind w:right="302"/>
      </w:pPr>
      <w:r>
        <w:t xml:space="preserve">Совершенно незнакомый интерфейс: </w:t>
      </w:r>
    </w:p>
    <w:p w:rsidR="002C0F56" w:rsidRDefault="00E67C6E">
      <w:pPr>
        <w:spacing w:after="10"/>
        <w:ind w:left="994" w:right="302"/>
      </w:pPr>
      <w:r>
        <w:t>Если пользователь справился с установкой и настройкой системы, то его ждет еще одна проблема. Это - совершенно не похожий на Windows, графический интерфейс, так как во многих дистрибутивах отсутст</w:t>
      </w:r>
      <w:r>
        <w:t xml:space="preserve">вует привычные функции, а в некоторых дистрибутивах и вовсе отсутствует графический интерфейс. </w:t>
      </w:r>
      <w:r>
        <w:rPr>
          <w:rFonts w:ascii="Segoe UI Symbol" w:eastAsia="Segoe UI Symbol" w:hAnsi="Segoe UI Symbol" w:cs="Segoe UI Symbol"/>
        </w:rPr>
        <w:t>•</w:t>
      </w:r>
      <w:r>
        <w:rPr>
          <w:rFonts w:ascii="Arial" w:eastAsia="Arial" w:hAnsi="Arial" w:cs="Arial"/>
        </w:rPr>
        <w:t xml:space="preserve"> </w:t>
      </w:r>
      <w:r>
        <w:t xml:space="preserve">Установка приложений и подключение репозиторий: </w:t>
      </w:r>
    </w:p>
    <w:p w:rsidR="002C0F56" w:rsidRDefault="00E67C6E">
      <w:pPr>
        <w:spacing w:after="0" w:line="308" w:lineRule="auto"/>
        <w:ind w:left="994" w:right="302"/>
      </w:pPr>
      <w:r>
        <w:t xml:space="preserve">Репозито́рий Linux, хранилище — место, где хранятся и поддерживаются какие-либо данные. </w:t>
      </w:r>
    </w:p>
    <w:p w:rsidR="002C0F56" w:rsidRDefault="00E67C6E">
      <w:pPr>
        <w:spacing w:after="60"/>
        <w:ind w:left="994" w:right="302"/>
      </w:pPr>
      <w:r>
        <w:t>Многие приложения уст</w:t>
      </w:r>
      <w:r>
        <w:t>анавливаться через стандартные репозитории. Если пользователю понадобиться узкоспециализированное приложение, которое отсутствует в стандартных репозиториях, то пользователю будет необходимо установить репозитории из сторонних источников. Это может повести</w:t>
      </w:r>
      <w:r>
        <w:t xml:space="preserve"> к потере </w:t>
      </w:r>
      <w:r>
        <w:lastRenderedPageBreak/>
        <w:t xml:space="preserve">лицензии, или вовсе привести к потере работоспособности системы. Есть еще один путь - установка deb пакетов, через стандартный менеджер приложений, а если таковой отсутствует, то установка пакета через консоль (командную строку). </w:t>
      </w:r>
    </w:p>
    <w:p w:rsidR="002C0F56" w:rsidRDefault="00E67C6E">
      <w:pPr>
        <w:numPr>
          <w:ilvl w:val="0"/>
          <w:numId w:val="265"/>
        </w:numPr>
        <w:spacing w:after="12"/>
        <w:ind w:right="302"/>
      </w:pPr>
      <w:r>
        <w:t>Проблемы с драй</w:t>
      </w:r>
      <w:r>
        <w:t xml:space="preserve">верами: </w:t>
      </w:r>
    </w:p>
    <w:p w:rsidR="002C0F56" w:rsidRDefault="00E67C6E">
      <w:pPr>
        <w:spacing w:after="62"/>
        <w:ind w:left="994" w:right="302"/>
      </w:pPr>
      <w:r>
        <w:t>Многие компании которые разрабатывают и производят комплектующие к персональным компьютерам не делают драйверов для своей продукции под ОС основанной на Linux ядре. Например, драйверы для видеокарт компании Nvidiа могут повлечь массу проблем при у</w:t>
      </w:r>
      <w:r>
        <w:t xml:space="preserve">становки их на Linux, а драйверов для графических процессоров компании Intel и вовсе нет, что сводит возможность пользования компьютеров с данными видеопроцессорами к нулю. </w:t>
      </w:r>
    </w:p>
    <w:p w:rsidR="002C0F56" w:rsidRDefault="00E67C6E">
      <w:pPr>
        <w:numPr>
          <w:ilvl w:val="0"/>
          <w:numId w:val="265"/>
        </w:numPr>
        <w:spacing w:after="12"/>
        <w:ind w:right="302"/>
      </w:pPr>
      <w:r>
        <w:t xml:space="preserve">Проблемы с приложениями и их аналогами: </w:t>
      </w:r>
    </w:p>
    <w:p w:rsidR="002C0F56" w:rsidRDefault="00E67C6E">
      <w:pPr>
        <w:spacing w:after="61"/>
        <w:ind w:left="994" w:right="302"/>
      </w:pPr>
      <w:r>
        <w:t xml:space="preserve">На ОС Linux существует масса приложений, </w:t>
      </w:r>
      <w:r>
        <w:t>которые являются аналогами приложений Windows. Основная проблема заключается в том, что во многих приложениях отсутствуют те функции, которые есть на Windows версии приложения. Отдельной проблемой для пользователя, который решил поиграть в компьютерные игр</w:t>
      </w:r>
      <w:r>
        <w:t xml:space="preserve">ы, является отсутствие многих игр (особенно класса ААА) на дистрибутивах Linux. Это связанно с тем, что многие разработчики компьютерных игр не рассматривают Linux как игровую платформу и как среду разработки всевозможных приложений. </w:t>
      </w:r>
    </w:p>
    <w:p w:rsidR="002C0F56" w:rsidRDefault="00E67C6E">
      <w:pPr>
        <w:numPr>
          <w:ilvl w:val="0"/>
          <w:numId w:val="265"/>
        </w:numPr>
        <w:spacing w:after="12"/>
        <w:ind w:right="302"/>
      </w:pPr>
      <w:r>
        <w:t xml:space="preserve">Основной язык дистрибутива Linux: </w:t>
      </w:r>
    </w:p>
    <w:p w:rsidR="002C0F56" w:rsidRDefault="00E67C6E">
      <w:pPr>
        <w:spacing w:after="0"/>
        <w:ind w:left="994" w:right="302"/>
      </w:pPr>
      <w:r>
        <w:t>Linux разрабатывается интернациональной командой и их основным  языком общения является английский. Вся документация также создается так же на английском языке. Только небольшая часть этой документации переведена на русск</w:t>
      </w:r>
      <w:r>
        <w:t xml:space="preserve">ий язык, что создает трудности для пользователей, не читающих и не знающих английский язык. Система слишком сложна, чтобы в ней можно было разобраться без документации. </w:t>
      </w:r>
    </w:p>
    <w:p w:rsidR="002C0F56" w:rsidRDefault="00E67C6E">
      <w:pPr>
        <w:ind w:left="994" w:right="302"/>
      </w:pPr>
      <w:r>
        <w:t xml:space="preserve">Вывод: в ходе проведенных исследований было выявлено, что операционная система Linux: </w:t>
      </w:r>
    </w:p>
    <w:p w:rsidR="002C0F56" w:rsidRDefault="00E67C6E">
      <w:pPr>
        <w:numPr>
          <w:ilvl w:val="0"/>
          <w:numId w:val="266"/>
        </w:numPr>
        <w:ind w:right="302"/>
      </w:pPr>
      <w:r>
        <w:t>намного надежнее, более защищённее и стабильнее Windows. В Linux нет уязвимости, как в Windows, поэтому не требуется ставить сторонние firewall. Подавляющее большинство серверов работают под ОС Linux. Защита вашей информации от кражи, как по сети, так и н</w:t>
      </w:r>
      <w:r>
        <w:t xml:space="preserve">епосредственно подобравшимся к компьютеру злоумышленником, реализована многократно надежнее. Пользователь может иметь доступ только к своей папке и даже не видеть других файлов и папок, включая системные; </w:t>
      </w:r>
    </w:p>
    <w:p w:rsidR="002C0F56" w:rsidRDefault="00E67C6E">
      <w:pPr>
        <w:numPr>
          <w:ilvl w:val="0"/>
          <w:numId w:val="266"/>
        </w:numPr>
        <w:ind w:right="302"/>
      </w:pPr>
      <w:r>
        <w:t>Linux менее требователен к техническим параметрам компьютера, чем Windows. Он лучше использует аппаратную конфигурацию компьютера. Для работы можно использовать не самые мощные ПК. На данный момент Linux работает с огромным количеством оборудования, достат</w:t>
      </w:r>
      <w:r>
        <w:t xml:space="preserve">очно сказать, что даже </w:t>
      </w:r>
      <w:r>
        <w:lastRenderedPageBreak/>
        <w:t xml:space="preserve">такие экзотические устройства, как сканеры отпечатков пальцев и платы видеозахвата, распознаются встроенными драйверами Linux; </w:t>
      </w:r>
    </w:p>
    <w:p w:rsidR="002C0F56" w:rsidRDefault="00E67C6E">
      <w:pPr>
        <w:numPr>
          <w:ilvl w:val="0"/>
          <w:numId w:val="266"/>
        </w:numPr>
        <w:ind w:right="302"/>
      </w:pPr>
      <w:r>
        <w:t>дистрибутивам Linux не страшны вредоносные программы. Его невозможно заразить, если антивирусные программ</w:t>
      </w:r>
      <w:r>
        <w:t xml:space="preserve">ы для Linux и существуют, то только для того, чтобы проверять передаваемые транзитом файлы на другой компьютер с работающей Windows. В самой ОС Linux нет необходимости в антивирусных программах; </w:t>
      </w:r>
    </w:p>
    <w:p w:rsidR="002C0F56" w:rsidRDefault="00E67C6E">
      <w:pPr>
        <w:numPr>
          <w:ilvl w:val="0"/>
          <w:numId w:val="266"/>
        </w:numPr>
        <w:ind w:right="302"/>
      </w:pPr>
      <w:r>
        <w:t>Linux использует файловую систему, не нуждающуюся в дефрагме</w:t>
      </w:r>
      <w:r>
        <w:t xml:space="preserve">нтации; </w:t>
      </w:r>
    </w:p>
    <w:p w:rsidR="002C0F56" w:rsidRDefault="00E67C6E">
      <w:pPr>
        <w:numPr>
          <w:ilvl w:val="0"/>
          <w:numId w:val="266"/>
        </w:numPr>
        <w:ind w:right="302"/>
      </w:pPr>
      <w:r>
        <w:t xml:space="preserve">Linux отличается гибкостью в настройке, масштабируемостью и способен работать от ноутбука до супер-компьютера; </w:t>
      </w:r>
    </w:p>
    <w:p w:rsidR="002C0F56" w:rsidRDefault="00E67C6E">
      <w:pPr>
        <w:spacing w:after="9"/>
        <w:ind w:left="994" w:right="302"/>
      </w:pPr>
      <w:r>
        <w:t>Linux действительно является надежной, гибкой и высокоэффективной операционной системой. Поэтому профессионалы выбирают операционную си</w:t>
      </w:r>
      <w:r>
        <w:t xml:space="preserve">стему Linux.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67"/>
        </w:numPr>
        <w:ind w:right="302"/>
      </w:pPr>
      <w:r>
        <w:t xml:space="preserve">Под ред. А. Пасечника Red Hat Linux 6.2: учебный курс – СПб: Издательство «Питер», 2000. </w:t>
      </w:r>
    </w:p>
    <w:p w:rsidR="002C0F56" w:rsidRDefault="00E67C6E">
      <w:pPr>
        <w:numPr>
          <w:ilvl w:val="0"/>
          <w:numId w:val="267"/>
        </w:numPr>
        <w:ind w:right="302"/>
      </w:pPr>
      <w:r>
        <w:t>Крэг и Колетта Визурспун Освой самостоятельно Linux за 24 часа, 3-е издание.: Пер. с англ.: – М.: Издательский дом «Вильямс», 2001</w:t>
      </w:r>
      <w:r>
        <w:t xml:space="preserve">. </w:t>
      </w:r>
    </w:p>
    <w:p w:rsidR="002C0F56" w:rsidRDefault="00E67C6E">
      <w:pPr>
        <w:numPr>
          <w:ilvl w:val="0"/>
          <w:numId w:val="267"/>
        </w:numPr>
        <w:ind w:right="302"/>
      </w:pPr>
      <w:r>
        <w:t xml:space="preserve">Операционная система Linux: курс лекций. Учебное пособие / Г.В. Курячий, К.А. Маслинский – М.: ALT Linux; Издательство ДМК Пресс, 2010.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spacing w:after="0" w:line="259" w:lineRule="auto"/>
        <w:ind w:left="1558" w:firstLine="0"/>
        <w:jc w:val="left"/>
      </w:pPr>
      <w:r>
        <w:rPr>
          <w:b/>
        </w:rPr>
        <w:t xml:space="preserve"> </w:t>
      </w:r>
    </w:p>
    <w:p w:rsidR="002C0F56" w:rsidRDefault="00E67C6E">
      <w:pPr>
        <w:pStyle w:val="1"/>
        <w:spacing w:after="25" w:line="259" w:lineRule="auto"/>
        <w:ind w:right="305"/>
        <w:jc w:val="right"/>
      </w:pPr>
      <w:r>
        <w:t xml:space="preserve">Черных Е. В. </w:t>
      </w:r>
      <w:r>
        <w:rPr>
          <w:b w:val="0"/>
        </w:rPr>
        <w:t xml:space="preserve">Научный руководитель: Лосева О.В. </w:t>
      </w:r>
    </w:p>
    <w:p w:rsidR="002C0F56" w:rsidRDefault="00E67C6E">
      <w:pPr>
        <w:spacing w:after="0" w:line="267" w:lineRule="auto"/>
        <w:ind w:left="905" w:right="307" w:hanging="10"/>
        <w:jc w:val="right"/>
      </w:pPr>
      <w:r>
        <w:rPr>
          <w:i/>
        </w:rPr>
        <w:t xml:space="preserve">Липецкий государственный технический университет </w:t>
      </w:r>
    </w:p>
    <w:p w:rsidR="002C0F56" w:rsidRDefault="00E67C6E">
      <w:pPr>
        <w:spacing w:after="33" w:line="259" w:lineRule="auto"/>
        <w:ind w:left="1558" w:firstLine="0"/>
        <w:jc w:val="left"/>
      </w:pPr>
      <w:r>
        <w:rPr>
          <w:i/>
        </w:rPr>
        <w:t xml:space="preserve"> </w:t>
      </w:r>
    </w:p>
    <w:p w:rsidR="002C0F56" w:rsidRDefault="00E67C6E">
      <w:pPr>
        <w:pStyle w:val="1"/>
        <w:ind w:left="700" w:right="8"/>
      </w:pPr>
      <w:r>
        <w:t>РЫНОК ТРУДА КАК ФАКТОР НАЙМА ПЕРСОНАЛА</w:t>
      </w:r>
      <w:r>
        <w:rPr>
          <w:rFonts w:ascii="Arial" w:eastAsia="Arial" w:hAnsi="Arial" w:cs="Arial"/>
          <w:b w:val="0"/>
          <w:i/>
        </w:rPr>
        <w:t xml:space="preserve">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 xml:space="preserve">Рынок труда, к сожалению, создает все более жесткие ограничения при подборе персонала. Хотим мы того или нет, но анализ рынка труда может сделать усилия по привлечению персонала очень длительными, дорогостоящими и </w:t>
      </w:r>
      <w:r>
        <w:t>даже бесполезными. Как правило, при подборе персонала ориентируются на кандидатов с определенной специальностью, образованием, возрастом, полом, социальным статусом. Если таковых свободных кандидатов на рынке труда нет, приходится либо «переманивать» их из</w:t>
      </w:r>
      <w:r>
        <w:t xml:space="preserve"> других компаний, либо искать другие </w:t>
      </w:r>
      <w:r>
        <w:lastRenderedPageBreak/>
        <w:t>способы – развивать собственные кадры, брать тех, кого необходимо будет в дальнейшем доучивать. Условия, диктуемые рынком труда, являются одной из объективных причин, по которой все большее число менеджеров задумывается</w:t>
      </w:r>
      <w:r>
        <w:t xml:space="preserve"> над развитием, мотивацией и удержанием своего персонала [1]. </w:t>
      </w:r>
    </w:p>
    <w:p w:rsidR="002C0F56" w:rsidRDefault="00E67C6E">
      <w:pPr>
        <w:spacing w:after="0"/>
        <w:ind w:left="994" w:right="302"/>
      </w:pPr>
      <w:r>
        <w:t>Итак, давайте разберемся, что же такое наем персонала и чем характеризуется рынок труда. Наем - это сложная процедура (процесс) привлечения персонала на вакантные должности, которая предполагае</w:t>
      </w:r>
      <w:r>
        <w:t>т поиск нужных кандидатов, определение их пригодности (или непригодности) через систему отбора, заключение контракта или принятия решения об отказе. Факторы найма – это наиболее существенные обстоятельства и причины, по своей природе, значимости и силе явл</w:t>
      </w:r>
      <w:r>
        <w:t>яющиеся источниками воздействия на этот процесс, способные определить его характер и стать движущей силой. Научные дисциплины, описывающие и объясняющие причины и обстоятельства найма, позволяют предположить, что существуют  факторы, способные прямо или ко</w:t>
      </w:r>
      <w:r>
        <w:t xml:space="preserve">свенно, долгосрочно или одномоментно, с большей или меньшей степенью объективности влиять на изучаемый процесс.  Существуют внутренние и внешние факторы, влияющие на процесс найма персонала. К внутренним относятся методики отбора, кадровая политика, имидж </w:t>
      </w:r>
      <w:r>
        <w:t>и цели организации. Внешние факторы - это рынок труда, экономическое и техническое развитие и демографические факторы, экономическое и техническое развитие. Весомый фактор внешней среды – политика, формируемая на рынке труда и в целом в сфере отбора и найм</w:t>
      </w:r>
      <w:r>
        <w:t xml:space="preserve">а различными заинтересованными группами и прежде всего государством, профсоюзами и союзами работодателей, социокультурными причинами, личностные факторы </w:t>
      </w:r>
    </w:p>
    <w:p w:rsidR="002C0F56" w:rsidRDefault="00E67C6E">
      <w:pPr>
        <w:ind w:left="994" w:right="302" w:firstLine="0"/>
      </w:pPr>
      <w:r>
        <w:t xml:space="preserve">[2]. </w:t>
      </w:r>
    </w:p>
    <w:p w:rsidR="002C0F56" w:rsidRDefault="00E67C6E">
      <w:pPr>
        <w:ind w:left="994" w:right="302"/>
      </w:pPr>
      <w:r>
        <w:t>В свою очередь, рынок труда – это сфера формирования спроса и предложения на рабочую силу. Его м</w:t>
      </w:r>
      <w:r>
        <w:t xml:space="preserve">ожно рассматривать в обобщенном и конкретизированном вариантах. В первом случае его влияние можно проследить по показателю трудонедостаточности или трудоизбыточности. </w:t>
      </w:r>
    </w:p>
    <w:p w:rsidR="002C0F56" w:rsidRDefault="00E67C6E">
      <w:pPr>
        <w:spacing w:after="2"/>
        <w:ind w:left="994" w:right="302" w:firstLine="0"/>
      </w:pPr>
      <w:r>
        <w:t>Когда присутствует дефицит рабочей силы, работодатели вынуждены использовать более дорог</w:t>
      </w:r>
      <w:r>
        <w:t>ие каналы поиска кандидатов. При этом больше уделяется внимания привлечению кандидатов, чем их отбору. Также наниматели устанавливают более низкие требования к квалификации по сравнению с необходимыми. Из – за этого, к сожалению, снижается эффективность са</w:t>
      </w:r>
      <w:r>
        <w:t xml:space="preserve">мого процесса найма. Размер заработной платы также приходится увеличивать. </w:t>
      </w:r>
    </w:p>
    <w:p w:rsidR="002C0F56" w:rsidRDefault="00E67C6E">
      <w:pPr>
        <w:ind w:left="994" w:right="302"/>
      </w:pPr>
      <w:r>
        <w:t>А что же происходит, когда на рынке труда профицит рабочей силы? В таких условия организация устанавливает более высокие и разнообразные требования к соискателям. Согласно мнению американских ученых, шансы принятия неверного решения о приеме падают пропорц</w:t>
      </w:r>
      <w:r>
        <w:t xml:space="preserve">ионально величине претендентов, владеющих многоаспектной квалификацией. Необходимо заметить, что такие высокие требования могут сократить число потенциальных </w:t>
      </w:r>
      <w:r>
        <w:lastRenderedPageBreak/>
        <w:t xml:space="preserve">претендентов, но и одновременно с этим сократить расходы организации на процедуру отбора. А выбор </w:t>
      </w:r>
      <w:r>
        <w:t xml:space="preserve">методов для отбора кандидатов усложняется. </w:t>
      </w:r>
    </w:p>
    <w:p w:rsidR="002C0F56" w:rsidRDefault="00E67C6E">
      <w:pPr>
        <w:spacing w:after="2"/>
        <w:ind w:left="994" w:right="302"/>
      </w:pPr>
      <w:r>
        <w:t>Таким образом, многие специалисты считают, что рынок труда – наиболее действенный фактор внешней среды, так как он сочетает в себе действия других внешних факторов. Он является единым, если не единственным, интег</w:t>
      </w:r>
      <w:r>
        <w:t xml:space="preserve">рированным фактором, воздействующим на найм извне. </w:t>
      </w:r>
    </w:p>
    <w:p w:rsidR="002C0F56" w:rsidRDefault="00E67C6E">
      <w:pPr>
        <w:spacing w:after="0"/>
        <w:ind w:left="994" w:right="302"/>
      </w:pPr>
      <w:r>
        <w:t>Если обратиться к истории, то можно лучше понять важность рынка труда в процессе найма персонала. В середине 90-х гг в нашей стране на рынке труда спрос значительно превышал предложение. При этом достаточ</w:t>
      </w:r>
      <w:r>
        <w:t>но много было специалистов перспективных и хорошо образованных, которых легко было доучить до нужного уровня на рабочем месте. Их требования к заработной плате были достаточно умеренными. Возможно, и требования работодателей к сотрудникам на тот период был</w:t>
      </w:r>
      <w:r>
        <w:t xml:space="preserve">и достаточно умеренными. Единственным недостатком кандидатов было слабое знание иностранных языков [3].  </w:t>
      </w:r>
    </w:p>
    <w:p w:rsidR="002C0F56" w:rsidRDefault="00E67C6E">
      <w:pPr>
        <w:spacing w:after="2"/>
        <w:ind w:left="994" w:right="302"/>
      </w:pPr>
      <w:r>
        <w:t>Сегодня изменились экономическая и демографическая ситуации. Возросли требования работодателей. И часто приходится слышать, что сложно найти необходим</w:t>
      </w:r>
      <w:r>
        <w:t xml:space="preserve">ого сотрудника. Причем дефицит касается различных специальностей – менеджеров по продажам, квалифицированных рабочих, инженеров. Структура среднего профессионального и высшего образования способствует переизбытку одних специальностей и нехватке других. Да </w:t>
      </w:r>
      <w:r>
        <w:t xml:space="preserve">и качество образования оставляет желать лучшего. </w:t>
      </w:r>
    </w:p>
    <w:p w:rsidR="002C0F56" w:rsidRDefault="00E67C6E">
      <w:pPr>
        <w:spacing w:after="10"/>
        <w:ind w:left="994" w:right="302"/>
      </w:pPr>
      <w:r>
        <w:t>Европа же столкнулась с дефицитом рабочей силы раньше нас. Во Франции не хватает работников в разных областях – от сельского хозяйства до гостиничного дела. Инженерная фирма на севере Италии заявила, что не</w:t>
      </w:r>
      <w:r>
        <w:t xml:space="preserve"> может заполнить 1500 вакансий. И один из путей решения проблемы для западных стран – привлечение иностранной рабочей силы.  </w:t>
      </w:r>
    </w:p>
    <w:p w:rsidR="002C0F56" w:rsidRDefault="00E67C6E">
      <w:pPr>
        <w:ind w:left="994" w:right="302"/>
      </w:pPr>
      <w:r>
        <w:t>Если рассмотреть рынок труда в России за последний год 2016, то наблюдается тенденция роста числа вакансий на 10%,  и вместе с тем</w:t>
      </w:r>
      <w:r>
        <w:t xml:space="preserve">, сокращение количества соискателей на 15%. </w:t>
      </w:r>
    </w:p>
    <w:p w:rsidR="002C0F56" w:rsidRDefault="00E67C6E">
      <w:pPr>
        <w:spacing w:after="0" w:line="259" w:lineRule="auto"/>
        <w:ind w:left="0" w:right="439" w:firstLine="0"/>
        <w:jc w:val="right"/>
      </w:pPr>
      <w:r>
        <w:rPr>
          <w:noProof/>
        </w:rPr>
        <w:lastRenderedPageBreak/>
        <w:drawing>
          <wp:inline distT="0" distB="0" distL="0" distR="0">
            <wp:extent cx="5506720" cy="3206750"/>
            <wp:effectExtent l="0" t="0" r="0" b="0"/>
            <wp:docPr id="81659" name="Picture 81659"/>
            <wp:cNvGraphicFramePr/>
            <a:graphic xmlns:a="http://schemas.openxmlformats.org/drawingml/2006/main">
              <a:graphicData uri="http://schemas.openxmlformats.org/drawingml/2006/picture">
                <pic:pic xmlns:pic="http://schemas.openxmlformats.org/drawingml/2006/picture">
                  <pic:nvPicPr>
                    <pic:cNvPr id="81659" name="Picture 81659"/>
                    <pic:cNvPicPr/>
                  </pic:nvPicPr>
                  <pic:blipFill>
                    <a:blip r:embed="rId1364"/>
                    <a:stretch>
                      <a:fillRect/>
                    </a:stretch>
                  </pic:blipFill>
                  <pic:spPr>
                    <a:xfrm>
                      <a:off x="0" y="0"/>
                      <a:ext cx="5506720" cy="3206750"/>
                    </a:xfrm>
                    <a:prstGeom prst="rect">
                      <a:avLst/>
                    </a:prstGeom>
                  </pic:spPr>
                </pic:pic>
              </a:graphicData>
            </a:graphic>
          </wp:inline>
        </w:drawing>
      </w:r>
      <w:r>
        <w:t xml:space="preserve"> </w:t>
      </w:r>
    </w:p>
    <w:p w:rsidR="002C0F56" w:rsidRDefault="00E67C6E">
      <w:pPr>
        <w:pStyle w:val="4"/>
        <w:ind w:left="1181" w:right="0"/>
      </w:pPr>
      <w:r>
        <w:t xml:space="preserve">Риc. 1. Итоги 2016 года на рынке труда </w:t>
      </w:r>
    </w:p>
    <w:p w:rsidR="002C0F56" w:rsidRDefault="00E67C6E">
      <w:pPr>
        <w:spacing w:after="25" w:line="259" w:lineRule="auto"/>
        <w:ind w:left="1558" w:firstLine="0"/>
        <w:jc w:val="left"/>
      </w:pPr>
      <w:r>
        <w:t xml:space="preserve"> </w:t>
      </w:r>
    </w:p>
    <w:p w:rsidR="002C0F56" w:rsidRDefault="00E67C6E">
      <w:pPr>
        <w:ind w:left="994" w:right="302"/>
      </w:pPr>
      <w:r>
        <w:t xml:space="preserve"> Рассмотрим состояние рынка труда на примере Липецкой области. На сегодня  уровень безработицы Липецкой области равен 0,6%. Этот показатель – самый низкий в Центральн</w:t>
      </w:r>
      <w:r>
        <w:t xml:space="preserve">ом федеральном округе после Москвы и Московской области.  </w:t>
      </w:r>
    </w:p>
    <w:p w:rsidR="002C0F56" w:rsidRDefault="00E67C6E">
      <w:pPr>
        <w:spacing w:after="0" w:line="259" w:lineRule="auto"/>
        <w:ind w:left="1558" w:right="511" w:firstLine="0"/>
        <w:jc w:val="left"/>
      </w:pPr>
      <w:r>
        <w:t xml:space="preserve"> </w:t>
      </w:r>
    </w:p>
    <w:p w:rsidR="002C0F56" w:rsidRDefault="00E67C6E">
      <w:pPr>
        <w:spacing w:after="0" w:line="259" w:lineRule="auto"/>
        <w:ind w:left="0" w:right="439" w:firstLine="0"/>
        <w:jc w:val="right"/>
      </w:pPr>
      <w:r>
        <w:rPr>
          <w:noProof/>
        </w:rPr>
        <w:drawing>
          <wp:inline distT="0" distB="0" distL="0" distR="0">
            <wp:extent cx="5506720" cy="3206115"/>
            <wp:effectExtent l="0" t="0" r="0" b="0"/>
            <wp:docPr id="81680" name="Picture 81680"/>
            <wp:cNvGraphicFramePr/>
            <a:graphic xmlns:a="http://schemas.openxmlformats.org/drawingml/2006/main">
              <a:graphicData uri="http://schemas.openxmlformats.org/drawingml/2006/picture">
                <pic:pic xmlns:pic="http://schemas.openxmlformats.org/drawingml/2006/picture">
                  <pic:nvPicPr>
                    <pic:cNvPr id="81680" name="Picture 81680"/>
                    <pic:cNvPicPr/>
                  </pic:nvPicPr>
                  <pic:blipFill>
                    <a:blip r:embed="rId1365"/>
                    <a:stretch>
                      <a:fillRect/>
                    </a:stretch>
                  </pic:blipFill>
                  <pic:spPr>
                    <a:xfrm>
                      <a:off x="0" y="0"/>
                      <a:ext cx="5506720" cy="3206115"/>
                    </a:xfrm>
                    <a:prstGeom prst="rect">
                      <a:avLst/>
                    </a:prstGeom>
                  </pic:spPr>
                </pic:pic>
              </a:graphicData>
            </a:graphic>
          </wp:inline>
        </w:drawing>
      </w:r>
      <w:r>
        <w:t xml:space="preserve"> </w:t>
      </w:r>
    </w:p>
    <w:p w:rsidR="002C0F56" w:rsidRDefault="00E67C6E">
      <w:pPr>
        <w:spacing w:after="5" w:line="271" w:lineRule="auto"/>
        <w:ind w:left="5187" w:right="396" w:hanging="3423"/>
        <w:jc w:val="left"/>
      </w:pPr>
      <w:r>
        <w:rPr>
          <w:b/>
          <w:sz w:val="24"/>
        </w:rPr>
        <w:t xml:space="preserve">Рис. 2. Уровень регистрируемой безработицы (% к экономически – активному населению) </w:t>
      </w:r>
    </w:p>
    <w:p w:rsidR="002C0F56" w:rsidRDefault="00E67C6E">
      <w:pPr>
        <w:spacing w:after="24" w:line="259" w:lineRule="auto"/>
        <w:ind w:left="1558" w:firstLine="0"/>
        <w:jc w:val="left"/>
      </w:pPr>
      <w:r>
        <w:t xml:space="preserve"> </w:t>
      </w:r>
    </w:p>
    <w:p w:rsidR="002C0F56" w:rsidRDefault="00E67C6E">
      <w:pPr>
        <w:spacing w:after="13"/>
        <w:ind w:left="994" w:right="302"/>
      </w:pPr>
      <w:r>
        <w:lastRenderedPageBreak/>
        <w:t xml:space="preserve">    </w:t>
      </w:r>
      <w:r>
        <w:t>Всего в городе зарегистрировано 3848 безработных, количество же свободных вакансий в 3 раза превышает это число и составляет 11700 предложений. В начале текущего года в службы занятости области обратились 19600 человек, 17000 тысяч из них были трудоустроен</w:t>
      </w:r>
      <w:r>
        <w:t>ы: 12000 получили постоянную работу, 2300 – временную. На территории Липецкой области открываются новые производства, которые испытывают нехватку в кадрах и позволяют людям получить работу. Следует отметить, что Липецкая область – один из немногих субъекто</w:t>
      </w:r>
      <w:r>
        <w:t xml:space="preserve">в Российской Федерации, где отсутствует задолженность по заработной плате [4]. </w:t>
      </w:r>
    </w:p>
    <w:p w:rsidR="002C0F56" w:rsidRDefault="00E67C6E">
      <w:pPr>
        <w:spacing w:after="7"/>
        <w:ind w:left="994" w:right="302"/>
      </w:pPr>
      <w:r>
        <w:t>Самыми востребованными кадрами области являются строительные – рабочие (каменщики, бетонщики, монтажники) и инженеры. По данным статистики, всего региону необходимо 10 тысяч та</w:t>
      </w:r>
      <w:r>
        <w:t xml:space="preserve">ких специалистов. Средняя зарплата Липецкой области равна 17 232 рублям. В разы больше этой суммы получают работники металлургии, а вот оклады учителей намного меньше - 60,69% от среднеобластного уровня. Невысоки зарплаты и у сельских жителей и работников </w:t>
      </w:r>
      <w:r>
        <w:t xml:space="preserve">текстильной сферы - 77,2 и 33,84 процентов от средней зарплаты по региону. </w:t>
      </w:r>
    </w:p>
    <w:p w:rsidR="002C0F56" w:rsidRDefault="00E67C6E">
      <w:pPr>
        <w:spacing w:after="13"/>
        <w:ind w:left="994" w:right="302"/>
      </w:pPr>
      <w:r>
        <w:t xml:space="preserve">Демографическая ситуация в Липецкой области характеризуется следующим: численность постоянного населения на начало 2016 года - 1156,l тыс. человек, что выше на 0,02 % по сравнению </w:t>
      </w:r>
      <w:r>
        <w:t>с 2015 годом. Возрастной особенностью населения является его старение. На начало 2016 года доля лиц моложе трудоспособного возраста увеличилась на 0,4 % по сравнению с началом 2015 года, а доля лиц старше трудоспособного населения - на 0.5 %. Общий коэффиц</w:t>
      </w:r>
      <w:r>
        <w:t xml:space="preserve">иент рождаемости по итогам 2016 года снизился на 0,9 % по сравнению с 2014 годом, коэффициент смертности уменьшился на 1.3 %.  </w:t>
      </w:r>
    </w:p>
    <w:p w:rsidR="002C0F56" w:rsidRDefault="00E67C6E">
      <w:pPr>
        <w:spacing w:after="0"/>
        <w:ind w:left="994" w:right="302"/>
      </w:pPr>
      <w:r>
        <w:t>Таким образом, зная количественный и качественный состав населения Липецкой области, можно сказать, что количество предложения р</w:t>
      </w:r>
      <w:r>
        <w:t>абочей силы на рынке труда сокращается за счет снижения лиц трудоспособного возраста. Что говорит о сокращении количества соискателей на вакантные должности. Это ведет к временному увеличению процедуры найма, к увеличению затрат на этот процесс и к необход</w:t>
      </w:r>
      <w:r>
        <w:t xml:space="preserve">имости более внимательного и тщательного подхода к организации процедуры найма. Также необходимо отметить, что возрастает нагрузка на лиц трудоспособного возраста, так как увеличивается количество лиц старше трудоспособного возраста. </w:t>
      </w:r>
    </w:p>
    <w:p w:rsidR="002C0F56" w:rsidRDefault="00E67C6E">
      <w:pPr>
        <w:spacing w:after="3"/>
        <w:ind w:left="994" w:right="302"/>
      </w:pPr>
      <w:r>
        <w:t xml:space="preserve">В целом по России мы </w:t>
      </w:r>
      <w:r>
        <w:t xml:space="preserve">видим рост числа вакансий и одновременное сокращение количества соискателей. Это оказывают сильное воздействие на стратегию компании (потребности в человеческих ресурсах). Наблюдается возрастание спроса на труд и, соответственно, заработной платы.  </w:t>
      </w:r>
    </w:p>
    <w:p w:rsidR="002C0F56" w:rsidRDefault="00E67C6E">
      <w:pPr>
        <w:spacing w:after="22" w:line="259" w:lineRule="auto"/>
        <w:ind w:left="1558" w:firstLine="0"/>
        <w:jc w:val="left"/>
      </w:pPr>
      <w:r>
        <w:t xml:space="preserve"> </w:t>
      </w:r>
    </w:p>
    <w:p w:rsidR="002C0F56" w:rsidRDefault="00E67C6E">
      <w:pPr>
        <w:spacing w:after="15" w:line="268" w:lineRule="auto"/>
        <w:ind w:left="1262" w:hanging="10"/>
        <w:jc w:val="center"/>
      </w:pPr>
      <w:r>
        <w:t>Спис</w:t>
      </w:r>
      <w:r>
        <w:t xml:space="preserve">ок литературы: </w:t>
      </w:r>
    </w:p>
    <w:p w:rsidR="002C0F56" w:rsidRDefault="00E67C6E">
      <w:pPr>
        <w:numPr>
          <w:ilvl w:val="0"/>
          <w:numId w:val="268"/>
        </w:numPr>
        <w:spacing w:after="11" w:line="270" w:lineRule="auto"/>
        <w:ind w:right="304"/>
      </w:pPr>
      <w:r>
        <w:lastRenderedPageBreak/>
        <w:t xml:space="preserve">Кибанов А. Я., Дуракова И. Б. «Управление персоналом организации: </w:t>
      </w:r>
    </w:p>
    <w:p w:rsidR="002C0F56" w:rsidRDefault="00E67C6E">
      <w:pPr>
        <w:ind w:left="994" w:right="302" w:firstLine="0"/>
      </w:pPr>
      <w:r>
        <w:t xml:space="preserve">актуальные технологии найма, адаптации и  аттестации»: Учебное пособие. – 2е изд., стер. – М.: КНОРУС, 2012. – 368 с. </w:t>
      </w:r>
    </w:p>
    <w:p w:rsidR="002C0F56" w:rsidRDefault="00E67C6E">
      <w:pPr>
        <w:numPr>
          <w:ilvl w:val="0"/>
          <w:numId w:val="268"/>
        </w:numPr>
        <w:ind w:right="304"/>
      </w:pPr>
      <w:r>
        <w:t>Армстронг М. «Практика управления человеческими ресурс</w:t>
      </w:r>
      <w:r>
        <w:t xml:space="preserve">ами»: пер. с англ. М. : ИНФРА-М, 2004 </w:t>
      </w:r>
    </w:p>
    <w:p w:rsidR="002C0F56" w:rsidRDefault="00E67C6E">
      <w:pPr>
        <w:numPr>
          <w:ilvl w:val="0"/>
          <w:numId w:val="268"/>
        </w:numPr>
        <w:ind w:right="304"/>
      </w:pPr>
      <w:r>
        <w:t xml:space="preserve">Борисова Е.А. «Управление персоналом для современных руководителей»: СПб.: Питер, 2003. – 445с.: ил. – (Серия «Теория и практика менеджмента») </w:t>
      </w:r>
    </w:p>
    <w:p w:rsidR="002C0F56" w:rsidRDefault="00E67C6E">
      <w:pPr>
        <w:numPr>
          <w:ilvl w:val="0"/>
          <w:numId w:val="268"/>
        </w:numPr>
        <w:spacing w:after="11" w:line="270" w:lineRule="auto"/>
        <w:ind w:right="304"/>
      </w:pPr>
      <w:r>
        <w:t xml:space="preserve">Официальный </w:t>
      </w:r>
      <w:r>
        <w:tab/>
        <w:t xml:space="preserve">портал, </w:t>
      </w:r>
      <w:r>
        <w:tab/>
        <w:t xml:space="preserve">Администрация </w:t>
      </w:r>
      <w:r>
        <w:tab/>
        <w:t xml:space="preserve">Липецкой </w:t>
      </w:r>
      <w:r>
        <w:tab/>
        <w:t xml:space="preserve">области </w:t>
      </w:r>
      <w:r>
        <w:tab/>
        <w:t xml:space="preserve">- </w:t>
      </w:r>
    </w:p>
    <w:p w:rsidR="002C0F56" w:rsidRDefault="00E67C6E">
      <w:pPr>
        <w:spacing w:after="12"/>
        <w:ind w:left="994" w:right="302" w:firstLine="0"/>
      </w:pPr>
      <w:r>
        <w:t xml:space="preserve">http://admlip.ru/ </w:t>
      </w:r>
    </w:p>
    <w:p w:rsidR="002C0F56" w:rsidRDefault="00E67C6E">
      <w:pPr>
        <w:spacing w:after="0" w:line="259" w:lineRule="auto"/>
        <w:ind w:left="1558" w:firstLine="0"/>
        <w:jc w:val="left"/>
      </w:pPr>
      <w:r>
        <w:t xml:space="preserve"> </w:t>
      </w:r>
    </w:p>
    <w:p w:rsidR="002C0F56" w:rsidRDefault="00E67C6E">
      <w:pPr>
        <w:spacing w:after="28" w:line="259" w:lineRule="auto"/>
        <w:ind w:left="994" w:firstLine="0"/>
        <w:jc w:val="left"/>
      </w:pPr>
      <w:r>
        <w:t xml:space="preserve"> </w:t>
      </w:r>
    </w:p>
    <w:p w:rsidR="002C0F56" w:rsidRDefault="00E67C6E">
      <w:pPr>
        <w:spacing w:after="0" w:line="267" w:lineRule="auto"/>
        <w:ind w:left="3574" w:right="308" w:firstLine="159"/>
        <w:jc w:val="right"/>
      </w:pPr>
      <w:r>
        <w:rPr>
          <w:b/>
        </w:rPr>
        <w:t xml:space="preserve">Чижаева М.С.  </w:t>
      </w:r>
      <w:r>
        <w:t xml:space="preserve">Научный руководитель: Погорелая Т. А., к.э.н., доц.  </w:t>
      </w:r>
      <w:r>
        <w:rPr>
          <w:i/>
        </w:rPr>
        <w:t>Кузбасский государственный технический университет  имени Т.Ф. Горбачева</w:t>
      </w:r>
      <w:r>
        <w:rPr>
          <w:b/>
        </w:rPr>
        <w:t xml:space="preserve">  </w:t>
      </w:r>
    </w:p>
    <w:p w:rsidR="002C0F56" w:rsidRDefault="00E67C6E">
      <w:pPr>
        <w:spacing w:after="30" w:line="259" w:lineRule="auto"/>
        <w:ind w:left="1558" w:firstLine="0"/>
        <w:jc w:val="left"/>
      </w:pPr>
      <w:r>
        <w:rPr>
          <w:b/>
        </w:rPr>
        <w:t xml:space="preserve"> </w:t>
      </w:r>
    </w:p>
    <w:p w:rsidR="002C0F56" w:rsidRDefault="00E67C6E">
      <w:pPr>
        <w:pStyle w:val="1"/>
        <w:ind w:left="700" w:right="5"/>
      </w:pPr>
      <w:r>
        <w:t xml:space="preserve">ПРОБЛЕМЫ РАЗВИТИЯ ТЕОРИИ АНТИКРИЗИСНОГО  </w:t>
      </w:r>
    </w:p>
    <w:p w:rsidR="002C0F56" w:rsidRDefault="00E67C6E">
      <w:pPr>
        <w:pStyle w:val="1"/>
        <w:ind w:left="700" w:right="5"/>
      </w:pPr>
      <w:r>
        <w:t>УПРАВЛЕНИЯ МАЛЫМ ПРЕДПРИЯТИЕМ</w:t>
      </w:r>
      <w:r>
        <w:rPr>
          <w:b w:val="0"/>
          <w:i/>
        </w:rPr>
        <w:t xml:space="preserve"> </w:t>
      </w:r>
    </w:p>
    <w:p w:rsidR="002C0F56" w:rsidRDefault="00E67C6E">
      <w:pPr>
        <w:spacing w:after="0" w:line="259" w:lineRule="auto"/>
        <w:ind w:left="1558" w:firstLine="0"/>
        <w:jc w:val="left"/>
      </w:pPr>
      <w:r>
        <w:t xml:space="preserve"> </w:t>
      </w:r>
    </w:p>
    <w:p w:rsidR="002C0F56" w:rsidRDefault="00E67C6E">
      <w:pPr>
        <w:spacing w:after="7"/>
        <w:ind w:left="994" w:right="733"/>
      </w:pPr>
      <w:r>
        <w:t>Влияние соврем</w:t>
      </w:r>
      <w:r>
        <w:t xml:space="preserve">енного экономического кризиса на развитие различных форм бизнеса отразилось на развитии зарубежной и отечественной теории антикризисного управления. Разработка антикризисной стратегии для малого предприятия, большинство из которых функционируют в условиях </w:t>
      </w:r>
      <w:r>
        <w:t xml:space="preserve">жестокой конкурентной борьбы, должна быть подчинена предупреждению и своевременному выводу бизнеса из «предбанкротного» состояния, с учетом всех факторов, влияющих на снижение деловой активности каждого конкретного предприятия в условиях кризиса.  </w:t>
      </w:r>
    </w:p>
    <w:p w:rsidR="002C0F56" w:rsidRDefault="00E67C6E">
      <w:pPr>
        <w:ind w:left="994" w:right="730"/>
      </w:pPr>
      <w:r>
        <w:t>Отметим</w:t>
      </w:r>
      <w:r>
        <w:t>, что до начала рыночных реформ в России в отечественной экономической теории господствовала позиция, согласно которой «кризисы присущи только капитализму» и «любые буржуазные теории борьбы с кризисами ошибочны, а практика предотвращения или преодоления кр</w:t>
      </w:r>
      <w:r>
        <w:t>изисов, – бесперспективна» [1]. Однако, с началом глубокого и продолжительного трансформационного кризиса российские ученые, определяют кризис, как «быстрое ухудшение экономического состояния страны, являющееся в спаде производства, нарушении производствен</w:t>
      </w:r>
      <w:r>
        <w:t>ных связей и банкротстве предприятий и т.д.» [2], как «специфическую совокупность социально-экономических явлений и процессов, которая приводит к нарушению стабильности и устойчивости системы хозяйствования», или как «крайнее обострение противоречий развит</w:t>
      </w:r>
      <w:r>
        <w:t xml:space="preserve">ия; нарастающая опасность банкротства, ликвидации организации, переломный </w:t>
      </w:r>
      <w:r>
        <w:lastRenderedPageBreak/>
        <w:t xml:space="preserve">момент в процессах изменений, рассогласование экономической, финансовой и других систем» [3, 4].  </w:t>
      </w:r>
    </w:p>
    <w:p w:rsidR="002C0F56" w:rsidRDefault="00E67C6E">
      <w:pPr>
        <w:spacing w:after="0"/>
        <w:ind w:left="994" w:right="736"/>
      </w:pPr>
      <w:r>
        <w:t>В 1990-е гг. большинство малых российских предприятий не смогли своевременно приспо</w:t>
      </w:r>
      <w:r>
        <w:t xml:space="preserve">собиться к новым экономическим условиям и оказались на грани банкротства. Был наработан первый опыт преодоления неустойчивости развития бизнеса, а единственным инструментом </w:t>
      </w:r>
    </w:p>
    <w:p w:rsidR="002C0F56" w:rsidRDefault="00E67C6E">
      <w:pPr>
        <w:spacing w:after="5" w:line="268" w:lineRule="auto"/>
        <w:ind w:left="994" w:right="293" w:firstLine="0"/>
        <w:jc w:val="left"/>
      </w:pPr>
      <w:r>
        <w:t xml:space="preserve">«спасения» стали основы антикризисного управления, заимствованные в </w:t>
      </w:r>
      <w:r>
        <w:t>зарубежных теориях. Согласно теории конкурентных преимуществ М. Портера в стратегии обеспечения устойчивого развития предприятия необходимо учитывать не только общие особенности момента в отрасли, но и анализировать стратегию собственно фирмы, ее конкурент</w:t>
      </w:r>
      <w:r>
        <w:t xml:space="preserve">оспособности </w:t>
      </w:r>
    </w:p>
    <w:p w:rsidR="002C0F56" w:rsidRDefault="00E67C6E">
      <w:pPr>
        <w:spacing w:after="12"/>
        <w:ind w:left="994" w:right="302" w:firstLine="0"/>
      </w:pPr>
      <w:r>
        <w:t xml:space="preserve">[4].  </w:t>
      </w:r>
    </w:p>
    <w:p w:rsidR="002C0F56" w:rsidRDefault="00E67C6E">
      <w:pPr>
        <w:spacing w:after="0"/>
        <w:ind w:left="994" w:right="731"/>
      </w:pPr>
      <w:r>
        <w:t>Начиная с этого этапа, под антикризисным управлением стали понимать выход из неожиданного кризисного состояния, худшим результатом которого является ликвидация предприятия. Однако, как показала практика, такое понятие антикризисного уп</w:t>
      </w:r>
      <w:r>
        <w:t>равления характеризует действия при внезапном появлении кризиса, а так как кризис больше не имел внезапный характер, то понятие об антикризисном управлении формировалось иначе. На сегодняшний день существует множество различных определений антикризисного у</w:t>
      </w:r>
      <w:r>
        <w:t xml:space="preserve">правления, включающих в себя ряд мероприятий, взаимосвязанных между собой и направленных на поддержание, улучшение и непрерывность хозяйственной деятельности предприятия.  </w:t>
      </w:r>
    </w:p>
    <w:p w:rsidR="002C0F56" w:rsidRDefault="00E67C6E">
      <w:pPr>
        <w:spacing w:after="0"/>
        <w:ind w:left="994" w:right="735"/>
      </w:pPr>
      <w:r>
        <w:t>На следующем этапе эволюции теории антикризисной стратегии были определены основные</w:t>
      </w:r>
      <w:r>
        <w:t xml:space="preserve"> специфические функции АКС, направленные на преодоление кризисных ситуаций: «…это три этапа действий, включающих в себя идентификацию кризиса, планирование антикризисных мероприятий и осуществление мер по преодолению кризиса» [1]. По мере накопления необхо</w:t>
      </w:r>
      <w:r>
        <w:t>димых знаний и опыта в сфере антикризисного регулирования сформировалась новая позиция, согласно которой антикризисное управление должно быть направлено не только на преодоление последствий кризиса, но, прежде всего, на его предотвращение, а значит и банкр</w:t>
      </w:r>
      <w:r>
        <w:t xml:space="preserve">отства предприятия.  </w:t>
      </w:r>
    </w:p>
    <w:p w:rsidR="002C0F56" w:rsidRDefault="00E67C6E">
      <w:pPr>
        <w:spacing w:after="0"/>
        <w:ind w:left="994" w:right="736"/>
      </w:pPr>
      <w:r>
        <w:t>Данный подход говорит о том, что антикризисное управление должно опережать и предотвращать на раннем этапе ситуацию неплатежеспособности предприятия и в дальнейшем обеспечить длительную конкурентоспособность продукции, а также стабиль</w:t>
      </w:r>
      <w:r>
        <w:t>ную и успешную хозяйственную деятельность. Действительно, практика показала, что невозможно предсказать точное появление кризиса, однако накопленные знания и опыт помогают подготовиться к нему, разрабатывая и своевременно реализуя комплекс мероприятий, кот</w:t>
      </w:r>
      <w:r>
        <w:t xml:space="preserve">орые охватывают все этапы антикризисного управления.  </w:t>
      </w:r>
    </w:p>
    <w:p w:rsidR="002C0F56" w:rsidRDefault="00E67C6E">
      <w:pPr>
        <w:spacing w:after="0"/>
        <w:ind w:left="994" w:right="734"/>
      </w:pPr>
      <w:r>
        <w:lastRenderedPageBreak/>
        <w:t>В подходах различных авторов мы видим задачи разного уровня, которые должны решаться одновременно при разработке антикризисной стратегии управления предприятием, как неотъемлемого и важного элемента по</w:t>
      </w:r>
      <w:r>
        <w:t>ддержания конкурентных преимуществ на рынке товаров и услуг и предотвращению неплатежеспособности (банкротства) предприятий в условиях кризиса. Так, М.В. Рыбкина причет, что «Антикризисное управление – это система управленческих мер по диагностике, предупр</w:t>
      </w:r>
      <w:r>
        <w:t>еждению, нейтрализации и преодолению кризисных явлений и их причин на всех уровнях экономики» [4]. Определение Е.Г. Новосельцевой лишь несколько расширяет перечень функций АКС: «Антикризисное управление – это комплекс мер по прогнозированию, профилактике и</w:t>
      </w:r>
      <w:r>
        <w:t xml:space="preserve"> предотвращению кризисной ситуации, а также лечению возникшего кризиса, выходу из него и ликвидации последствий кризиса с минимальными затратами и максимально возможным эффектом» [5]. А по мнению К.З. Айрапетян проблемы предприятия необходимо рассматривать</w:t>
      </w:r>
      <w:r>
        <w:t xml:space="preserve"> в тесной связи с проблемами в отрасли и национальной экономике в целом: «антикризисное управление – это комплекс методов, форм и процедур для социально-экономического оздоровления финансово-хозяйственной деятельности предприятий, предпринимателей, отрасли</w:t>
      </w:r>
      <w:r>
        <w:t>, также включает создание и развитие условий, позволяющих выйти из состояния кризиса» [6]. В свою очередь, В.Я. Захаров выделил два его вида антикризисного управления, как «процесса предотвращения или преодоления кризиса организации»: в широком смысле (пре</w:t>
      </w:r>
      <w:r>
        <w:t xml:space="preserve">дотвращение) характеризуется сохранением и укрепление конкурентных позиций предприятия в условиях неопределенности, неожиданного проявления кризиса и применяется к любому предприятию независимо от экономических положений и жизненных циклах; в узком смысле </w:t>
      </w:r>
      <w:r>
        <w:t xml:space="preserve">(преодоление) антикризисное осуществляется в условиях кризиса, где все мероприятия направлены на вывод предприятия из кризисной ситуации, предотвращение банкротства и восстановление конкурентоспособности и платежеспособности предприятия </w:t>
      </w:r>
    </w:p>
    <w:p w:rsidR="002C0F56" w:rsidRDefault="00E67C6E">
      <w:pPr>
        <w:spacing w:after="12"/>
        <w:ind w:left="994" w:right="302" w:firstLine="0"/>
      </w:pPr>
      <w:r>
        <w:t xml:space="preserve">[7]. </w:t>
      </w:r>
    </w:p>
    <w:p w:rsidR="002C0F56" w:rsidRDefault="00E67C6E">
      <w:pPr>
        <w:spacing w:after="0"/>
        <w:ind w:left="994" w:right="729"/>
      </w:pPr>
      <w:r>
        <w:t>При этом, из</w:t>
      </w:r>
      <w:r>
        <w:t>учение эволюции предмета теории антикризисного управления позволяет сделать вывод о том, что разработка антикризисной стратегии предприятия малой формы имеет существенные особенности. А ведь сектор предоставляет реальные рабочие места активной части населе</w:t>
      </w:r>
      <w:r>
        <w:t>ния, насыщает рынок, осуществляет инновационную деятельность и обеспечивает своевременные поступления налогов в казну. Для полноценной реализации заявленных функций необходим не только комплекс мер со стороны властей различного уровня по поддержке МБ в усл</w:t>
      </w:r>
      <w:r>
        <w:t xml:space="preserve">овиях кризиса, но и готовность малых предприятий быстро адаптироваться к изменяющимся условиям хозяйствования, готовность «отвечать на вызовы». Уязвимость </w:t>
      </w:r>
      <w:r>
        <w:lastRenderedPageBreak/>
        <w:t xml:space="preserve">малого предпринимательства в условиях макроэкономической нестабильности проявляется, прежде всего, в </w:t>
      </w:r>
      <w:r>
        <w:t xml:space="preserve">сокращении количества предприятий, а в итоге - в уменьшении его доли в национальном ВВП. </w:t>
      </w:r>
    </w:p>
    <w:p w:rsidR="002C0F56" w:rsidRDefault="00E67C6E">
      <w:pPr>
        <w:ind w:left="994" w:right="737"/>
      </w:pPr>
      <w:r>
        <w:t>По данным Росстата, с 2015 г. по 2016 г. количество малых предприятий в России сократилось с 242,7 тыс. до 172,8 тыс. [8]. Существенное сокращение этого сектора произ</w:t>
      </w:r>
      <w:r>
        <w:t>ошло и в экономике Кемеровской области, где количество малых предприятий изменилось с 3,279 тыс. до 2,724 тыс. [9]. Данное сокращение в сфере малого бизнеса объясняется не только резким ухудшением для России ситуации на внешнем рынке, действием санкционног</w:t>
      </w:r>
      <w:r>
        <w:t>о механизма, хроническим дефицитом госбюджета, ростом инфляции, снижением реальных доходов населения, уменьшением емкости рынка и общим снижением инвестиционной активности. Не получив своевременную эффективную поддержку большинство малых предприятий, не ус</w:t>
      </w:r>
      <w:r>
        <w:t>певая отреагировать на снижение спроса, попадают в ситуацию «перепроизводства» товаров, которая требует оптимизации всех видов расходов, сокращения объемов производства, сокращения рабочих мест, что часто заканчивается банкротством предприятия. Основная пр</w:t>
      </w:r>
      <w:r>
        <w:t>ичина неустойчивости заключается в том, что в условиях кризиса большинство малых предприятий не способны без разносторонней поддержки со стороны государства и региональных властей вести свою хозяйственную деятельность, так, чтобы доходы покрывали долгосроч</w:t>
      </w:r>
      <w:r>
        <w:t xml:space="preserve">ные кредиторские обязательства. Именно поэтому разработка и осуществление антикризисной стратегии является важной частью для предотвращения их банкротства, а в дальнейшем и повышения конкурентоспособности производимой продукции. </w:t>
      </w:r>
    </w:p>
    <w:p w:rsidR="002C0F56" w:rsidRDefault="00E67C6E">
      <w:pPr>
        <w:spacing w:after="15"/>
        <w:ind w:left="994" w:right="732"/>
      </w:pPr>
      <w:r>
        <w:t>Анализ финансовых результа</w:t>
      </w:r>
      <w:r>
        <w:t>тов деятельности, платежеспособности и финансовой устойчивости конкретного предприятия всегда служит основой дальнейшего анализа его деловой активности и выявления признаков кризисных ситуаций в деятельности предприятия. Оценка резервов повышения эффективн</w:t>
      </w:r>
      <w:r>
        <w:t xml:space="preserve">ости использования производственных ресурсов и эффективности в сфере реализации должны осуществляться одновременно. </w:t>
      </w:r>
    </w:p>
    <w:p w:rsidR="002C0F56" w:rsidRDefault="00E67C6E">
      <w:pPr>
        <w:spacing w:after="2"/>
        <w:ind w:left="994" w:right="733"/>
      </w:pPr>
      <w:r>
        <w:t>Таким образом, антикризисное управление является важной и неотъемлемой частью каждого предприятия, разработка которого не только предотвращ</w:t>
      </w:r>
      <w:r>
        <w:t xml:space="preserve">ает ликвидацию (банкротство), но и повышает конкурентные позиции и платежеспособность предприятия.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429" w:hanging="10"/>
        <w:jc w:val="center"/>
      </w:pPr>
      <w:r>
        <w:t xml:space="preserve">Список литературы: </w:t>
      </w:r>
    </w:p>
    <w:p w:rsidR="002C0F56" w:rsidRDefault="00E67C6E">
      <w:pPr>
        <w:numPr>
          <w:ilvl w:val="0"/>
          <w:numId w:val="269"/>
        </w:numPr>
        <w:ind w:right="302"/>
      </w:pPr>
      <w:r>
        <w:t xml:space="preserve">Файншмидт Е.А. Теория антикризисного управления. Москва, 2012. - С. 5-67. </w:t>
      </w:r>
    </w:p>
    <w:p w:rsidR="002C0F56" w:rsidRDefault="00E67C6E">
      <w:pPr>
        <w:numPr>
          <w:ilvl w:val="0"/>
          <w:numId w:val="269"/>
        </w:numPr>
        <w:ind w:right="302"/>
      </w:pPr>
      <w:r>
        <w:lastRenderedPageBreak/>
        <w:t xml:space="preserve">Калаева З.З. Влияние кризиса на малый и средний бизнес в России // Молодой ученый, 2016. - №2. - С. 504. </w:t>
      </w:r>
    </w:p>
    <w:p w:rsidR="002C0F56" w:rsidRDefault="00E67C6E">
      <w:pPr>
        <w:numPr>
          <w:ilvl w:val="0"/>
          <w:numId w:val="269"/>
        </w:numPr>
        <w:ind w:right="302"/>
      </w:pPr>
      <w:r>
        <w:t xml:space="preserve">Згонник Л.В. Антикризисное управление. Москва, 2015. С. 6. </w:t>
      </w:r>
    </w:p>
    <w:p w:rsidR="002C0F56" w:rsidRDefault="00E67C6E">
      <w:pPr>
        <w:numPr>
          <w:ilvl w:val="0"/>
          <w:numId w:val="269"/>
        </w:numPr>
        <w:ind w:right="302"/>
      </w:pPr>
      <w:r>
        <w:t xml:space="preserve">Рыбкина М.В. Антикризисное управление предприятием. Ульяновск, 2014. - С. 7-28. </w:t>
      </w:r>
    </w:p>
    <w:p w:rsidR="002C0F56" w:rsidRDefault="00E67C6E">
      <w:pPr>
        <w:numPr>
          <w:ilvl w:val="0"/>
          <w:numId w:val="269"/>
        </w:numPr>
        <w:ind w:right="302"/>
      </w:pPr>
      <w:r>
        <w:t>Новосельц</w:t>
      </w:r>
      <w:r>
        <w:t xml:space="preserve">ева Е.Г. Развитие антикризисного управления в современной России. Волгоград, 2014. - С. 56. </w:t>
      </w:r>
    </w:p>
    <w:p w:rsidR="002C0F56" w:rsidRDefault="00E67C6E">
      <w:pPr>
        <w:numPr>
          <w:ilvl w:val="0"/>
          <w:numId w:val="269"/>
        </w:numPr>
        <w:ind w:right="302"/>
      </w:pPr>
      <w:r>
        <w:t xml:space="preserve">Айрапетян К. З. Антикризисное управление предприятием на основе инновационных бизнес-стратегий. Киров, 2016. - С. 1. </w:t>
      </w:r>
    </w:p>
    <w:p w:rsidR="002C0F56" w:rsidRDefault="00E67C6E">
      <w:pPr>
        <w:numPr>
          <w:ilvl w:val="0"/>
          <w:numId w:val="269"/>
        </w:numPr>
        <w:ind w:right="302"/>
      </w:pPr>
      <w:r>
        <w:t>Захаров В.Я. Антикризисное управление. Теория</w:t>
      </w:r>
      <w:r>
        <w:t xml:space="preserve"> и практика. Москва, 2012. - С. 43. </w:t>
      </w:r>
    </w:p>
    <w:p w:rsidR="002C0F56" w:rsidRDefault="00E67C6E">
      <w:pPr>
        <w:numPr>
          <w:ilvl w:val="0"/>
          <w:numId w:val="269"/>
        </w:numPr>
        <w:ind w:right="302"/>
      </w:pPr>
      <w:r>
        <w:t xml:space="preserve">Малое и среднее предпринимательство в России / Федеральная служба государственной статистики. [Электронный ресурс] – Режим доступа: </w:t>
      </w:r>
      <w:r>
        <w:tab/>
      </w:r>
      <w:hyperlink r:id="rId1366">
        <w:r>
          <w:t>http</w:t>
        </w:r>
      </w:hyperlink>
      <w:hyperlink r:id="rId1367">
        <w:r>
          <w:t>://</w:t>
        </w:r>
      </w:hyperlink>
      <w:hyperlink r:id="rId1368">
        <w:r>
          <w:t>www</w:t>
        </w:r>
      </w:hyperlink>
      <w:hyperlink r:id="rId1369">
        <w:r>
          <w:t>.</w:t>
        </w:r>
      </w:hyperlink>
      <w:hyperlink r:id="rId1370">
        <w:r>
          <w:t>gks</w:t>
        </w:r>
      </w:hyperlink>
      <w:hyperlink r:id="rId1371">
        <w:r>
          <w:t>.</w:t>
        </w:r>
      </w:hyperlink>
      <w:hyperlink r:id="rId1372">
        <w:r>
          <w:t>ru</w:t>
        </w:r>
      </w:hyperlink>
      <w:hyperlink r:id="rId1373">
        <w:r>
          <w:t>/</w:t>
        </w:r>
      </w:hyperlink>
      <w:hyperlink r:id="rId1374">
        <w:r>
          <w:t>wps</w:t>
        </w:r>
      </w:hyperlink>
      <w:hyperlink r:id="rId1375">
        <w:r>
          <w:t>/</w:t>
        </w:r>
      </w:hyperlink>
      <w:hyperlink r:id="rId1376">
        <w:r>
          <w:t>wcm</w:t>
        </w:r>
      </w:hyperlink>
      <w:hyperlink r:id="rId1377">
        <w:r>
          <w:t>/</w:t>
        </w:r>
      </w:hyperlink>
      <w:hyperlink r:id="rId1378">
        <w:r>
          <w:t xml:space="preserve"> </w:t>
        </w:r>
      </w:hyperlink>
    </w:p>
    <w:p w:rsidR="002C0F56" w:rsidRDefault="00E67C6E">
      <w:pPr>
        <w:ind w:left="994" w:right="629" w:firstLine="0"/>
      </w:pPr>
      <w:r>
        <w:t xml:space="preserve">connect/rosstat_main/rosstat/ru/statistics/publications/catalog/doc_113984160135 9 (дата обращения 26.02.2017). </w:t>
      </w:r>
    </w:p>
    <w:p w:rsidR="002C0F56" w:rsidRDefault="00E67C6E">
      <w:pPr>
        <w:numPr>
          <w:ilvl w:val="0"/>
          <w:numId w:val="269"/>
        </w:numPr>
        <w:ind w:right="302"/>
      </w:pPr>
      <w:r>
        <w:t xml:space="preserve">Кузбасс в цифрах. 2016. Малое и среднее предпринимательство / </w:t>
      </w:r>
    </w:p>
    <w:p w:rsidR="002C0F56" w:rsidRDefault="00E67C6E">
      <w:pPr>
        <w:spacing w:after="0"/>
        <w:ind w:left="994" w:right="730" w:firstLine="0"/>
      </w:pPr>
      <w:r>
        <w:t>Федеральная служба государственной статистики. [Элек</w:t>
      </w:r>
      <w:r>
        <w:t xml:space="preserve">тронный ресурс] – Режим доступа: </w:t>
      </w:r>
      <w:hyperlink r:id="rId1379">
        <w:r>
          <w:t>http</w:t>
        </w:r>
      </w:hyperlink>
      <w:hyperlink r:id="rId1380">
        <w:r>
          <w:t>://</w:t>
        </w:r>
      </w:hyperlink>
      <w:hyperlink r:id="rId1381">
        <w:r>
          <w:t>kemerovostat</w:t>
        </w:r>
      </w:hyperlink>
      <w:hyperlink r:id="rId1382">
        <w:r>
          <w:t>.</w:t>
        </w:r>
      </w:hyperlink>
      <w:hyperlink r:id="rId1383">
        <w:r>
          <w:t>gks</w:t>
        </w:r>
      </w:hyperlink>
      <w:hyperlink r:id="rId1384">
        <w:r>
          <w:t>.</w:t>
        </w:r>
      </w:hyperlink>
      <w:hyperlink r:id="rId1385">
        <w:r>
          <w:t>ru</w:t>
        </w:r>
      </w:hyperlink>
      <w:hyperlink r:id="rId1386">
        <w:r>
          <w:t>/</w:t>
        </w:r>
      </w:hyperlink>
      <w:hyperlink r:id="rId1387">
        <w:r>
          <w:t>wps</w:t>
        </w:r>
      </w:hyperlink>
      <w:hyperlink r:id="rId1388">
        <w:r>
          <w:t>/</w:t>
        </w:r>
      </w:hyperlink>
      <w:hyperlink r:id="rId1389">
        <w:r>
          <w:t>wcm</w:t>
        </w:r>
      </w:hyperlink>
      <w:hyperlink r:id="rId1390">
        <w:r>
          <w:t>/</w:t>
        </w:r>
      </w:hyperlink>
      <w:hyperlink r:id="rId1391">
        <w:r>
          <w:t>connect</w:t>
        </w:r>
      </w:hyperlink>
      <w:hyperlink r:id="rId1392">
        <w:r>
          <w:t>/</w:t>
        </w:r>
      </w:hyperlink>
      <w:hyperlink r:id="rId1393">
        <w:r>
          <w:t>rosstat</w:t>
        </w:r>
      </w:hyperlink>
      <w:hyperlink r:id="rId1394">
        <w:r>
          <w:t>_</w:t>
        </w:r>
      </w:hyperlink>
      <w:hyperlink r:id="rId1395">
        <w:r>
          <w:t>ts</w:t>
        </w:r>
      </w:hyperlink>
      <w:hyperlink r:id="rId1396">
        <w:r>
          <w:t>/</w:t>
        </w:r>
      </w:hyperlink>
      <w:hyperlink r:id="rId1397">
        <w:r>
          <w:t xml:space="preserve"> </w:t>
        </w:r>
      </w:hyperlink>
      <w:r>
        <w:t>kemer</w:t>
      </w:r>
      <w:r>
        <w:t xml:space="preserve">ovostat/ru/statistics/enterprises/small_and_medium_enterprises/ (дата обращения 26.02.2017).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11"/>
        <w:ind w:left="6001" w:right="307"/>
        <w:jc w:val="right"/>
      </w:pPr>
      <w:r>
        <w:t xml:space="preserve">Чичкан А.П.  </w:t>
      </w:r>
      <w:r>
        <w:rPr>
          <w:b w:val="0"/>
        </w:rPr>
        <w:t>Научный руководитель: Шаврук Е.Ю.</w:t>
      </w:r>
      <w:r>
        <w:rPr>
          <w:rFonts w:ascii="Calibri" w:eastAsia="Calibri" w:hAnsi="Calibri" w:cs="Calibri"/>
          <w:color w:val="345A8A"/>
        </w:rPr>
        <w:t xml:space="preserve"> </w:t>
      </w:r>
    </w:p>
    <w:p w:rsidR="002C0F56" w:rsidRDefault="00E67C6E">
      <w:pPr>
        <w:spacing w:after="0" w:line="267" w:lineRule="auto"/>
        <w:ind w:left="905" w:right="308" w:hanging="10"/>
        <w:jc w:val="right"/>
      </w:pPr>
      <w:r>
        <w:t xml:space="preserve"> </w:t>
      </w:r>
      <w:r>
        <w:rPr>
          <w:i/>
        </w:rPr>
        <w:t xml:space="preserve">Белорусский государственный экономический университет </w:t>
      </w:r>
    </w:p>
    <w:p w:rsidR="002C0F56" w:rsidRDefault="00E67C6E">
      <w:pPr>
        <w:spacing w:after="32" w:line="259" w:lineRule="auto"/>
        <w:ind w:left="1558" w:firstLine="0"/>
        <w:jc w:val="left"/>
      </w:pPr>
      <w:r>
        <w:rPr>
          <w:i/>
        </w:rPr>
        <w:t xml:space="preserve"> </w:t>
      </w:r>
    </w:p>
    <w:p w:rsidR="002C0F56" w:rsidRDefault="00E67C6E">
      <w:pPr>
        <w:pStyle w:val="1"/>
        <w:ind w:left="700" w:right="5"/>
      </w:pPr>
      <w:r>
        <w:t xml:space="preserve">СПАМ В ЭЛЕКТРОННОЙ ПОЧТЕ </w:t>
      </w:r>
    </w:p>
    <w:p w:rsidR="002C0F56" w:rsidRDefault="00E67C6E">
      <w:pPr>
        <w:spacing w:after="25" w:line="259" w:lineRule="auto"/>
        <w:ind w:left="1558" w:firstLine="0"/>
        <w:jc w:val="left"/>
      </w:pPr>
      <w:r>
        <w:rPr>
          <w:b/>
        </w:rPr>
        <w:t xml:space="preserve"> </w:t>
      </w:r>
    </w:p>
    <w:p w:rsidR="002C0F56" w:rsidRDefault="00E67C6E">
      <w:pPr>
        <w:ind w:left="994" w:right="302"/>
      </w:pPr>
      <w:r>
        <w:t xml:space="preserve">Спам (от англ. spam) — </w:t>
      </w:r>
      <w:r>
        <w:t>это массовая автоматическая рассылка рекламных электронных сообщений, со скрытым или фальсифицированным обратным адресом. Спам распространяется по компьютерным сетям с использованием электронной почты и систем интерактивного общения, а также по мобильным с</w:t>
      </w:r>
      <w:r>
        <w:t xml:space="preserve">етям с использованием службы SMS-сообщений.  </w:t>
      </w:r>
    </w:p>
    <w:p w:rsidR="002C0F56" w:rsidRDefault="00E67C6E">
      <w:pPr>
        <w:spacing w:after="12"/>
        <w:ind w:left="1558" w:right="302" w:firstLine="0"/>
      </w:pPr>
      <w:r>
        <w:t xml:space="preserve">Основные способы распространения спама:  </w:t>
      </w:r>
    </w:p>
    <w:p w:rsidR="002C0F56" w:rsidRDefault="00E67C6E">
      <w:pPr>
        <w:ind w:left="994" w:right="302"/>
      </w:pPr>
      <w:r>
        <w:t>Заполнение гостевых книг рекламой. Некоторые ресурсы могут содержать гостевые книги, для того чтобы посетители могли оставлять в них свои сообщения (пожелания, замечани</w:t>
      </w:r>
      <w:r>
        <w:t xml:space="preserve">я, предложения и пр.). Однако спамеры и здесь успевают оставить свой «след». Содержание сайтов их совершенно не </w:t>
      </w:r>
      <w:r>
        <w:lastRenderedPageBreak/>
        <w:t xml:space="preserve">интересует, они просто находят ссылки на гостевые книги и размещают там свою рекламу. </w:t>
      </w:r>
    </w:p>
    <w:p w:rsidR="002C0F56" w:rsidRDefault="00E67C6E">
      <w:pPr>
        <w:spacing w:after="0"/>
        <w:ind w:left="994" w:right="302"/>
      </w:pPr>
      <w:r>
        <w:t>"Поисковый спам". Иногда, когда вы ищете что-то с помощью</w:t>
      </w:r>
      <w:r>
        <w:t xml:space="preserve"> поисковой системы (особенно это касается запросов, состоящих из одного слова), вы получаете в результате поиска страницы сайтов, не имеющие ничего общего с вашим запросом. Причина этого может быть в том, что владельцы этих сайтов пытаются "обмануть" поиск</w:t>
      </w:r>
      <w:r>
        <w:t xml:space="preserve">овую систему так, чтобы их сайт появлялся в выдаче по всем наиболее популярным запросам. Они заполняют страницы своего ресурса невидимым текстом, который содержит наиболее популярные слова (бесплатно, скачать и пр.). Невидимый текст имеет тот же цвет, что </w:t>
      </w:r>
      <w:r>
        <w:t xml:space="preserve">и основной фон сайта, поэтому посетитель сайта не может его увидеть. Пользователь набирает в поисковой системе фразу «скачать бесплатно музыку», попадает на сайт сомнительного содержания и, естественно, ничего желаемого не находит. </w:t>
      </w:r>
    </w:p>
    <w:p w:rsidR="002C0F56" w:rsidRDefault="00E67C6E">
      <w:pPr>
        <w:ind w:left="994" w:right="302"/>
      </w:pPr>
      <w:r>
        <w:t>Однако наиболее распрос</w:t>
      </w:r>
      <w:r>
        <w:t xml:space="preserve">траненным видом спама остается рассылка информации рекламного характера по электронной почте. </w:t>
      </w:r>
    </w:p>
    <w:p w:rsidR="002C0F56" w:rsidRDefault="00E67C6E">
      <w:pPr>
        <w:spacing w:after="10"/>
        <w:ind w:left="994" w:right="302"/>
      </w:pPr>
      <w:r>
        <w:t>Спам приходит потому, что электронный адрес получателя стал известен спамерам (рассыльщикам спама). Чаще всего владелец почтового ящика сам указывает электронный</w:t>
      </w:r>
      <w:r>
        <w:t xml:space="preserve"> почтовый адрес при регистрации на каком-либо сайте и его обнаруживает специальный робот, «бродящий» по сайтам наподобие индексирующего робота поисковых систем. </w:t>
      </w:r>
    </w:p>
    <w:p w:rsidR="002C0F56" w:rsidRDefault="00E67C6E">
      <w:pPr>
        <w:spacing w:after="9"/>
        <w:ind w:left="994" w:right="302"/>
      </w:pPr>
      <w:r>
        <w:t xml:space="preserve">Спамеры стремятся получить подтверждение, что почтовый адрес действительно используется (в этом случае поток спама может увеличиться многократно).  </w:t>
      </w:r>
    </w:p>
    <w:p w:rsidR="002C0F56" w:rsidRDefault="00E67C6E">
      <w:pPr>
        <w:ind w:left="994" w:right="302"/>
      </w:pPr>
      <w:r>
        <w:t xml:space="preserve">Чтобы убедиться, что спамовое сообщение получено и прочитано, спамеры применяют различные уловки:  </w:t>
      </w:r>
    </w:p>
    <w:p w:rsidR="002C0F56" w:rsidRDefault="00E67C6E">
      <w:pPr>
        <w:ind w:left="1558" w:right="302" w:firstLine="0"/>
      </w:pPr>
      <w:r>
        <w:t xml:space="preserve">требуется подтверждение о получении сообщения; </w:t>
      </w:r>
    </w:p>
    <w:p w:rsidR="002C0F56" w:rsidRDefault="00E67C6E">
      <w:pPr>
        <w:spacing w:after="11" w:line="270" w:lineRule="auto"/>
        <w:ind w:left="10" w:right="309" w:hanging="10"/>
        <w:jc w:val="right"/>
      </w:pPr>
      <w:r>
        <w:t xml:space="preserve">предлагается активизировать ссылку на Web-страницу, на которой </w:t>
      </w:r>
    </w:p>
    <w:p w:rsidR="002C0F56" w:rsidRDefault="00E67C6E">
      <w:pPr>
        <w:ind w:left="1558" w:right="302" w:hanging="564"/>
      </w:pPr>
      <w:r>
        <w:t xml:space="preserve">предлагается получить дополнительную информацию; предлагается отменить подписку на эту рассылку, послав письмо по </w:t>
      </w:r>
    </w:p>
    <w:p w:rsidR="002C0F56" w:rsidRDefault="00E67C6E">
      <w:pPr>
        <w:spacing w:after="12"/>
        <w:ind w:left="994" w:right="302" w:firstLine="0"/>
      </w:pPr>
      <w:r>
        <w:t xml:space="preserve">указанному адресу. </w:t>
      </w:r>
    </w:p>
    <w:p w:rsidR="002C0F56" w:rsidRDefault="00E67C6E">
      <w:pPr>
        <w:spacing w:after="11" w:line="270" w:lineRule="auto"/>
        <w:ind w:left="10" w:right="313" w:hanging="10"/>
        <w:jc w:val="right"/>
      </w:pPr>
      <w:r>
        <w:t>письма, с</w:t>
      </w:r>
      <w:r>
        <w:t xml:space="preserve">одержащие изображения, которые загружаются с сайтов, </w:t>
      </w:r>
    </w:p>
    <w:p w:rsidR="002C0F56" w:rsidRDefault="00E67C6E">
      <w:pPr>
        <w:ind w:left="994" w:right="302" w:firstLine="0"/>
      </w:pPr>
      <w:r>
        <w:t xml:space="preserve">контролируемых спамерами </w:t>
      </w:r>
    </w:p>
    <w:p w:rsidR="002C0F56" w:rsidRDefault="00E67C6E">
      <w:pPr>
        <w:spacing w:after="12"/>
        <w:ind w:left="1558" w:right="302" w:firstLine="0"/>
      </w:pPr>
      <w:r>
        <w:t xml:space="preserve">Наиболее распространенные виды спама: </w:t>
      </w:r>
    </w:p>
    <w:p w:rsidR="002C0F56" w:rsidRDefault="00E67C6E">
      <w:pPr>
        <w:numPr>
          <w:ilvl w:val="0"/>
          <w:numId w:val="270"/>
        </w:numPr>
        <w:spacing w:after="10"/>
        <w:ind w:right="302"/>
      </w:pPr>
      <w:r>
        <w:t>Реклама. Некоторые компании, занимающиеся легальным бизнесом, рекламируют свои товары или услуги с помощью спама. Привлекательность такой</w:t>
      </w:r>
      <w:r>
        <w:t xml:space="preserve"> рекламы — низкая стоимость и (предположительно) большой охват потенциальных клиентов. Впрочем, такая реклама может иметь и обратный эффект, вызывая отторжение у получателей. </w:t>
      </w:r>
    </w:p>
    <w:p w:rsidR="002C0F56" w:rsidRDefault="00E67C6E">
      <w:pPr>
        <w:numPr>
          <w:ilvl w:val="0"/>
          <w:numId w:val="270"/>
        </w:numPr>
        <w:spacing w:after="2"/>
        <w:ind w:right="302"/>
      </w:pPr>
      <w:r>
        <w:t>Реклама незаконной продукции. С помощью спама рекламируют продукцию, о которой н</w:t>
      </w:r>
      <w:r>
        <w:t xml:space="preserve">ельзя сообщить другими способами — например, </w:t>
      </w:r>
      <w:r>
        <w:lastRenderedPageBreak/>
        <w:t>контрафактные товары (подделки, конфискат), лекарственные средства с ограничениями по обороту, незаконно полученную закрытую информацию (базы данных), контрафактное программное обеспечение. Сюда же относится и р</w:t>
      </w:r>
      <w:r>
        <w:t xml:space="preserve">еклама самих услуг рассылки спама (Законодательно в Беларуси спам запрещен, но борьба со спамерами законными методами крайне затруднена). </w:t>
      </w:r>
    </w:p>
    <w:p w:rsidR="002C0F56" w:rsidRDefault="00E67C6E">
      <w:pPr>
        <w:numPr>
          <w:ilvl w:val="0"/>
          <w:numId w:val="270"/>
        </w:numPr>
        <w:ind w:right="302"/>
      </w:pPr>
      <w:r>
        <w:t>Антиреклама. Запрещенная законодательством о рекламе информация — например, порочащая конкурентов и их продукцию, — т</w:t>
      </w:r>
      <w:r>
        <w:t xml:space="preserve">акже может распространяться с помощью спама. </w:t>
      </w:r>
    </w:p>
    <w:p w:rsidR="002C0F56" w:rsidRDefault="00E67C6E">
      <w:pPr>
        <w:numPr>
          <w:ilvl w:val="0"/>
          <w:numId w:val="270"/>
        </w:numPr>
        <w:ind w:right="302"/>
      </w:pPr>
      <w:r>
        <w:t>«Нигерийские письма». Иногда спам используется мошенниками, чтобы выманить деньги у получателя письма. Наиболее распространенный способ получил название «нигерийские письма», потому что большое количество таких</w:t>
      </w:r>
      <w:r>
        <w:t xml:space="preserve"> писем приходило из Нигерии. Такое письмо содержит сообщение о том, что получатель письма может получить каким-либо образом большую сумму денег, а отправитель может ему в этом помочь. Затем отправитель письма просит перевести ему немного денег под предлого</w:t>
      </w:r>
      <w:r>
        <w:t xml:space="preserve">м, например, оформления документов или открытия счета. Выманивание этой суммы и является целью мошенников. </w:t>
      </w:r>
    </w:p>
    <w:p w:rsidR="002C0F56" w:rsidRDefault="00E67C6E">
      <w:pPr>
        <w:numPr>
          <w:ilvl w:val="0"/>
          <w:numId w:val="270"/>
        </w:numPr>
        <w:spacing w:after="1"/>
        <w:ind w:right="302"/>
      </w:pPr>
      <w:r>
        <w:t xml:space="preserve">Фишинг. «Фишинг» (англ. phishing от password — пароль и fishing — рыбалка) — </w:t>
      </w:r>
      <w:r>
        <w:t>ещё один способ мошенничества. Он представляет собой попытку спамеров выманить у получателя письма номера его кредитных карточек или пароли доступа к системам онлайновых платежей. Такое письмо обычно маскируется под официальное сообщение от администрации б</w:t>
      </w:r>
      <w:r>
        <w:t>анка. В нём говорится, что получатель должен подтвердить сведения о себе, иначе его счёт будет заблокирован, и приводится адрес сайта (принадлежащего спамерам) с формой, которую надо заполнить. Среди данных, которые требуется сообщить, присутствуют и те, к</w:t>
      </w:r>
      <w:r>
        <w:t xml:space="preserve">оторые нужны мошенникам. Для того чтобы жертва не догадалась об обмане, оформление этого сайта также имитирует оформление официального сайта банка. </w:t>
      </w:r>
    </w:p>
    <w:p w:rsidR="002C0F56" w:rsidRDefault="00E67C6E">
      <w:pPr>
        <w:spacing w:after="0"/>
        <w:ind w:left="994" w:right="302"/>
      </w:pPr>
      <w:r>
        <w:t>В силу массового характера спамовые почтовые рассылки затрудняют работу информационных систем и ресурсов, с</w:t>
      </w:r>
      <w:r>
        <w:t xml:space="preserve">оздавая для них бесполезную нагрузку. Пользователи сети вынуждены ежедневно тратить время на обработку бесполезных рекламных сообщений, а провайдерам спам приносит неудобства вследствие повышения нагрузки на почтовые серверы и каналы связи.  </w:t>
      </w:r>
    </w:p>
    <w:p w:rsidR="002C0F56" w:rsidRDefault="00E67C6E">
      <w:pPr>
        <w:ind w:left="994" w:right="302"/>
      </w:pPr>
      <w:r>
        <w:t>Для борьбы со</w:t>
      </w:r>
      <w:r>
        <w:t xml:space="preserve"> спамом используют различные методы. Рассмотрим некоторые из них.  </w:t>
      </w:r>
    </w:p>
    <w:p w:rsidR="002C0F56" w:rsidRDefault="00E67C6E">
      <w:pPr>
        <w:numPr>
          <w:ilvl w:val="0"/>
          <w:numId w:val="271"/>
        </w:numPr>
        <w:spacing w:after="12"/>
        <w:ind w:right="302" w:hanging="351"/>
      </w:pPr>
      <w:r>
        <w:t xml:space="preserve">Фильтрационные методы. </w:t>
      </w:r>
    </w:p>
    <w:p w:rsidR="002C0F56" w:rsidRDefault="00E67C6E">
      <w:pPr>
        <w:spacing w:after="3"/>
        <w:ind w:left="994" w:right="302"/>
      </w:pPr>
      <w:r>
        <w:t>Бороться со спамом можно с помощью специального программного обеспечения, служащего для автоматического определения спама (фильтрации). Оно может быть предназначено</w:t>
      </w:r>
      <w:r>
        <w:t xml:space="preserve"> для конечных пользователей или для использования на серверах. Это ПО использует два основных подхода. </w:t>
      </w:r>
    </w:p>
    <w:p w:rsidR="002C0F56" w:rsidRDefault="00E67C6E">
      <w:pPr>
        <w:spacing w:after="0"/>
        <w:ind w:left="994" w:right="302"/>
      </w:pPr>
      <w:r>
        <w:lastRenderedPageBreak/>
        <w:t>Так называемая автоматическая фильтрация анализирует содержание письма и делает вывод, спам это или нет. Если письмо классифицировано как спам, оно може</w:t>
      </w:r>
      <w:r>
        <w:t>т быть помечено, перемещено в другую папку или даже удалено. Также ПО (при работе на сервере), применяя различные методы, может опознать отправителя как спамера, не заглядывая в текст письма.  Однако для затруднения автоматической фильтрации спамовые сообщ</w:t>
      </w:r>
      <w:r>
        <w:t xml:space="preserve">ения часто искажаются, вместо букв используются похожие по начертанию цифры, русские буквы заменяются на латинские, а в случайных местах добавляются пробелы </w:t>
      </w:r>
    </w:p>
    <w:p w:rsidR="002C0F56" w:rsidRDefault="00E67C6E">
      <w:pPr>
        <w:ind w:left="994" w:right="302"/>
      </w:pPr>
      <w:r>
        <w:t>Неавтоматическая фильтрация является более трудоемкой и сложно подстраиваемой. Но в конечном счете</w:t>
      </w:r>
      <w:r>
        <w:t>, если грамотно подойти к вопросу, она может стать очень результативной. При неавтоматической фильтрации спамфильтры задаются пользователем и, как правило, состоят из стоп-слов или выражений. Следовательно, пользователь точно будет знать, почему отсеяны пи</w:t>
      </w:r>
      <w:r>
        <w:t xml:space="preserve">сьма и какие из них были отправлены в папку «Спам». Важно помнить, что для эффективности данной антиспам-проверки нужно постоянно следить за последними тенденциями в поведении спамеров и дополнять фильтр новыми установками. </w:t>
      </w:r>
    </w:p>
    <w:p w:rsidR="002C0F56" w:rsidRDefault="00E67C6E">
      <w:pPr>
        <w:numPr>
          <w:ilvl w:val="0"/>
          <w:numId w:val="271"/>
        </w:numPr>
        <w:ind w:right="302" w:hanging="351"/>
      </w:pPr>
      <w:r>
        <w:t xml:space="preserve">Черные списки.  </w:t>
      </w:r>
    </w:p>
    <w:p w:rsidR="002C0F56" w:rsidRDefault="00E67C6E">
      <w:pPr>
        <w:ind w:left="994" w:right="302"/>
      </w:pPr>
      <w:r>
        <w:t>В эти списки з</w:t>
      </w:r>
      <w:r>
        <w:t>аносятся IP-адреса компьютеров, о которых известно, что с них ведется рассылка спама. В настоящее время этот метод не очень эффективен. Спамеры находят новые компьютеры для своих целей быстрее, чем их успевают заносить в черные списки. Кроме того, тысячи з</w:t>
      </w:r>
      <w:r>
        <w:t xml:space="preserve">аконопослушных пользователей могут на неопределённое время быть лишены возможности отправлять почту серверам, использующим такой чёрный список. </w:t>
      </w:r>
    </w:p>
    <w:p w:rsidR="002C0F56" w:rsidRDefault="00E67C6E">
      <w:pPr>
        <w:numPr>
          <w:ilvl w:val="0"/>
          <w:numId w:val="271"/>
        </w:numPr>
        <w:ind w:right="302" w:hanging="351"/>
      </w:pPr>
      <w:r>
        <w:t xml:space="preserve">Серые списки. </w:t>
      </w:r>
    </w:p>
    <w:p w:rsidR="002C0F56" w:rsidRDefault="00E67C6E">
      <w:pPr>
        <w:spacing w:after="0"/>
        <w:ind w:left="994" w:right="302"/>
      </w:pPr>
      <w:r>
        <w:t>Серые списки - простой способ автоматической блокировки спама, основанный на том, что «поведение</w:t>
      </w:r>
      <w:r>
        <w:t>» программного обеспечения, предназначенного для рассылки спама, отличается от поведения обычных серверов электронной почты. Если почтовый сервер получателя отказывается принять письмо и сообщает о «временной ошибке», сервер отправителя обязан позже повтор</w:t>
      </w:r>
      <w:r>
        <w:t xml:space="preserve">ить попытку. Спамерское программное обеспечение в таких случаях, обычно, не пытается этого делать. </w:t>
      </w:r>
    </w:p>
    <w:p w:rsidR="002C0F56" w:rsidRDefault="00E67C6E">
      <w:pPr>
        <w:ind w:left="994" w:right="302"/>
      </w:pPr>
      <w:r>
        <w:t>Этот метод в настоящее время позволяет отсеять до 90 % спама, практически без риска потерять важные письма. Однако его тоже нельзя назвать безупречным (ошиб</w:t>
      </w:r>
      <w:r>
        <w:t xml:space="preserve">очное отсеивание писем, задержка доставки,). </w:t>
      </w:r>
    </w:p>
    <w:p w:rsidR="002C0F56" w:rsidRDefault="00E67C6E">
      <w:pPr>
        <w:numPr>
          <w:ilvl w:val="0"/>
          <w:numId w:val="271"/>
        </w:numPr>
        <w:spacing w:after="12"/>
        <w:ind w:right="302" w:hanging="351"/>
      </w:pPr>
      <w:r>
        <w:t xml:space="preserve">Статистические методы фильтрации спама.  </w:t>
      </w:r>
    </w:p>
    <w:p w:rsidR="002C0F56" w:rsidRDefault="00E67C6E">
      <w:pPr>
        <w:ind w:left="994" w:right="302"/>
      </w:pPr>
      <w:r>
        <w:t>Эти методы используют статистический анализ содержания письма для принятия решения, является ли оно спамом. Наибольшего успеха удалось достичь с помощью алгоритмов, осн</w:t>
      </w:r>
      <w:r>
        <w:t xml:space="preserve">ованных на теореме Байеса. Для работы этих методов требуется «обучение» фильтров, т. е. нужно использовать </w:t>
      </w:r>
      <w:r>
        <w:lastRenderedPageBreak/>
        <w:t>рассортированные вручную письма для выявления статистических особенностей нормальных писем и спама. После обучения на достаточно большой выборке, уда</w:t>
      </w:r>
      <w:r>
        <w:t xml:space="preserve">ется отсечь до 95-97% спама. </w:t>
      </w:r>
    </w:p>
    <w:p w:rsidR="002C0F56" w:rsidRDefault="00E67C6E">
      <w:pPr>
        <w:spacing w:after="0"/>
        <w:ind w:left="994" w:right="302"/>
      </w:pPr>
      <w:r>
        <w:t>Очень важно не отвечать на спам. Например, в сообщении будет сказано, что спам перестанет вам присылаться, если вы пройдёте по определенной ссылке и откажетесь от рассылки. Если вы так поступите, то спамер поймёт, что вы получ</w:t>
      </w:r>
      <w:r>
        <w:t xml:space="preserve">или письмо и ваше электронный ящик не заброшен, и продолжит вам слать письма с рекламой с удвоенной силой. Также не стоит поддаваться на содержащееся в спамерском письме предложение "нажмите на эту ссылку, чтобы перестать получать сообщения". </w:t>
      </w:r>
    </w:p>
    <w:p w:rsidR="002C0F56" w:rsidRDefault="00E67C6E">
      <w:pPr>
        <w:spacing w:after="3"/>
        <w:ind w:left="994" w:right="302"/>
      </w:pPr>
      <w:r>
        <w:t>Всего за нес</w:t>
      </w:r>
      <w:r>
        <w:t xml:space="preserve">колько лет спам превратился из легкого раздражающего фактора в одну из самых серьезных угроз информационной безопасности. Непрошеные почтовые сообщения переполняют индивидуальные почтовые ящики и парализуют работу корпоративных серверов. </w:t>
      </w:r>
    </w:p>
    <w:p w:rsidR="002C0F56" w:rsidRDefault="00E67C6E">
      <w:pPr>
        <w:spacing w:after="10"/>
        <w:ind w:left="994" w:right="302"/>
      </w:pPr>
      <w:r>
        <w:t>За последние годы</w:t>
      </w:r>
      <w:r>
        <w:t xml:space="preserve"> было изобретено немало способов борьбы со спамом. Но, к сожалению, спамеры отслеживают действия фильтров и изобретают всё новые приемы для их обхода. </w:t>
      </w:r>
    </w:p>
    <w:p w:rsidR="002C0F56" w:rsidRDefault="00E67C6E">
      <w:pPr>
        <w:spacing w:after="27"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72"/>
        </w:numPr>
        <w:spacing w:after="11" w:line="270" w:lineRule="auto"/>
        <w:ind w:right="302"/>
      </w:pPr>
      <w:r>
        <w:t xml:space="preserve">Борьба с вирусами [Электронный ресурс] / - Режим доступа: </w:t>
      </w:r>
    </w:p>
    <w:p w:rsidR="002C0F56" w:rsidRDefault="00E67C6E">
      <w:pPr>
        <w:ind w:left="994" w:right="302" w:firstLine="0"/>
      </w:pPr>
      <w:r>
        <w:t>https://securelist.ru</w:t>
      </w:r>
      <w:r>
        <w:t xml:space="preserve"> - Дата доступа: 18.04.2017 </w:t>
      </w:r>
    </w:p>
    <w:p w:rsidR="002C0F56" w:rsidRDefault="00E67C6E">
      <w:pPr>
        <w:numPr>
          <w:ilvl w:val="0"/>
          <w:numId w:val="272"/>
        </w:numPr>
        <w:spacing w:after="12"/>
        <w:ind w:right="302"/>
      </w:pPr>
      <w:r>
        <w:t xml:space="preserve">Единая энциклопедия хостинга [Электронный ресурс] / - Режим </w:t>
      </w:r>
    </w:p>
    <w:p w:rsidR="002C0F56" w:rsidRDefault="00E67C6E">
      <w:pPr>
        <w:ind w:left="994" w:right="302" w:firstLine="0"/>
      </w:pPr>
      <w:r>
        <w:t xml:space="preserve">доступа: http://firstwiki.ru - Дата доступа: 19.04.2017 </w:t>
      </w:r>
    </w:p>
    <w:p w:rsidR="002C0F56" w:rsidRDefault="00E67C6E">
      <w:pPr>
        <w:numPr>
          <w:ilvl w:val="0"/>
          <w:numId w:val="272"/>
        </w:numPr>
        <w:ind w:right="302"/>
      </w:pPr>
      <w:r>
        <w:t>Комплексный сайт-маркетинг [Электронный ресурс] / - Режим доступа: http://www.kaesem.ru - Дата доступа: 19.04</w:t>
      </w:r>
      <w:r>
        <w:t xml:space="preserve">.2017 </w:t>
      </w:r>
    </w:p>
    <w:p w:rsidR="002C0F56" w:rsidRDefault="00E67C6E">
      <w:pPr>
        <w:numPr>
          <w:ilvl w:val="0"/>
          <w:numId w:val="272"/>
        </w:numPr>
        <w:spacing w:after="6"/>
        <w:ind w:right="302"/>
      </w:pPr>
      <w:r>
        <w:t xml:space="preserve">Студенческая библиотека онлайн [Электронный ресурс] / - Режим доступа: http://studbooks.net – Дата доступа: 18.04.2017 </w:t>
      </w:r>
    </w:p>
    <w:p w:rsidR="002C0F56" w:rsidRDefault="00E67C6E">
      <w:pPr>
        <w:spacing w:after="0" w:line="259" w:lineRule="auto"/>
        <w:ind w:left="1558" w:firstLine="0"/>
        <w:jc w:val="left"/>
      </w:pPr>
      <w:r>
        <w:rPr>
          <w:b/>
        </w:rPr>
        <w:t xml:space="preserve"> </w:t>
      </w:r>
    </w:p>
    <w:p w:rsidR="002C0F56" w:rsidRDefault="00E67C6E">
      <w:pPr>
        <w:spacing w:after="30" w:line="259" w:lineRule="auto"/>
        <w:ind w:left="1558" w:firstLine="0"/>
        <w:jc w:val="left"/>
      </w:pPr>
      <w:r>
        <w:rPr>
          <w:b/>
        </w:rPr>
        <w:t xml:space="preserve"> </w:t>
      </w:r>
    </w:p>
    <w:p w:rsidR="002C0F56" w:rsidRDefault="00E67C6E">
      <w:pPr>
        <w:spacing w:after="25" w:line="259" w:lineRule="auto"/>
        <w:ind w:left="10" w:right="306" w:hanging="10"/>
        <w:jc w:val="right"/>
      </w:pPr>
      <w:r>
        <w:rPr>
          <w:b/>
        </w:rPr>
        <w:t xml:space="preserve">Чукова Е.О. </w:t>
      </w:r>
    </w:p>
    <w:p w:rsidR="002C0F56" w:rsidRDefault="00E67C6E">
      <w:pPr>
        <w:spacing w:after="11" w:line="270" w:lineRule="auto"/>
        <w:ind w:left="10" w:right="308" w:hanging="10"/>
        <w:jc w:val="right"/>
      </w:pPr>
      <w:r>
        <w:t xml:space="preserve">Научный руководитель: Капацинская Е.Н., к.э.н. доц.  </w:t>
      </w:r>
    </w:p>
    <w:p w:rsidR="002C0F56" w:rsidRDefault="00E67C6E">
      <w:pPr>
        <w:spacing w:after="0" w:line="267" w:lineRule="auto"/>
        <w:ind w:left="905" w:right="425" w:hanging="10"/>
        <w:jc w:val="right"/>
      </w:pPr>
      <w:r>
        <w:rPr>
          <w:i/>
        </w:rPr>
        <w:t>Рязанский государственный радиотехнический университет (РГРТУ)</w:t>
      </w:r>
      <w:r>
        <w:t xml:space="preserve"> </w:t>
      </w:r>
    </w:p>
    <w:p w:rsidR="002C0F56" w:rsidRDefault="00E67C6E">
      <w:pPr>
        <w:spacing w:after="30" w:line="259" w:lineRule="auto"/>
        <w:ind w:left="1558" w:firstLine="0"/>
        <w:jc w:val="left"/>
      </w:pPr>
      <w:r>
        <w:t xml:space="preserve"> </w:t>
      </w:r>
    </w:p>
    <w:p w:rsidR="002C0F56" w:rsidRDefault="00E67C6E">
      <w:pPr>
        <w:pStyle w:val="1"/>
        <w:spacing w:after="15" w:line="271" w:lineRule="auto"/>
        <w:ind w:left="1232" w:right="0"/>
        <w:jc w:val="left"/>
      </w:pPr>
      <w:r>
        <w:t xml:space="preserve">ТРУДОВАЯ МОТИВАЦИИ И ОСОБЕННОСТИ СТИМУЛИРОВАНИЯ </w:t>
      </w:r>
    </w:p>
    <w:p w:rsidR="002C0F56" w:rsidRDefault="00E67C6E">
      <w:pPr>
        <w:pStyle w:val="1"/>
        <w:ind w:left="700" w:right="5"/>
      </w:pPr>
      <w:r>
        <w:t xml:space="preserve">ТРУДА ПЕРСОНАЛА </w:t>
      </w:r>
    </w:p>
    <w:p w:rsidR="002C0F56" w:rsidRDefault="00E67C6E">
      <w:pPr>
        <w:spacing w:after="25" w:line="259" w:lineRule="auto"/>
        <w:ind w:left="1558" w:firstLine="0"/>
        <w:jc w:val="left"/>
      </w:pPr>
      <w:r>
        <w:t xml:space="preserve"> </w:t>
      </w:r>
    </w:p>
    <w:p w:rsidR="002C0F56" w:rsidRDefault="00E67C6E">
      <w:pPr>
        <w:ind w:left="994" w:right="425"/>
      </w:pPr>
      <w:r>
        <w:t xml:space="preserve"> </w:t>
      </w:r>
      <w:r>
        <w:t xml:space="preserve">В России на предприятиях остро стоит вопрос мотивации сотрудников, так как это напрямую связано с важнейшей задачей по повышению производительности труда. На данный момент мы существенно проигрываем </w:t>
      </w:r>
      <w:r>
        <w:lastRenderedPageBreak/>
        <w:t xml:space="preserve">развитым странам, таким как США, Германия или Япония, по </w:t>
      </w:r>
      <w:r>
        <w:t xml:space="preserve">данному показателю. А так как Россия является частью мирового рынка, то производительность труда является одним из компонентов конкурентоспособности российских предприятия.  </w:t>
      </w:r>
    </w:p>
    <w:p w:rsidR="002C0F56" w:rsidRDefault="00E67C6E">
      <w:pPr>
        <w:ind w:left="994" w:right="426"/>
      </w:pPr>
      <w:r>
        <w:t xml:space="preserve"> Для повышения производительности труда и повышения удовлетворенности персонала в</w:t>
      </w:r>
      <w:r>
        <w:t xml:space="preserve"> настоящее время большое количество предприятий активно используют системы материального стимулирования. И это вполне объяснимо, так как именно материальное стимулирования является одним из самых доступных инструментов для работодателя, который позволяет д</w:t>
      </w:r>
      <w:r>
        <w:t xml:space="preserve">остаточно легко и наглядно стимулировать сотрудника, а также наградить его за достижения. В основе выбора форм и методов стимулирования труда лежит трудовая мотивация работников.  </w:t>
      </w:r>
    </w:p>
    <w:p w:rsidR="002C0F56" w:rsidRDefault="00E67C6E">
      <w:pPr>
        <w:ind w:left="994" w:right="302"/>
      </w:pPr>
      <w:r>
        <w:t xml:space="preserve"> Большой вклад в изучение трудовой мотивации внес В.И Герчиков, который выд</w:t>
      </w:r>
      <w:r>
        <w:t xml:space="preserve">елил пять типов внутренней мотивации персонала [1]: </w:t>
      </w:r>
    </w:p>
    <w:p w:rsidR="002C0F56" w:rsidRDefault="00E67C6E">
      <w:pPr>
        <w:numPr>
          <w:ilvl w:val="0"/>
          <w:numId w:val="273"/>
        </w:numPr>
        <w:ind w:right="302"/>
      </w:pPr>
      <w:r>
        <w:t xml:space="preserve">«коммерческий» или «инструментальный» (люди ориентируются исключительно на заработок, не интересуясь содержанием труда); </w:t>
      </w:r>
    </w:p>
    <w:p w:rsidR="002C0F56" w:rsidRDefault="00E67C6E">
      <w:pPr>
        <w:numPr>
          <w:ilvl w:val="0"/>
          <w:numId w:val="273"/>
        </w:numPr>
        <w:ind w:right="302"/>
      </w:pPr>
      <w:r>
        <w:t xml:space="preserve">«хозяйский» (люди стремятся руководить и максимально самостоятельны в работе); </w:t>
      </w:r>
    </w:p>
    <w:p w:rsidR="002C0F56" w:rsidRDefault="00E67C6E">
      <w:pPr>
        <w:numPr>
          <w:ilvl w:val="0"/>
          <w:numId w:val="273"/>
        </w:numPr>
        <w:ind w:right="302"/>
      </w:pPr>
      <w:r>
        <w:t>«</w:t>
      </w:r>
      <w:r>
        <w:t xml:space="preserve">профессиональный» (для таких людей важно содержание работы, решение сложных задач); </w:t>
      </w:r>
    </w:p>
    <w:p w:rsidR="002C0F56" w:rsidRDefault="00E67C6E">
      <w:pPr>
        <w:numPr>
          <w:ilvl w:val="0"/>
          <w:numId w:val="273"/>
        </w:numPr>
        <w:ind w:right="302"/>
      </w:pPr>
      <w:r>
        <w:t xml:space="preserve">«патриотический» (люди, не желающие что-либо менять — коллектив, рабочее место); </w:t>
      </w:r>
    </w:p>
    <w:p w:rsidR="002C0F56" w:rsidRDefault="00E67C6E">
      <w:pPr>
        <w:numPr>
          <w:ilvl w:val="0"/>
          <w:numId w:val="273"/>
        </w:numPr>
        <w:ind w:right="302"/>
      </w:pPr>
      <w:r>
        <w:t xml:space="preserve">«люмпенский» или «избегательный» (люди, которые не способны принимать решений, проявлять инициативу, не заинтересованы в работе). </w:t>
      </w:r>
    </w:p>
    <w:p w:rsidR="002C0F56" w:rsidRDefault="00E67C6E">
      <w:pPr>
        <w:ind w:left="994" w:right="302"/>
      </w:pPr>
      <w:r>
        <w:t xml:space="preserve"> И в зависимости от типа, которому соответствует тот или иной работник, необходимо использовать разные методы стимулирования.</w:t>
      </w:r>
      <w:r>
        <w:t xml:space="preserve"> </w:t>
      </w:r>
    </w:p>
    <w:p w:rsidR="002C0F56" w:rsidRDefault="00E67C6E">
      <w:pPr>
        <w:ind w:left="994" w:right="421"/>
      </w:pPr>
      <w:r>
        <w:t xml:space="preserve"> Стоит упомянуть про гигиенические (условия работы, заработная плата, взаимоотношения в коллективе) и мотивирующие (признание, продвижение, высокая степень ответственности) факторы Герцберга. Гигиенические факторы в его теории связаны с окружающей средой</w:t>
      </w:r>
      <w:r>
        <w:t xml:space="preserve"> и призваны удовлетворять первичные потребности работника, а мотивирующие - побуждают его к лучшему выполнению своей работы.  </w:t>
      </w:r>
    </w:p>
    <w:p w:rsidR="002C0F56" w:rsidRDefault="00E67C6E">
      <w:pPr>
        <w:ind w:left="994" w:right="418"/>
      </w:pPr>
      <w:r>
        <w:t xml:space="preserve"> К. Альдерфер предложил модифицированную трехуровневую иерархию потребностей [2]. Ученый высказал предположение, что изначально р</w:t>
      </w:r>
      <w:r>
        <w:t>аботники заинтересованы в удовлетворении потребностей существования, объединяющих физиологические факторы и факторы безопасности (оплата труда, физические условия труда, гарантии сохранения рабочего места, дополнительные блага). Следующая категория потребн</w:t>
      </w:r>
      <w:r>
        <w:t xml:space="preserve">остей — потребности во взаимоотношениях, т.е. потребности быть понятым и воспринятым руководителями, подчиненными и коллегами, а также другими людьми. И, </w:t>
      </w:r>
      <w:r>
        <w:lastRenderedPageBreak/>
        <w:t>наконец, третью группу потребностей составляют потребности роста, включающие в себя стремление к самоу</w:t>
      </w:r>
      <w:r>
        <w:t xml:space="preserve">важению. Таким образом, материальные потребности в данной теории тоже не являются определяющими для сотрудника. </w:t>
      </w:r>
    </w:p>
    <w:p w:rsidR="002C0F56" w:rsidRDefault="00E67C6E">
      <w:pPr>
        <w:ind w:left="994" w:right="425"/>
      </w:pPr>
      <w:r>
        <w:t xml:space="preserve"> В тоже время, важно учитывать в каких условиях и каком регионе проходит исследование персонала, потому что уровень жизни, например, в Москве и</w:t>
      </w:r>
      <w:r>
        <w:t xml:space="preserve"> Рязани различен, что приводит к различиям в потребностях и приоритетах людей. Эти особенности можно свести к трем параметрам: </w:t>
      </w:r>
    </w:p>
    <w:p w:rsidR="002C0F56" w:rsidRDefault="00E67C6E">
      <w:pPr>
        <w:numPr>
          <w:ilvl w:val="0"/>
          <w:numId w:val="274"/>
        </w:numPr>
        <w:ind w:right="302"/>
      </w:pPr>
      <w:r>
        <w:t>размеру «порога сытости» — это предельная величина материальной компенсации специалиста, превышение которой не эффективно, с точ</w:t>
      </w:r>
      <w:r>
        <w:t xml:space="preserve">ки зрения повышения мотивации; </w:t>
      </w:r>
    </w:p>
    <w:p w:rsidR="002C0F56" w:rsidRDefault="00E67C6E">
      <w:pPr>
        <w:numPr>
          <w:ilvl w:val="0"/>
          <w:numId w:val="274"/>
        </w:numPr>
        <w:ind w:right="302"/>
      </w:pPr>
      <w:r>
        <w:t xml:space="preserve">формату проведения досуга — данный фактор влияет на состав социального пакета, возможность обучения; </w:t>
      </w:r>
    </w:p>
    <w:p w:rsidR="002C0F56" w:rsidRDefault="00E67C6E">
      <w:pPr>
        <w:numPr>
          <w:ilvl w:val="0"/>
          <w:numId w:val="274"/>
        </w:numPr>
        <w:ind w:right="302"/>
      </w:pPr>
      <w:r>
        <w:t xml:space="preserve">самооценке — психологическое состояние человека прямо влияет на качество его работы и на возможность самореализовываться. </w:t>
      </w:r>
    </w:p>
    <w:p w:rsidR="002C0F56" w:rsidRDefault="00E67C6E">
      <w:pPr>
        <w:ind w:left="994" w:right="429"/>
      </w:pPr>
      <w:r>
        <w:t xml:space="preserve"> Все перечисленные теории различны по характеру и своим подходам, но все они несут смысл, что желаемый результат в создании системы стимулирования персонала, можно достичь, используя не только финансовые, но и нефинансовые методы вознаграждения. </w:t>
      </w:r>
    </w:p>
    <w:p w:rsidR="002C0F56" w:rsidRDefault="00E67C6E">
      <w:pPr>
        <w:spacing w:after="0"/>
        <w:ind w:left="994" w:right="418"/>
      </w:pPr>
      <w:r>
        <w:t xml:space="preserve"> Для вых</w:t>
      </w:r>
      <w:r>
        <w:t>ода из данной ситуации, когда только материальные методы не справляются, можно применить систему не материального стимулирования. Это не означает, что данные меры будут бесплатные для компании (создание досок почета, покупка грамот, организация различных п</w:t>
      </w:r>
      <w:r>
        <w:t>раздников тоже требует затрат), но они будут не такими явными и при правильном применении принесут необходимый результат. Сотрудник, получивший приятный подарок в торжественной обстановке, будет чувствовать себя не «инструментом для повышения прибыли предп</w:t>
      </w:r>
      <w:r>
        <w:t xml:space="preserve">риятия», а членом команды, в которой его ценят.  </w:t>
      </w:r>
    </w:p>
    <w:p w:rsidR="002C0F56" w:rsidRDefault="00E67C6E">
      <w:pPr>
        <w:ind w:left="994" w:right="418"/>
      </w:pPr>
      <w:r>
        <w:t xml:space="preserve"> Несмотря на то, что материальное вознаграждение за труд пока является главным средством мотивационного воздействия на персонал, на многих предприятиях активно и довольно успешно используются инновационные </w:t>
      </w:r>
      <w:r>
        <w:t>нематериальные методы стимулирования. Во многом (особенно в крупных компаниях) это происходит под давлением профсоюзов, во многом - из-за объективной необходимости удерживать квалифицированных сотрудников и привлекать новых исполнителей. В современных усло</w:t>
      </w:r>
      <w:r>
        <w:t>виях сильное мотивационное воздействие на персонал оказывают характер делового общения, предпринимательская культура и деловой климат на предприятии, организационно-правовые условия деятельности персонала предприятия: соблюдение предприятием законов и прав</w:t>
      </w:r>
      <w:r>
        <w:t xml:space="preserve"> человека; нормативная база деятельности предприятия; организационная и коммуникативная структура; стиль управления и руководства; информационная база деятельности; </w:t>
      </w:r>
      <w:r>
        <w:lastRenderedPageBreak/>
        <w:t>распорядок работы предприятия; социальные условия работы персонала (техническая оснащенност</w:t>
      </w:r>
      <w:r>
        <w:t xml:space="preserve">ь и удобство рабочих мест, организация питания, медицинского обслуживания на работе и т.п.). </w:t>
      </w:r>
    </w:p>
    <w:p w:rsidR="002C0F56" w:rsidRDefault="00E67C6E">
      <w:pPr>
        <w:ind w:left="994" w:right="422"/>
      </w:pPr>
      <w:r>
        <w:t xml:space="preserve"> Например, система управления персоналом в американских фирмах жестко организована. В западноевропейских компаниях, так же как и в американских управление основан</w:t>
      </w:r>
      <w:r>
        <w:t xml:space="preserve">о на принципах децентрализации. Однако под влиянием научно-технического прогресса они охвачены процессом концентрации и централизации. Имеет свои особенности и американский стиль управления. Здесь четко определена ответственность каждого работника. Каждый </w:t>
      </w:r>
      <w:r>
        <w:t xml:space="preserve">руководитель лично отвечает за выполнение директивно установленных показателей. В качестве инновационного стимулирующего метода компании предоставляют сотрудникам возможность переобучения и повышения квалификации.  </w:t>
      </w:r>
    </w:p>
    <w:p w:rsidR="002C0F56" w:rsidRDefault="00E67C6E">
      <w:pPr>
        <w:ind w:left="994" w:right="302"/>
      </w:pPr>
      <w:r>
        <w:t xml:space="preserve"> Во многих американских и западноевропей</w:t>
      </w:r>
      <w:r>
        <w:t xml:space="preserve">ских компаниях используют следующие инновационные методы стимулирования [3]: </w:t>
      </w:r>
    </w:p>
    <w:p w:rsidR="002C0F56" w:rsidRDefault="00E67C6E">
      <w:pPr>
        <w:numPr>
          <w:ilvl w:val="0"/>
          <w:numId w:val="275"/>
        </w:numPr>
        <w:spacing w:after="5"/>
        <w:ind w:right="421"/>
      </w:pPr>
      <w:r>
        <w:t>Предоставление сотруднику гибкого графика работы. Весьма популярной в последнее время является система "банка нерабочих дней". Сотруднику предоставляется некоторое количество дне</w:t>
      </w:r>
      <w:r>
        <w:t xml:space="preserve">й в году, которые он может не работать (обычно это количество складывается из нормы отпуска и разумного количества отгулов), и он получает возможность воспользоваться нерабочими днями по своему усмотрению. </w:t>
      </w:r>
    </w:p>
    <w:p w:rsidR="002C0F56" w:rsidRDefault="00E67C6E">
      <w:pPr>
        <w:numPr>
          <w:ilvl w:val="0"/>
          <w:numId w:val="275"/>
        </w:numPr>
        <w:spacing w:after="0"/>
        <w:ind w:right="421"/>
      </w:pPr>
      <w:r>
        <w:t>Различные общефирменные мероприятия, не касающиес</w:t>
      </w:r>
      <w:r>
        <w:t xml:space="preserve">я непосредственно работы. Это внутрифирменные праздники, посвященные значимым событиям (юбилею фирмы, выпуску новой модели продукции и т.д.). </w:t>
      </w:r>
    </w:p>
    <w:p w:rsidR="002C0F56" w:rsidRDefault="00E67C6E">
      <w:pPr>
        <w:ind w:left="994" w:right="426"/>
      </w:pPr>
      <w:r>
        <w:t xml:space="preserve">Кроме того, различные мероприятия, на которые работники имеют право приглашать свои семьи (Новый год, День независимости), загородные и экскурсионные поездки, устраиваемые компанией. </w:t>
      </w:r>
    </w:p>
    <w:p w:rsidR="002C0F56" w:rsidRDefault="00E67C6E">
      <w:pPr>
        <w:numPr>
          <w:ilvl w:val="0"/>
          <w:numId w:val="275"/>
        </w:numPr>
        <w:spacing w:after="0"/>
        <w:ind w:right="421"/>
      </w:pPr>
      <w:r>
        <w:t xml:space="preserve">"Вознаграждение-признательность". Эта категория вознаграждений является </w:t>
      </w:r>
      <w:r>
        <w:t>самой значимой. Прежде всего, это элементарные комплименты сотрудникам за их работу. Естественно, что многие компании (особенно крупные) не ограничиваются лишь устной похвалой. Не считая упоминания в средствах массовой информации и фотографий на видных мес</w:t>
      </w:r>
      <w:r>
        <w:t>тах, они пытаются увековечить работу своих сотрудников другими способами. Так, например, в компании Walt Disney Co. применяется следующая практика: на центральной улице парка Disneyland окна кафе посвящают наиболее ценным работникам, а в компании Southwest</w:t>
      </w:r>
      <w:r>
        <w:t xml:space="preserve"> Airlines выпущен специальный самолет в честь сотрудников компании (внутри аэробуса увековечены их имена). В результате успехи Walt Disney Co. общеизвестны, Southwest Airlines отличается самой низкой текучестью кадров среди подобных компаний. </w:t>
      </w:r>
    </w:p>
    <w:p w:rsidR="002C0F56" w:rsidRDefault="00E67C6E">
      <w:pPr>
        <w:numPr>
          <w:ilvl w:val="0"/>
          <w:numId w:val="275"/>
        </w:numPr>
        <w:spacing w:after="0"/>
        <w:ind w:right="421"/>
      </w:pPr>
      <w:r>
        <w:lastRenderedPageBreak/>
        <w:t>Вознагражден</w:t>
      </w:r>
      <w:r>
        <w:t>ия, связанные с изменением статуса сотрудника. В этот блок входит не только повышение в должности, но и обучение сотрудника за счет фирмы (за которым часто следует повышение в должности); приглашение сотрудника в качестве выступающего или лектора (такой ви</w:t>
      </w:r>
      <w:r>
        <w:t>д вознаграждения говорит о высокой оценке его профессиональных качеств и предоставляет ему возможность попробовать свои силы в новом качестве), предложение участвовать в более интересном проекте (для организаций проектного типа), а также возможность исполь</w:t>
      </w:r>
      <w:r>
        <w:t xml:space="preserve">зования оборудования компании для реализации собственных проектов. </w:t>
      </w:r>
    </w:p>
    <w:p w:rsidR="002C0F56" w:rsidRDefault="00E67C6E">
      <w:pPr>
        <w:numPr>
          <w:ilvl w:val="0"/>
          <w:numId w:val="275"/>
        </w:numPr>
        <w:ind w:right="421"/>
      </w:pPr>
      <w:r>
        <w:t>Система "пакет услуг". При ее использовании сотрудник получает возможность выбора из некоторого количества различных вознаграждений то, в чем он максимально заинтересован в настоящий момен</w:t>
      </w:r>
      <w:r>
        <w:t xml:space="preserve">т. </w:t>
      </w:r>
    </w:p>
    <w:p w:rsidR="002C0F56" w:rsidRDefault="00E67C6E">
      <w:pPr>
        <w:spacing w:after="0"/>
        <w:ind w:left="994" w:right="418"/>
      </w:pPr>
      <w:r>
        <w:t xml:space="preserve"> Мотивация персонала является одной из сложнейших задач для менеджеров, потому что от желания сотрудников качественно работать, зависит общая результат деятельности компании. Зачастую руководство упускает тот момент, когда выбранная ими материальная си</w:t>
      </w:r>
      <w:r>
        <w:t xml:space="preserve">стема стимулирования дает сбой: и ни премии, ни повышение заработной платы не увеличивает эффективность работы персонала. В таких ситуациях, следует обратиться к нематериальным методам стимулирования.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117" w:hanging="10"/>
        <w:jc w:val="center"/>
      </w:pPr>
      <w:r>
        <w:t xml:space="preserve">Список литературы: </w:t>
      </w:r>
    </w:p>
    <w:p w:rsidR="002C0F56" w:rsidRDefault="00E67C6E">
      <w:pPr>
        <w:numPr>
          <w:ilvl w:val="0"/>
          <w:numId w:val="276"/>
        </w:numPr>
        <w:spacing w:after="10"/>
        <w:ind w:right="426"/>
      </w:pPr>
      <w:r>
        <w:t xml:space="preserve">Волковицкая Г.А. Стимулирование </w:t>
      </w:r>
      <w:r>
        <w:t xml:space="preserve">труда: критерии качества // Известия Российского государственного педагогического университета им. А.И. Герцена. №8 (27): Аспирантские тетради: Научный журнал. СПб.: 2011.  </w:t>
      </w:r>
    </w:p>
    <w:p w:rsidR="002C0F56" w:rsidRDefault="00E67C6E">
      <w:pPr>
        <w:numPr>
          <w:ilvl w:val="0"/>
          <w:numId w:val="276"/>
        </w:numPr>
        <w:spacing w:after="0"/>
        <w:ind w:right="426"/>
      </w:pPr>
      <w:r>
        <w:t>Кабанова В.Е. Методы нематериального стимулирования персонала как инструмент мотив</w:t>
      </w:r>
      <w:r>
        <w:t xml:space="preserve">ации в современном менеджменте // В сборнике: СБОРНИК </w:t>
      </w:r>
    </w:p>
    <w:p w:rsidR="002C0F56" w:rsidRDefault="00E67C6E">
      <w:pPr>
        <w:ind w:left="994" w:right="302" w:firstLine="0"/>
      </w:pPr>
      <w:r>
        <w:t xml:space="preserve">НАУЧНЫХ СТАТЕЙ КАФЕДРЫ ФИНАНСОВОГО МЕНЕДЖМЕНТА И </w:t>
      </w:r>
    </w:p>
    <w:p w:rsidR="002C0F56" w:rsidRDefault="00E67C6E">
      <w:pPr>
        <w:ind w:left="994" w:right="302" w:firstLine="0"/>
      </w:pPr>
      <w:r>
        <w:t>АУДИТА УНИВЕРСИТЕТА ИТМО Под ред. Сергеевой И.Г.. Санкт-</w:t>
      </w:r>
    </w:p>
    <w:p w:rsidR="002C0F56" w:rsidRDefault="00E67C6E">
      <w:pPr>
        <w:ind w:left="994" w:right="302" w:firstLine="0"/>
      </w:pPr>
      <w:r>
        <w:t xml:space="preserve">Петербург, 2016.  </w:t>
      </w:r>
    </w:p>
    <w:p w:rsidR="002C0F56" w:rsidRDefault="00E67C6E">
      <w:pPr>
        <w:numPr>
          <w:ilvl w:val="0"/>
          <w:numId w:val="276"/>
        </w:numPr>
        <w:spacing w:after="11" w:line="270" w:lineRule="auto"/>
        <w:ind w:right="426"/>
      </w:pPr>
      <w:r>
        <w:t xml:space="preserve">Култыгин В. П. Современные зарубежные социологические концепции: </w:t>
      </w:r>
    </w:p>
    <w:p w:rsidR="002C0F56" w:rsidRDefault="00E67C6E">
      <w:pPr>
        <w:ind w:left="994" w:right="302" w:firstLine="0"/>
      </w:pPr>
      <w:r>
        <w:t xml:space="preserve">Учебник. </w:t>
      </w:r>
      <w:r>
        <w:t xml:space="preserve">М.: МГСУ «Союз», 2010.  </w:t>
      </w:r>
    </w:p>
    <w:p w:rsidR="002C0F56" w:rsidRDefault="00E67C6E">
      <w:pPr>
        <w:pStyle w:val="1"/>
        <w:spacing w:after="11"/>
        <w:ind w:left="4588" w:right="308"/>
        <w:jc w:val="right"/>
      </w:pPr>
      <w:r>
        <w:t xml:space="preserve">Чучко Р.  </w:t>
      </w:r>
      <w:r>
        <w:rPr>
          <w:b w:val="0"/>
        </w:rPr>
        <w:t xml:space="preserve">Научный руководитель: Перькова Е.А., к.э.н., доц. </w:t>
      </w:r>
    </w:p>
    <w:p w:rsidR="002C0F56" w:rsidRDefault="00E67C6E">
      <w:pPr>
        <w:spacing w:after="0" w:line="267" w:lineRule="auto"/>
        <w:ind w:left="905" w:right="309" w:hanging="10"/>
        <w:jc w:val="right"/>
      </w:pPr>
      <w:r>
        <w:rPr>
          <w:i/>
        </w:rPr>
        <w:t xml:space="preserve">Макеевская общеобразовательная школа №8 </w:t>
      </w:r>
    </w:p>
    <w:p w:rsidR="002C0F56" w:rsidRDefault="00E67C6E">
      <w:pPr>
        <w:spacing w:after="0" w:line="259" w:lineRule="auto"/>
        <w:ind w:left="1558" w:firstLine="0"/>
        <w:jc w:val="left"/>
      </w:pPr>
      <w:r>
        <w:rPr>
          <w:b/>
        </w:rPr>
        <w:t xml:space="preserve"> </w:t>
      </w:r>
    </w:p>
    <w:p w:rsidR="002C0F56" w:rsidRDefault="00E67C6E">
      <w:pPr>
        <w:pStyle w:val="1"/>
        <w:ind w:left="700" w:right="7"/>
      </w:pPr>
      <w:r>
        <w:t xml:space="preserve">РЕКЛАМНАЯ ДЕЯТЕЛЬНОСТЬ КАК ЭЛЕМЕНТ ПРАКТИКИ СТУДЕНТОВ </w:t>
      </w:r>
    </w:p>
    <w:p w:rsidR="002C0F56" w:rsidRDefault="00E67C6E">
      <w:pPr>
        <w:spacing w:after="0" w:line="259" w:lineRule="auto"/>
        <w:ind w:left="1558" w:firstLine="0"/>
        <w:jc w:val="left"/>
      </w:pPr>
      <w:r>
        <w:t xml:space="preserve"> </w:t>
      </w:r>
    </w:p>
    <w:p w:rsidR="002C0F56" w:rsidRDefault="00E67C6E">
      <w:pPr>
        <w:spacing w:after="0"/>
        <w:ind w:left="994" w:right="302"/>
      </w:pPr>
      <w:r>
        <w:lastRenderedPageBreak/>
        <w:t>Развитие модели инновационной экономики требует накопления интеллектуального капитала, который в современном обществе становится основой богатства. Способность экономики создать его и эффективно использовать все в большей мере определяет экономическую силу</w:t>
      </w:r>
      <w:r>
        <w:t xml:space="preserve"> и благосостояние нации. В решении этой задачи особая роль отводится высшему образованию, как эффективной системе генерации, распространения и использования знаний, их воплощения в новых продуктах, технологиях и услугах во всех сферах жизни общества. Совре</w:t>
      </w:r>
      <w:r>
        <w:t xml:space="preserve">менные тенденции мирового развития, характеризующиеся динамичным развитием экономики, ростом конкуренции, сокращением сферы неквалифицированного и малоквалифицированного труда, глубокими структурными изменениями в сфере занятости, определяют потребность в </w:t>
      </w:r>
      <w:r>
        <w:t>повышении профессиональной квалификации специалистов, росте их коммуникабельности и мобильности. Поэтому создание конкурентоспособной на мировом рынке, наукоемкой системы образования предполагает переход к качественно новому уровню подготовки кадров на осн</w:t>
      </w:r>
      <w:r>
        <w:t xml:space="preserve">ове инновационных изменений в высшей школе. </w:t>
      </w:r>
    </w:p>
    <w:p w:rsidR="002C0F56" w:rsidRDefault="00E67C6E">
      <w:pPr>
        <w:ind w:left="994" w:right="302"/>
      </w:pPr>
      <w:r>
        <w:t>Образовательные инновации должны иметь место на всех этапах образовательного процесса. Высшая школа должна чутко и своевременно реагировать  на запросы производства, науки и культуры, обеспечивать потребности народного хозяйства  в специалистах. Миссия вуз</w:t>
      </w:r>
      <w:r>
        <w:t>ов состоит в интеграции связей с предприятиями по объединению материально-технической базы и кадрового потенциала для подготовки будущих специалистов, умеющих грамотно решать экономические задачи. Участие в производственном процессе позволит уже в период о</w:t>
      </w:r>
      <w:r>
        <w:t>бучения адаптировать знания и навыки студентов к условиям бизнес-среды. Решение данных задач во многом определяется результативностью прохождения производственной практики, которая, являясь неотъемлемой составной частью всего учебного процесса подготовки с</w:t>
      </w:r>
      <w:r>
        <w:t xml:space="preserve">пециалистов, призвана повысить роль приобретения студентами профессионального мастерства, основ организаторской и воспитательной работы в трудовых коллективах.  </w:t>
      </w:r>
    </w:p>
    <w:p w:rsidR="002C0F56" w:rsidRDefault="00E67C6E">
      <w:pPr>
        <w:ind w:left="994" w:right="302"/>
      </w:pPr>
      <w:r>
        <w:t xml:space="preserve">В качестве тестового использования бизнес-среды в период прохождения практики студентов можно </w:t>
      </w:r>
      <w:r>
        <w:t xml:space="preserve">проанализировать функционирование рекламной лаборатории на базе института. </w:t>
      </w:r>
    </w:p>
    <w:p w:rsidR="002C0F56" w:rsidRDefault="00E67C6E">
      <w:pPr>
        <w:ind w:left="994" w:right="302"/>
      </w:pPr>
      <w:r>
        <w:t>Слово Реклама происходит от французского слова “reclame”. Реклама служит для того, чтобы оповестить различными способами о новых товарах или услугах и их потребительских свойствах.</w:t>
      </w:r>
      <w:r>
        <w:t xml:space="preserve"> Она направлена на потенциального потребителя,  оплачивается спонсором и служит для продвижения продукции и идей. Реклама необязательно навязывает товар покупателю. Иногда она просто заставляет вспомнить последнего конкретную марку или название товара (усл</w:t>
      </w:r>
      <w:r>
        <w:t xml:space="preserve">уги) когда он делает свой выбор. В начале потребитель решает из чего выбирать, а уже затем какой марке отдать предпочтение, на основе своего </w:t>
      </w:r>
      <w:r>
        <w:lastRenderedPageBreak/>
        <w:t xml:space="preserve">представления о ней, стереотипа или сложившегося образа конкретной марки товара.  </w:t>
      </w:r>
    </w:p>
    <w:p w:rsidR="002C0F56" w:rsidRDefault="00E67C6E">
      <w:pPr>
        <w:ind w:left="1558" w:right="302" w:firstLine="0"/>
      </w:pPr>
      <w:r>
        <w:t>Структура рекламы содержит следу</w:t>
      </w:r>
      <w:r>
        <w:t xml:space="preserve">ющие пять основных моментов: </w:t>
      </w:r>
    </w:p>
    <w:p w:rsidR="002C0F56" w:rsidRDefault="00E67C6E">
      <w:pPr>
        <w:ind w:left="994" w:right="302"/>
      </w:pPr>
      <w:r>
        <w:t>Во-первых, это способность привлечь внимание. Очень важно насколько привлекается внимание читателей заголовком, телезрителей видеорядом. Воздействует ли реклама именно на те категории потенциальных потребителей, на которые она</w:t>
      </w:r>
      <w:r>
        <w:t xml:space="preserve"> рассчитана.  </w:t>
      </w:r>
    </w:p>
    <w:p w:rsidR="002C0F56" w:rsidRDefault="00E67C6E">
      <w:pPr>
        <w:ind w:left="994" w:right="302"/>
      </w:pPr>
      <w:r>
        <w:t xml:space="preserve">Во-вторых, сила воздействия на эмоции потребителей рекламы. Какие чувства рождаются у них при просмотре рекламы, насколько удачен рекламный аргумент и правильно ли он подан.  </w:t>
      </w:r>
    </w:p>
    <w:p w:rsidR="002C0F56" w:rsidRDefault="00E67C6E">
      <w:pPr>
        <w:ind w:left="994" w:right="302"/>
      </w:pPr>
      <w:r>
        <w:t>В-третьих, какова сила воздействия. Приобретет ли зритель после п</w:t>
      </w:r>
      <w:r>
        <w:t xml:space="preserve">росмотра рекламы товар или останется сидеть в кресле, несмотря на то, что реклама понравился ему и есть необходимость в приобретении данного товара.  </w:t>
      </w:r>
    </w:p>
    <w:p w:rsidR="002C0F56" w:rsidRDefault="00E67C6E">
      <w:pPr>
        <w:spacing w:after="9"/>
        <w:ind w:left="994" w:right="302"/>
      </w:pPr>
      <w:r>
        <w:t>В четвертых - это информативность, предусматривающая полноту изложения рекламного аргумента. Насколько эф</w:t>
      </w:r>
      <w:r>
        <w:t xml:space="preserve">фективно приковывается внимание потребителей. </w:t>
      </w:r>
    </w:p>
    <w:p w:rsidR="002C0F56" w:rsidRDefault="00E67C6E">
      <w:pPr>
        <w:spacing w:after="0"/>
        <w:ind w:left="994" w:right="302"/>
      </w:pPr>
      <w:r>
        <w:t>Реклама впервые упоминается в древних документах письменной истории. При раскопках на территории стран Средиземноморья археологи нашли вывески, извещающие о различных событиях и предложениях. Римляне расписыва</w:t>
      </w:r>
      <w:r>
        <w:t>ли стены объявлениями о гладиаторских боях, а финикийцы разрисовывали скалы по маршрутам разного рода шествий, всячески превознося в этих росписях свои товары. Все это предшественники современной наружной рекламы. Одна из настенных надписей в Помпее расхва</w:t>
      </w:r>
      <w:r>
        <w:t>ливала политического деятеля и призывала людей отдавать за него свои голоса. Другую раннюю разновидность рекламы олицетворял собой городской глашатай. В период "Золотого века" Древней Греции глашатаи ходили по улицам Афин, возглашая о продажах рабов, скота</w:t>
      </w:r>
      <w:r>
        <w:t>, и прочих товаров. Еще одной ранней разновидностью рекламы было клеймо, которое ремесленники ставили на своих товарах, таких, как гончарные изделия. По мере того как молва разносила сведения о репутации ремесленника, покупатели начинали искать товар с его</w:t>
      </w:r>
      <w:r>
        <w:t xml:space="preserve"> клеймом. В наши дни для этих же целей пользуются товарными знаками и марочными названиями. По мере централизации производства и удаления рынков значение клейма постоянно росло. </w:t>
      </w:r>
    </w:p>
    <w:p w:rsidR="002C0F56" w:rsidRDefault="00E67C6E">
      <w:pPr>
        <w:ind w:left="994" w:right="302"/>
      </w:pPr>
      <w:r>
        <w:t>Поворотным пунктом в истории рекламы стал 1450 г., год изобретения Гуттенберг</w:t>
      </w:r>
      <w:r>
        <w:t xml:space="preserve">ом печатного станка вследствие чего рекламодателю не нужно было больше вручную изготовлять дополнительные экземпляры своих извещений. </w:t>
      </w:r>
    </w:p>
    <w:p w:rsidR="002C0F56" w:rsidRDefault="00E67C6E">
      <w:pPr>
        <w:ind w:left="994" w:right="302" w:firstLine="0"/>
      </w:pPr>
      <w:r>
        <w:t xml:space="preserve">Первое печатное объявление на английском языке появилось в 1478 г. </w:t>
      </w:r>
    </w:p>
    <w:p w:rsidR="002C0F56" w:rsidRDefault="00E67C6E">
      <w:pPr>
        <w:spacing w:after="0"/>
        <w:ind w:left="994" w:right="302"/>
      </w:pPr>
      <w:r>
        <w:t xml:space="preserve">В 1622 г. </w:t>
      </w:r>
      <w:r>
        <w:t xml:space="preserve">реклама получила мощный стимул в виде начавшей выходить первой газеты на английском языке, которая называлась "Уикли ньюс". Позднее </w:t>
      </w:r>
      <w:r>
        <w:lastRenderedPageBreak/>
        <w:t>Эдисон и Стел начали выпускать газету "Тэтлер", став верными пособниками рекламы. Наибольшего расцвета реклама достигла в Со</w:t>
      </w:r>
      <w:r>
        <w:t xml:space="preserve">единенных Штатах.  </w:t>
      </w:r>
    </w:p>
    <w:p w:rsidR="002C0F56" w:rsidRDefault="00E67C6E">
      <w:pPr>
        <w:spacing w:after="66"/>
        <w:ind w:left="994" w:right="302"/>
      </w:pPr>
      <w:r>
        <w:t>Но сейчас в условиях глобализации экономических отношений реклама одинаково бурно распространена по всей территории планеты и является стабильным источником получения дохода. Студентов учат теории дизайна, рекламы и маркетинга, но всё э</w:t>
      </w:r>
      <w:r>
        <w:t xml:space="preserve">то сухие данные, которые неопытному специалисту будет сложно применить на практике. Создание и функционирование рекламной лаборатории на базе института предполагает следующий порядок действий: </w:t>
      </w:r>
    </w:p>
    <w:p w:rsidR="002C0F56" w:rsidRDefault="00E67C6E">
      <w:pPr>
        <w:numPr>
          <w:ilvl w:val="0"/>
          <w:numId w:val="277"/>
        </w:numPr>
        <w:spacing w:after="63"/>
        <w:ind w:right="302"/>
      </w:pPr>
      <w:r>
        <w:t>Институт должен предоставить помещение для организации лаборат</w:t>
      </w:r>
      <w:r>
        <w:t xml:space="preserve">ории, это может быть любой кабинет оборудованный столами, стульями и компьютерной техникой.  </w:t>
      </w:r>
    </w:p>
    <w:p w:rsidR="002C0F56" w:rsidRDefault="00E67C6E">
      <w:pPr>
        <w:numPr>
          <w:ilvl w:val="0"/>
          <w:numId w:val="277"/>
        </w:numPr>
        <w:spacing w:after="56"/>
        <w:ind w:right="302"/>
      </w:pPr>
      <w:r>
        <w:t xml:space="preserve">Студенты разных специальностей могут проходить практику в рекламной лаборатории. Их задания будут зависеть от специализации. </w:t>
      </w:r>
    </w:p>
    <w:p w:rsidR="002C0F56" w:rsidRDefault="00E67C6E">
      <w:pPr>
        <w:numPr>
          <w:ilvl w:val="0"/>
          <w:numId w:val="277"/>
        </w:numPr>
        <w:spacing w:after="10"/>
        <w:ind w:right="302"/>
      </w:pPr>
      <w:r>
        <w:t xml:space="preserve">С целью стимулирования успеваемости </w:t>
      </w:r>
      <w:r>
        <w:t xml:space="preserve">студентов определенный процент от реализации рекламных продуктов предлагается направить на финансовые бонусы для обучающихся.  </w:t>
      </w:r>
    </w:p>
    <w:p w:rsidR="002C0F56" w:rsidRDefault="00E67C6E">
      <w:pPr>
        <w:spacing w:after="2"/>
        <w:ind w:left="994" w:right="302"/>
      </w:pPr>
      <w:r>
        <w:t xml:space="preserve">В настоящее время рынок рекламных услуг переживает настоящий бум во всём мире. Наибольшая доля дохода от рекламной деятельности </w:t>
      </w:r>
      <w:r>
        <w:t>приходиться на специализированные агентства, выполняющие работы по размещению и распространению рекламы (64,4% общей суммы доходов предприятий), 28,0% - на те, которые выполняли полный цикл рекламных услуг, 7,6% - на предприятия, которые выполняли работы п</w:t>
      </w:r>
      <w:r>
        <w:t>о планированию и созданию рекламы. Вероятнее всего рекламная лаборатория в рамках института попадет в третью группу, так как полный объем рекламных услуг предполагает наличие серьезной типографской и прочей техники, а ее не целесообразно приобретать инстит</w:t>
      </w:r>
      <w:r>
        <w:t xml:space="preserve">уту, так как это не основной вид его деятельности. </w:t>
      </w:r>
    </w:p>
    <w:p w:rsidR="002C0F56" w:rsidRDefault="00E67C6E">
      <w:pPr>
        <w:spacing w:after="0"/>
        <w:ind w:left="994" w:right="302"/>
      </w:pPr>
      <w:r>
        <w:t xml:space="preserve">Из общего количества завершенных сделок подавляющее их большинство завершается посредствам распространения рекламы такими рекламными средствами как Интернет, прямые почтовые рассылки, листовки в журналы, </w:t>
      </w:r>
      <w:r>
        <w:t>буклеты, промоутеры и т.п. Телевидение продолжает оставаться рекламоносителем номер 1 во всем мире. В прошлом периоде наблюдался рост телевизионного рекламного рынка, который выражается скоростью 15% для прямой рекламы на национальном телевидении и еще бол</w:t>
      </w:r>
      <w:r>
        <w:t xml:space="preserve">ьшей цифрой - 25% - для телевизионного спонсорства.  </w:t>
      </w:r>
    </w:p>
    <w:p w:rsidR="002C0F56" w:rsidRDefault="00E67C6E">
      <w:pPr>
        <w:spacing w:after="11"/>
        <w:ind w:left="994" w:right="302"/>
      </w:pPr>
      <w:r>
        <w:t xml:space="preserve">Целевой аудиторией для рекламной лаборатории являются юридические и физические лица. Продвижение услуг рекламной лаборатории возможно при помощи объявлений в сети Интернет и печатных изданиях.   </w:t>
      </w:r>
    </w:p>
    <w:p w:rsidR="002C0F56" w:rsidRDefault="00E67C6E">
      <w:pPr>
        <w:ind w:left="994" w:right="302"/>
      </w:pPr>
      <w:r>
        <w:t>Непоср</w:t>
      </w:r>
      <w:r>
        <w:t xml:space="preserve">едственное управление рекламной лабораторией можно поручить студенческому активу. Деканат может оказывать активу помощь контролируя </w:t>
      </w:r>
      <w:r>
        <w:lastRenderedPageBreak/>
        <w:t>выполнение рекламных заказов студентами-практикантами. Роль преподавателей в рамках рекламной лаборатории заключается в обуч</w:t>
      </w:r>
      <w:r>
        <w:t xml:space="preserve">ении и консультировании студентов. Студенты же принимая участие в работе лаборатории будут обеспечены практикой, но могут заниматься рекламной деятельностью и в свободное время по собственному желанию.  </w:t>
      </w:r>
    </w:p>
    <w:p w:rsidR="002C0F56" w:rsidRDefault="00E67C6E">
      <w:pPr>
        <w:ind w:left="994" w:right="302"/>
      </w:pPr>
      <w:r>
        <w:t>Так как рекламная лаборатория является бизнес-симуля</w:t>
      </w:r>
      <w:r>
        <w:t xml:space="preserve">тором процесс ее функционирования может сопровождаться определенными рисками (табл. 1). </w:t>
      </w:r>
    </w:p>
    <w:p w:rsidR="002C0F56" w:rsidRDefault="00E67C6E">
      <w:pPr>
        <w:spacing w:after="0" w:line="259" w:lineRule="auto"/>
        <w:ind w:left="1558" w:firstLine="0"/>
        <w:jc w:val="left"/>
      </w:pPr>
      <w:r>
        <w:t xml:space="preserve"> </w:t>
      </w:r>
    </w:p>
    <w:p w:rsidR="002C0F56" w:rsidRDefault="00E67C6E">
      <w:pPr>
        <w:spacing w:after="5" w:line="271" w:lineRule="auto"/>
        <w:ind w:left="2662" w:right="396" w:hanging="10"/>
        <w:jc w:val="left"/>
      </w:pPr>
      <w:r>
        <w:rPr>
          <w:i/>
          <w:sz w:val="24"/>
        </w:rPr>
        <w:t>Таблица 1</w:t>
      </w:r>
      <w:r>
        <w:rPr>
          <w:sz w:val="24"/>
        </w:rPr>
        <w:t xml:space="preserve"> - </w:t>
      </w:r>
      <w:r>
        <w:rPr>
          <w:b/>
          <w:sz w:val="24"/>
        </w:rPr>
        <w:t>Риски функционирования рекламной лаборатории</w:t>
      </w:r>
      <w:r>
        <w:rPr>
          <w:i/>
          <w:sz w:val="24"/>
        </w:rPr>
        <w:t xml:space="preserve"> </w:t>
      </w:r>
    </w:p>
    <w:tbl>
      <w:tblPr>
        <w:tblStyle w:val="TableGrid"/>
        <w:tblW w:w="9038" w:type="dxa"/>
        <w:tblInd w:w="1294" w:type="dxa"/>
        <w:tblCellMar>
          <w:top w:w="56" w:type="dxa"/>
          <w:left w:w="108" w:type="dxa"/>
          <w:bottom w:w="0" w:type="dxa"/>
          <w:right w:w="49" w:type="dxa"/>
        </w:tblCellMar>
        <w:tblLook w:val="04A0" w:firstRow="1" w:lastRow="0" w:firstColumn="1" w:lastColumn="0" w:noHBand="0" w:noVBand="1"/>
      </w:tblPr>
      <w:tblGrid>
        <w:gridCol w:w="3829"/>
        <w:gridCol w:w="5209"/>
      </w:tblGrid>
      <w:tr w:rsidR="002C0F56">
        <w:trPr>
          <w:trHeight w:val="286"/>
        </w:trPr>
        <w:tc>
          <w:tcPr>
            <w:tcW w:w="382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58" w:firstLine="0"/>
              <w:jc w:val="center"/>
            </w:pPr>
            <w:r>
              <w:rPr>
                <w:i/>
                <w:sz w:val="24"/>
              </w:rPr>
              <w:t xml:space="preserve">Риск </w:t>
            </w:r>
          </w:p>
        </w:tc>
        <w:tc>
          <w:tcPr>
            <w:tcW w:w="52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62" w:firstLine="0"/>
              <w:jc w:val="center"/>
            </w:pPr>
            <w:r>
              <w:rPr>
                <w:i/>
                <w:sz w:val="24"/>
              </w:rPr>
              <w:t xml:space="preserve">Последствия </w:t>
            </w:r>
          </w:p>
        </w:tc>
      </w:tr>
      <w:tr w:rsidR="002C0F56">
        <w:trPr>
          <w:trHeight w:val="838"/>
        </w:trPr>
        <w:tc>
          <w:tcPr>
            <w:tcW w:w="382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Увеличение времени работы над продуктом </w:t>
            </w:r>
          </w:p>
        </w:tc>
        <w:tc>
          <w:tcPr>
            <w:tcW w:w="5209" w:type="dxa"/>
            <w:tcBorders>
              <w:top w:val="single" w:sz="4" w:space="0" w:color="000000"/>
              <w:left w:val="single" w:sz="4" w:space="0" w:color="000000"/>
              <w:bottom w:val="single" w:sz="4" w:space="0" w:color="000000"/>
              <w:right w:val="single" w:sz="4" w:space="0" w:color="000000"/>
            </w:tcBorders>
          </w:tcPr>
          <w:p w:rsidR="002C0F56" w:rsidRDefault="00E67C6E">
            <w:pPr>
              <w:spacing w:after="5" w:line="259" w:lineRule="auto"/>
              <w:ind w:left="0" w:firstLine="0"/>
              <w:jc w:val="left"/>
            </w:pPr>
            <w:r>
              <w:rPr>
                <w:sz w:val="24"/>
              </w:rPr>
              <w:t xml:space="preserve">Недовольство покупателя. </w:t>
            </w:r>
          </w:p>
          <w:p w:rsidR="002C0F56" w:rsidRDefault="00E67C6E">
            <w:pPr>
              <w:spacing w:after="0" w:line="259" w:lineRule="auto"/>
              <w:ind w:left="0" w:firstLine="0"/>
              <w:jc w:val="left"/>
            </w:pPr>
            <w:r>
              <w:rPr>
                <w:sz w:val="24"/>
              </w:rPr>
              <w:t xml:space="preserve">Возможный </w:t>
            </w:r>
            <w:r>
              <w:rPr>
                <w:sz w:val="24"/>
              </w:rPr>
              <w:tab/>
              <w:t xml:space="preserve">отказ </w:t>
            </w:r>
            <w:r>
              <w:rPr>
                <w:sz w:val="24"/>
              </w:rPr>
              <w:tab/>
              <w:t xml:space="preserve">от </w:t>
            </w:r>
            <w:r>
              <w:rPr>
                <w:sz w:val="24"/>
              </w:rPr>
              <w:tab/>
              <w:t xml:space="preserve">услуг </w:t>
            </w:r>
            <w:r>
              <w:rPr>
                <w:sz w:val="24"/>
              </w:rPr>
              <w:tab/>
              <w:t xml:space="preserve">рекламной лаборатории. </w:t>
            </w:r>
          </w:p>
        </w:tc>
      </w:tr>
      <w:tr w:rsidR="002C0F56">
        <w:trPr>
          <w:trHeight w:val="286"/>
        </w:trPr>
        <w:tc>
          <w:tcPr>
            <w:tcW w:w="382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2" w:firstLine="0"/>
              <w:jc w:val="left"/>
            </w:pPr>
            <w:r>
              <w:rPr>
                <w:sz w:val="24"/>
              </w:rPr>
              <w:t xml:space="preserve">Отсутствие финансирования </w:t>
            </w:r>
          </w:p>
        </w:tc>
        <w:tc>
          <w:tcPr>
            <w:tcW w:w="5209"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Невозможность реализации бизнес-идеи.</w:t>
            </w:r>
            <w:r>
              <w:rPr>
                <w:i/>
                <w:sz w:val="24"/>
              </w:rPr>
              <w:t xml:space="preserve"> </w:t>
            </w:r>
          </w:p>
        </w:tc>
      </w:tr>
      <w:tr w:rsidR="002C0F56">
        <w:trPr>
          <w:trHeight w:val="838"/>
        </w:trPr>
        <w:tc>
          <w:tcPr>
            <w:tcW w:w="3829" w:type="dxa"/>
            <w:tcBorders>
              <w:top w:val="single" w:sz="4" w:space="0" w:color="000000"/>
              <w:left w:val="single" w:sz="4" w:space="0" w:color="000000"/>
              <w:bottom w:val="single" w:sz="4" w:space="0" w:color="000000"/>
              <w:right w:val="single" w:sz="4" w:space="0" w:color="000000"/>
            </w:tcBorders>
          </w:tcPr>
          <w:p w:rsidR="002C0F56" w:rsidRDefault="00E67C6E">
            <w:pPr>
              <w:tabs>
                <w:tab w:val="right" w:pos="3672"/>
              </w:tabs>
              <w:spacing w:after="27" w:line="259" w:lineRule="auto"/>
              <w:ind w:left="0" w:firstLine="0"/>
              <w:jc w:val="left"/>
            </w:pPr>
            <w:r>
              <w:rPr>
                <w:sz w:val="24"/>
              </w:rPr>
              <w:t xml:space="preserve">Снижение </w:t>
            </w:r>
            <w:r>
              <w:rPr>
                <w:sz w:val="24"/>
              </w:rPr>
              <w:tab/>
              <w:t xml:space="preserve">покупательской </w:t>
            </w:r>
          </w:p>
          <w:p w:rsidR="002C0F56" w:rsidRDefault="00E67C6E">
            <w:pPr>
              <w:spacing w:after="0" w:line="259" w:lineRule="auto"/>
              <w:ind w:left="2" w:firstLine="0"/>
              <w:jc w:val="left"/>
            </w:pPr>
            <w:r>
              <w:rPr>
                <w:sz w:val="24"/>
              </w:rPr>
              <w:t xml:space="preserve">способности </w:t>
            </w:r>
          </w:p>
        </w:tc>
        <w:tc>
          <w:tcPr>
            <w:tcW w:w="5209" w:type="dxa"/>
            <w:tcBorders>
              <w:top w:val="single" w:sz="4" w:space="0" w:color="000000"/>
              <w:left w:val="single" w:sz="4" w:space="0" w:color="000000"/>
              <w:bottom w:val="single" w:sz="4" w:space="0" w:color="000000"/>
              <w:right w:val="single" w:sz="4" w:space="0" w:color="000000"/>
            </w:tcBorders>
          </w:tcPr>
          <w:p w:rsidR="002C0F56" w:rsidRDefault="00E67C6E">
            <w:pPr>
              <w:spacing w:after="1" w:line="278" w:lineRule="auto"/>
              <w:ind w:left="0" w:firstLine="0"/>
            </w:pPr>
            <w:r>
              <w:rPr>
                <w:sz w:val="24"/>
              </w:rPr>
              <w:t xml:space="preserve">Невозможность вернуть инвестиции, покрыть текущие расходы. </w:t>
            </w:r>
          </w:p>
          <w:p w:rsidR="002C0F56" w:rsidRDefault="00E67C6E">
            <w:pPr>
              <w:spacing w:after="0" w:line="259" w:lineRule="auto"/>
              <w:ind w:left="0" w:firstLine="0"/>
              <w:jc w:val="left"/>
            </w:pPr>
            <w:r>
              <w:rPr>
                <w:sz w:val="24"/>
              </w:rPr>
              <w:t xml:space="preserve">Прекращение функционирования. </w:t>
            </w:r>
          </w:p>
        </w:tc>
      </w:tr>
    </w:tbl>
    <w:p w:rsidR="002C0F56" w:rsidRDefault="00E67C6E">
      <w:pPr>
        <w:spacing w:after="0" w:line="259" w:lineRule="auto"/>
        <w:ind w:left="1558" w:firstLine="0"/>
        <w:jc w:val="left"/>
      </w:pPr>
      <w:r>
        <w:t xml:space="preserve"> </w:t>
      </w:r>
    </w:p>
    <w:p w:rsidR="002C0F56" w:rsidRDefault="00E67C6E">
      <w:pPr>
        <w:spacing w:after="10"/>
        <w:ind w:left="994" w:right="302"/>
      </w:pPr>
      <w:r>
        <w:t xml:space="preserve">При условии ответственного отношения к деятельности рекламной лаборатории представленные риски достаточно легко предупредить и устранить, поэтому они не являются серьезной помехой. </w:t>
      </w:r>
    </w:p>
    <w:p w:rsidR="002C0F56" w:rsidRDefault="00E67C6E">
      <w:pPr>
        <w:spacing w:after="0"/>
        <w:ind w:left="994" w:right="302"/>
      </w:pPr>
      <w:r>
        <w:t xml:space="preserve">Таким образом, создание рекламной лаборатории в рамках института, а также </w:t>
      </w:r>
      <w:r>
        <w:t>совмещение ее деятельности с учебным процессом способствует повышению профессиональной компетентности студентов, росту их коммуникабельности и мобильности. Как известно, основным показателем работы высшего учебного заведения является качество подготовленны</w:t>
      </w:r>
      <w:r>
        <w:t xml:space="preserve">х выпускников, поэтому работа рекламной лаборатории также способствует повышению конкурентоспособности института и содействует переходу к качественно новому уровню подготовки кадров на основе инновационных подходов к обучению.  </w:t>
      </w:r>
    </w:p>
    <w:p w:rsidR="002C0F56" w:rsidRDefault="00E67C6E">
      <w:pPr>
        <w:spacing w:after="0" w:line="259" w:lineRule="auto"/>
        <w:ind w:left="1558" w:firstLine="0"/>
        <w:jc w:val="left"/>
      </w:pPr>
      <w:r>
        <w:t xml:space="preserve"> </w:t>
      </w:r>
    </w:p>
    <w:p w:rsidR="002C0F56" w:rsidRDefault="00E67C6E">
      <w:pPr>
        <w:spacing w:after="27" w:line="259" w:lineRule="auto"/>
        <w:ind w:left="1558" w:firstLine="0"/>
        <w:jc w:val="left"/>
      </w:pPr>
      <w:r>
        <w:t xml:space="preserve"> </w:t>
      </w:r>
    </w:p>
    <w:p w:rsidR="002C0F56" w:rsidRDefault="00E67C6E">
      <w:pPr>
        <w:pStyle w:val="1"/>
        <w:spacing w:after="25" w:line="259" w:lineRule="auto"/>
        <w:ind w:right="309"/>
        <w:jc w:val="right"/>
      </w:pPr>
      <w:r>
        <w:t>Шеркузиева Г.Ф., к.м.н.</w:t>
      </w:r>
      <w:r>
        <w:t xml:space="preserve">, доц. Рашидов В.А. Курбанова Ш.И., к.м.н. Йулдошев Ё.Р. </w:t>
      </w:r>
    </w:p>
    <w:p w:rsidR="002C0F56" w:rsidRDefault="00E67C6E">
      <w:pPr>
        <w:spacing w:after="0" w:line="267" w:lineRule="auto"/>
        <w:ind w:left="905" w:right="307" w:hanging="10"/>
        <w:jc w:val="right"/>
      </w:pPr>
      <w:r>
        <w:rPr>
          <w:i/>
        </w:rPr>
        <w:t xml:space="preserve">Ташкентская медицинская академия </w:t>
      </w:r>
    </w:p>
    <w:p w:rsidR="002C0F56" w:rsidRDefault="00E67C6E">
      <w:pPr>
        <w:spacing w:after="2" w:line="259" w:lineRule="auto"/>
        <w:ind w:left="1558" w:firstLine="0"/>
        <w:jc w:val="left"/>
      </w:pPr>
      <w:r>
        <w:t xml:space="preserve"> </w:t>
      </w:r>
    </w:p>
    <w:p w:rsidR="002C0F56" w:rsidRDefault="00E67C6E">
      <w:pPr>
        <w:pStyle w:val="1"/>
        <w:ind w:left="700" w:right="8"/>
      </w:pPr>
      <w:r>
        <w:t xml:space="preserve">ГИГИЕНИЧЕСКАЯ ОЦЕНКА «LAKTONORM-H (ZN, RUX)» </w:t>
      </w:r>
    </w:p>
    <w:p w:rsidR="002C0F56" w:rsidRDefault="00E67C6E">
      <w:pPr>
        <w:spacing w:after="0" w:line="259" w:lineRule="auto"/>
        <w:ind w:left="1558" w:firstLine="0"/>
        <w:jc w:val="left"/>
      </w:pPr>
      <w:r>
        <w:t xml:space="preserve"> </w:t>
      </w:r>
    </w:p>
    <w:p w:rsidR="002C0F56" w:rsidRDefault="00E67C6E">
      <w:pPr>
        <w:ind w:left="994" w:right="302"/>
      </w:pPr>
      <w:r>
        <w:t xml:space="preserve">Биологически активные добавки (БАД) благотворно воздействуют не на орган или систему, а на весь организм. БАД являются как этиологическими, то </w:t>
      </w:r>
      <w:r>
        <w:lastRenderedPageBreak/>
        <w:t>есть устраняющими причины болезней, так и патогенетическими, то есть влияющими на причинно - следственные связи в</w:t>
      </w:r>
      <w:r>
        <w:t xml:space="preserve"> развитии заболевания [1, 2]. </w:t>
      </w:r>
    </w:p>
    <w:p w:rsidR="002C0F56" w:rsidRDefault="00E67C6E">
      <w:pPr>
        <w:ind w:left="994" w:right="302" w:firstLine="0"/>
      </w:pPr>
      <w:r>
        <w:t>Особенно ценны с помощью биологически активных добавок профилактика рецидивов и предотвращение перехода болезни в хроническую форму, так как отсутствие побочных эффектов, токсичности и физиологичность этих добавок дают возмож</w:t>
      </w:r>
      <w:r>
        <w:t xml:space="preserve">ность применять их длительное время [3, 4, 5]. Неграмотное употребление или использование БАДов может привести к тяжелым последствиям. Необходимо очень серьёзно подходить к выбору БАДов и контролировать их влияние на организм.   </w:t>
      </w:r>
    </w:p>
    <w:p w:rsidR="002C0F56" w:rsidRDefault="00E67C6E">
      <w:pPr>
        <w:ind w:left="994" w:right="302"/>
      </w:pPr>
      <w:r>
        <w:t>Изучаемый БАД «LAKTONORM-H</w:t>
      </w:r>
      <w:r>
        <w:t>» представляет собой сухой порошок из микробной массы живых антагонистически активных микроорганизмов – лактобактерий Laktobacillus fermentum №231, полученный методом лиофилизации, обогащенным витамином С. Препарат представляет собой сухую лиофилизированну</w:t>
      </w:r>
      <w:r>
        <w:t>ю массу беловатого или бежевого цвета различного оттенка.  Биологические свойства: бактерии, входящие в состав биодобавки, являются естественными микроорганизмами кишечника и благотворно действуют на биохимические процессы кишечника и всего организма в цел</w:t>
      </w:r>
      <w:r>
        <w:t>ом. Антагонистическое действие лактобактерий против возбудителей инфекций препятствует их развитию и размножению. Это способствует нормализации естественной микрофлоры кишечника, пищеварению и укреплению иммунитета. «Laktonorm-H (Zn, RUX)» с цинком предназ</w:t>
      </w:r>
      <w:r>
        <w:t>начен для нормализации естественной микрофлоры кишечника при нарушениях питания, после  длительного применения антибиотиков, для укрепления иммунитета и как источник цинка. Продукт должен  храниться  в сухом, темном  месте при температуре не выше +15°С и о</w:t>
      </w:r>
      <w:r>
        <w:t>тносительной влажности воздуха 80%.</w:t>
      </w:r>
      <w:r>
        <w:rPr>
          <w:b/>
        </w:rPr>
        <w:t xml:space="preserve">  </w:t>
      </w:r>
    </w:p>
    <w:p w:rsidR="002C0F56" w:rsidRDefault="00E67C6E">
      <w:pPr>
        <w:ind w:left="994" w:right="302"/>
      </w:pPr>
      <w:r>
        <w:t>Токсичность «Laktonorm-H (Zn RUX)» изучена в условиях введения  белым крысам per os двух доз:  500 мг/кг (эквивалент 0,5 мл раствора на 200 г животного) и 1000 мг/кг (эквивалент 1,0 мл раствора на 200 г животного).  Об</w:t>
      </w:r>
      <w:r>
        <w:t>работка результатов клинического обследования производилась на персональном компьютере Pentium-IV с использованием прикладных офисных программ Microsoft Exell, Statplus и Microsoft Access, c расчетом среднеарифметической изучаемого показателя (M), ее станд</w:t>
      </w:r>
      <w:r>
        <w:t xml:space="preserve">артной ошибки (m), показателей достоверности (P) и критерия Стьюдента. При этом учитывались методики, существующие указания по статистической обработке данных в клинических и лабораторных исследований (Зайцев В.М. и др., 2003).  </w:t>
      </w:r>
    </w:p>
    <w:p w:rsidR="002C0F56" w:rsidRDefault="00E67C6E">
      <w:pPr>
        <w:spacing w:after="13"/>
        <w:ind w:left="994" w:right="302"/>
      </w:pPr>
      <w:r>
        <w:t xml:space="preserve">В опыте были использованы </w:t>
      </w:r>
      <w:r>
        <w:t xml:space="preserve">54 белые крысы с исходной массой тела 130,17±3,15 - 143,33±3,55 г. Динамика прироста массы тела белых крыс представлена в таблице 1. Как видно из данных, представленных в таблице, статистически достоверного отставаний прироста массы тела не установлено. </w:t>
      </w:r>
    </w:p>
    <w:p w:rsidR="002C0F56" w:rsidRDefault="00E67C6E">
      <w:pPr>
        <w:ind w:left="994" w:right="302"/>
      </w:pPr>
      <w:r>
        <w:lastRenderedPageBreak/>
        <w:t>П</w:t>
      </w:r>
      <w:r>
        <w:t>олученные результаты подтверждают отсутствие отрицательного действия  изученного БАДа</w:t>
      </w:r>
      <w:r>
        <w:rPr>
          <w:b/>
        </w:rPr>
        <w:t xml:space="preserve"> </w:t>
      </w:r>
      <w:r>
        <w:t xml:space="preserve">на динамику изменения массы тела  лабораторных животных (табл.1).       </w:t>
      </w:r>
    </w:p>
    <w:p w:rsidR="002C0F56" w:rsidRDefault="00E67C6E">
      <w:pPr>
        <w:spacing w:after="10"/>
        <w:ind w:left="994" w:right="302"/>
      </w:pPr>
      <w:r>
        <w:t>При патологоанатомическом исследовании, проведенном через 30 суток после введения свойств «Lakton</w:t>
      </w:r>
      <w:r>
        <w:t xml:space="preserve">orm-H (Zn RUX)»,  в дозах 500 и 1000  мг/кг, у  крыс подопытных групп внешний вид, размеры и макроскопическая структура внутренних органов визуально не отличались от контрольных. При расчете относительных масс внутренних органов экспериментальных животных </w:t>
      </w:r>
      <w:r>
        <w:t xml:space="preserve">по сравнению с контролем имели статистические незначимые различия. Данные результаты подтверждают, что изученный БАД к пище не обладают токсическими  свойствами. </w:t>
      </w:r>
    </w:p>
    <w:p w:rsidR="002C0F56" w:rsidRDefault="00E67C6E">
      <w:pPr>
        <w:spacing w:after="0" w:line="259" w:lineRule="auto"/>
        <w:ind w:left="1558" w:firstLine="0"/>
        <w:jc w:val="left"/>
      </w:pPr>
      <w:r>
        <w:t xml:space="preserve">                                         </w:t>
      </w:r>
    </w:p>
    <w:p w:rsidR="002C0F56" w:rsidRDefault="00E67C6E">
      <w:pPr>
        <w:spacing w:after="5" w:line="271" w:lineRule="auto"/>
        <w:ind w:left="3692" w:right="396" w:hanging="1493"/>
        <w:jc w:val="left"/>
      </w:pPr>
      <w:r>
        <w:rPr>
          <w:i/>
          <w:sz w:val="24"/>
        </w:rPr>
        <w:t xml:space="preserve">Таблица 1- </w:t>
      </w:r>
      <w:r>
        <w:rPr>
          <w:b/>
          <w:sz w:val="24"/>
        </w:rPr>
        <w:t>Динамика массы тела белых крыс в условия</w:t>
      </w:r>
      <w:r>
        <w:rPr>
          <w:b/>
          <w:sz w:val="24"/>
        </w:rPr>
        <w:t xml:space="preserve">х хронического внутрижелудочного введения БАДа (г) </w:t>
      </w:r>
    </w:p>
    <w:tbl>
      <w:tblPr>
        <w:tblStyle w:val="TableGrid"/>
        <w:tblW w:w="9640" w:type="dxa"/>
        <w:tblInd w:w="994" w:type="dxa"/>
        <w:tblCellMar>
          <w:top w:w="17" w:type="dxa"/>
          <w:left w:w="108" w:type="dxa"/>
          <w:bottom w:w="0" w:type="dxa"/>
          <w:right w:w="94" w:type="dxa"/>
        </w:tblCellMar>
        <w:tblLook w:val="04A0" w:firstRow="1" w:lastRow="0" w:firstColumn="1" w:lastColumn="0" w:noHBand="0" w:noVBand="1"/>
      </w:tblPr>
      <w:tblGrid>
        <w:gridCol w:w="2234"/>
        <w:gridCol w:w="1215"/>
        <w:gridCol w:w="1524"/>
        <w:gridCol w:w="1947"/>
        <w:gridCol w:w="2720"/>
      </w:tblGrid>
      <w:tr w:rsidR="002C0F56">
        <w:trPr>
          <w:trHeight w:val="286"/>
        </w:trPr>
        <w:tc>
          <w:tcPr>
            <w:tcW w:w="2235"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19" w:line="259" w:lineRule="auto"/>
              <w:ind w:left="0" w:firstLine="0"/>
              <w:jc w:val="left"/>
            </w:pPr>
            <w:r>
              <w:rPr>
                <w:sz w:val="24"/>
              </w:rPr>
              <w:t xml:space="preserve">Наименование </w:t>
            </w:r>
          </w:p>
          <w:p w:rsidR="002C0F56" w:rsidRDefault="00E67C6E">
            <w:pPr>
              <w:spacing w:after="0" w:line="259" w:lineRule="auto"/>
              <w:ind w:left="0" w:right="336" w:firstLine="0"/>
              <w:jc w:val="left"/>
            </w:pPr>
            <w:r>
              <w:rPr>
                <w:sz w:val="24"/>
              </w:rPr>
              <w:t xml:space="preserve">групп животных </w:t>
            </w:r>
          </w:p>
        </w:tc>
        <w:tc>
          <w:tcPr>
            <w:tcW w:w="1215"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 xml:space="preserve">Доза, мг/кг </w:t>
            </w:r>
          </w:p>
        </w:tc>
        <w:tc>
          <w:tcPr>
            <w:tcW w:w="3471" w:type="dxa"/>
            <w:gridSpan w:val="2"/>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9" w:firstLine="0"/>
              <w:jc w:val="center"/>
            </w:pPr>
            <w:r>
              <w:rPr>
                <w:sz w:val="24"/>
              </w:rPr>
              <w:t xml:space="preserve">Вес животных, гр </w:t>
            </w:r>
          </w:p>
        </w:tc>
        <w:tc>
          <w:tcPr>
            <w:tcW w:w="2720" w:type="dxa"/>
            <w:vMerge w:val="restart"/>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firstLine="0"/>
              <w:jc w:val="center"/>
            </w:pPr>
            <w:r>
              <w:rPr>
                <w:sz w:val="24"/>
              </w:rPr>
              <w:t>Масса тела в % к исходному показателю</w:t>
            </w:r>
            <w:r>
              <w:rPr>
                <w:sz w:val="24"/>
                <w:vertAlign w:val="superscript"/>
              </w:rPr>
              <w:t xml:space="preserve"> </w:t>
            </w:r>
          </w:p>
        </w:tc>
      </w:tr>
      <w:tr w:rsidR="002C0F56">
        <w:trPr>
          <w:trHeight w:val="552"/>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524"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9" w:firstLine="0"/>
              <w:jc w:val="center"/>
            </w:pPr>
            <w:r>
              <w:rPr>
                <w:sz w:val="24"/>
              </w:rPr>
              <w:t xml:space="preserve">исходный </w:t>
            </w:r>
          </w:p>
        </w:tc>
        <w:tc>
          <w:tcPr>
            <w:tcW w:w="1947" w:type="dxa"/>
            <w:tcBorders>
              <w:top w:val="single" w:sz="4" w:space="0" w:color="000000"/>
              <w:left w:val="single" w:sz="4" w:space="0" w:color="000000"/>
              <w:bottom w:val="single" w:sz="4" w:space="0" w:color="000000"/>
              <w:right w:val="single" w:sz="4" w:space="0" w:color="000000"/>
            </w:tcBorders>
            <w:vAlign w:val="center"/>
          </w:tcPr>
          <w:p w:rsidR="002C0F56" w:rsidRDefault="00E67C6E">
            <w:pPr>
              <w:spacing w:after="0" w:line="259" w:lineRule="auto"/>
              <w:ind w:left="0" w:right="11" w:firstLine="0"/>
              <w:jc w:val="center"/>
            </w:pPr>
            <w:r>
              <w:rPr>
                <w:sz w:val="24"/>
              </w:rPr>
              <w:t xml:space="preserve">в день забоя </w:t>
            </w:r>
          </w:p>
        </w:tc>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r>
      <w:tr w:rsidR="002C0F56">
        <w:trPr>
          <w:trHeight w:val="288"/>
        </w:trPr>
        <w:tc>
          <w:tcPr>
            <w:tcW w:w="223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Контроль </w:t>
            </w:r>
          </w:p>
        </w:tc>
        <w:tc>
          <w:tcPr>
            <w:tcW w:w="12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7" w:firstLine="0"/>
              <w:jc w:val="center"/>
            </w:pPr>
            <w:r>
              <w:rPr>
                <w:sz w:val="24"/>
              </w:rPr>
              <w:t xml:space="preserve">- </w:t>
            </w:r>
          </w:p>
        </w:tc>
        <w:tc>
          <w:tcPr>
            <w:tcW w:w="15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0" w:firstLine="0"/>
              <w:jc w:val="left"/>
            </w:pPr>
            <w:r>
              <w:rPr>
                <w:sz w:val="24"/>
              </w:rPr>
              <w:t xml:space="preserve">142,33±3,64 </w:t>
            </w:r>
          </w:p>
        </w:tc>
        <w:tc>
          <w:tcPr>
            <w:tcW w:w="19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5" w:firstLine="0"/>
              <w:jc w:val="center"/>
            </w:pPr>
            <w:r>
              <w:rPr>
                <w:sz w:val="24"/>
              </w:rPr>
              <w:t xml:space="preserve">177,33±3,96 </w:t>
            </w:r>
          </w:p>
        </w:tc>
        <w:tc>
          <w:tcPr>
            <w:tcW w:w="27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 w:firstLine="0"/>
              <w:jc w:val="center"/>
            </w:pPr>
            <w:r>
              <w:rPr>
                <w:sz w:val="24"/>
              </w:rPr>
              <w:t xml:space="preserve">+24,6 </w:t>
            </w:r>
          </w:p>
        </w:tc>
      </w:tr>
      <w:tr w:rsidR="002C0F56">
        <w:trPr>
          <w:trHeight w:val="331"/>
        </w:trPr>
        <w:tc>
          <w:tcPr>
            <w:tcW w:w="2235" w:type="dxa"/>
            <w:vMerge w:val="restart"/>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firstLine="0"/>
              <w:jc w:val="left"/>
            </w:pPr>
            <w:r>
              <w:rPr>
                <w:sz w:val="24"/>
              </w:rPr>
              <w:t xml:space="preserve">«Laktonorm-H  </w:t>
            </w:r>
          </w:p>
          <w:p w:rsidR="002C0F56" w:rsidRDefault="00E67C6E">
            <w:pPr>
              <w:spacing w:after="0" w:line="259" w:lineRule="auto"/>
              <w:ind w:left="0" w:firstLine="0"/>
              <w:jc w:val="left"/>
            </w:pPr>
            <w:r>
              <w:rPr>
                <w:sz w:val="24"/>
              </w:rPr>
              <w:t>(Zn RUX)»</w:t>
            </w:r>
            <w:r>
              <w:rPr>
                <w:b/>
                <w:sz w:val="24"/>
              </w:rPr>
              <w:t xml:space="preserve"> </w:t>
            </w:r>
          </w:p>
        </w:tc>
        <w:tc>
          <w:tcPr>
            <w:tcW w:w="12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5" w:firstLine="0"/>
              <w:jc w:val="center"/>
            </w:pPr>
            <w:r>
              <w:rPr>
                <w:sz w:val="24"/>
              </w:rPr>
              <w:t xml:space="preserve">500 </w:t>
            </w:r>
          </w:p>
        </w:tc>
        <w:tc>
          <w:tcPr>
            <w:tcW w:w="15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 w:firstLine="0"/>
              <w:jc w:val="center"/>
            </w:pPr>
            <w:r>
              <w:rPr>
                <w:sz w:val="24"/>
              </w:rPr>
              <w:t xml:space="preserve">137,5±3,49 </w:t>
            </w:r>
          </w:p>
        </w:tc>
        <w:tc>
          <w:tcPr>
            <w:tcW w:w="19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5" w:firstLine="0"/>
              <w:jc w:val="center"/>
            </w:pPr>
            <w:r>
              <w:rPr>
                <w:sz w:val="24"/>
              </w:rPr>
              <w:t xml:space="preserve">171,67±3,72 </w:t>
            </w:r>
          </w:p>
        </w:tc>
        <w:tc>
          <w:tcPr>
            <w:tcW w:w="27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 w:firstLine="0"/>
              <w:jc w:val="center"/>
            </w:pPr>
            <w:r>
              <w:rPr>
                <w:sz w:val="24"/>
              </w:rPr>
              <w:t xml:space="preserve">+24,8 </w:t>
            </w:r>
          </w:p>
        </w:tc>
      </w:tr>
      <w:tr w:rsidR="002C0F56">
        <w:trPr>
          <w:trHeight w:val="334"/>
        </w:trPr>
        <w:tc>
          <w:tcPr>
            <w:tcW w:w="0" w:type="auto"/>
            <w:vMerge/>
            <w:tcBorders>
              <w:top w:val="nil"/>
              <w:left w:val="single" w:sz="4" w:space="0" w:color="000000"/>
              <w:bottom w:val="single" w:sz="4" w:space="0" w:color="000000"/>
              <w:right w:val="single" w:sz="4" w:space="0" w:color="000000"/>
            </w:tcBorders>
          </w:tcPr>
          <w:p w:rsidR="002C0F56" w:rsidRDefault="002C0F56">
            <w:pPr>
              <w:spacing w:after="160" w:line="259" w:lineRule="auto"/>
              <w:ind w:left="0" w:firstLine="0"/>
              <w:jc w:val="left"/>
            </w:pPr>
          </w:p>
        </w:tc>
        <w:tc>
          <w:tcPr>
            <w:tcW w:w="1215"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5" w:firstLine="0"/>
              <w:jc w:val="center"/>
            </w:pPr>
            <w:r>
              <w:rPr>
                <w:sz w:val="24"/>
              </w:rPr>
              <w:t xml:space="preserve">1000 </w:t>
            </w:r>
          </w:p>
        </w:tc>
        <w:tc>
          <w:tcPr>
            <w:tcW w:w="1524"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50" w:firstLine="0"/>
              <w:jc w:val="left"/>
            </w:pPr>
            <w:r>
              <w:rPr>
                <w:sz w:val="24"/>
              </w:rPr>
              <w:t xml:space="preserve">143,33±3,55 </w:t>
            </w:r>
          </w:p>
        </w:tc>
        <w:tc>
          <w:tcPr>
            <w:tcW w:w="1947"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5" w:firstLine="0"/>
              <w:jc w:val="center"/>
            </w:pPr>
            <w:r>
              <w:rPr>
                <w:sz w:val="24"/>
              </w:rPr>
              <w:t xml:space="preserve">177,83±3,46 </w:t>
            </w:r>
          </w:p>
        </w:tc>
        <w:tc>
          <w:tcPr>
            <w:tcW w:w="2720" w:type="dxa"/>
            <w:tcBorders>
              <w:top w:val="single" w:sz="4" w:space="0" w:color="000000"/>
              <w:left w:val="single" w:sz="4" w:space="0" w:color="000000"/>
              <w:bottom w:val="single" w:sz="4" w:space="0" w:color="000000"/>
              <w:right w:val="single" w:sz="4" w:space="0" w:color="000000"/>
            </w:tcBorders>
          </w:tcPr>
          <w:p w:rsidR="002C0F56" w:rsidRDefault="00E67C6E">
            <w:pPr>
              <w:spacing w:after="0" w:line="259" w:lineRule="auto"/>
              <w:ind w:left="0" w:right="10" w:firstLine="0"/>
              <w:jc w:val="center"/>
            </w:pPr>
            <w:r>
              <w:rPr>
                <w:sz w:val="24"/>
              </w:rPr>
              <w:t xml:space="preserve">+24,1 </w:t>
            </w:r>
          </w:p>
        </w:tc>
      </w:tr>
    </w:tbl>
    <w:p w:rsidR="002C0F56" w:rsidRDefault="00E67C6E">
      <w:pPr>
        <w:spacing w:after="0" w:line="259" w:lineRule="auto"/>
        <w:ind w:left="1558" w:firstLine="0"/>
        <w:jc w:val="left"/>
      </w:pPr>
      <w:r>
        <w:t xml:space="preserve">       </w:t>
      </w:r>
      <w:r>
        <w:rPr>
          <w:b/>
        </w:rPr>
        <w:t xml:space="preserve"> </w:t>
      </w:r>
    </w:p>
    <w:p w:rsidR="002C0F56" w:rsidRDefault="00E67C6E">
      <w:pPr>
        <w:spacing w:after="10"/>
        <w:ind w:left="994" w:right="302"/>
      </w:pPr>
      <w:r>
        <w:t>Кроме того, было определено, что все животные имели правильное телосложение, опрятный вид, блестящий шерстяной покров. Видимые слизистые оболочки влажные, бледно-</w:t>
      </w:r>
      <w:r>
        <w:t xml:space="preserve">розового цвета, блестящие и гладкие на вид. Наружные половые органы самцов не имели видимых деформаций или отклонений от контроля.  </w:t>
      </w:r>
    </w:p>
    <w:p w:rsidR="002C0F56" w:rsidRDefault="00E67C6E">
      <w:pPr>
        <w:ind w:left="994" w:right="302"/>
      </w:pPr>
      <w:r>
        <w:t>Светооптическое микроскопическое исследование внутренних органов всех опытных групп животных выявило идентичную гистоморфологическую картину тканей изучаемых органов.</w:t>
      </w:r>
      <w:r>
        <w:rPr>
          <w:b/>
        </w:rPr>
        <w:t xml:space="preserve">           </w:t>
      </w:r>
    </w:p>
    <w:p w:rsidR="002C0F56" w:rsidRDefault="00E67C6E">
      <w:pPr>
        <w:tabs>
          <w:tab w:val="center" w:pos="2958"/>
          <w:tab w:val="center" w:pos="5319"/>
          <w:tab w:val="center" w:pos="6698"/>
          <w:tab w:val="center" w:pos="7943"/>
          <w:tab w:val="center" w:pos="8907"/>
          <w:tab w:val="center" w:pos="10080"/>
        </w:tabs>
        <w:spacing w:after="11" w:line="270" w:lineRule="auto"/>
        <w:ind w:left="0" w:firstLine="0"/>
        <w:jc w:val="left"/>
      </w:pPr>
      <w:r>
        <w:rPr>
          <w:rFonts w:ascii="Calibri" w:eastAsia="Calibri" w:hAnsi="Calibri" w:cs="Calibri"/>
          <w:sz w:val="22"/>
        </w:rPr>
        <w:tab/>
      </w:r>
      <w:r>
        <w:t xml:space="preserve">Гистоморфологическая </w:t>
      </w:r>
      <w:r>
        <w:tab/>
        <w:t xml:space="preserve">картина </w:t>
      </w:r>
      <w:r>
        <w:tab/>
        <w:t xml:space="preserve">печени </w:t>
      </w:r>
      <w:r>
        <w:tab/>
        <w:t xml:space="preserve">после </w:t>
      </w:r>
      <w:r>
        <w:tab/>
        <w:t xml:space="preserve">30 </w:t>
      </w:r>
      <w:r>
        <w:tab/>
        <w:t xml:space="preserve">дневного </w:t>
      </w:r>
    </w:p>
    <w:p w:rsidR="002C0F56" w:rsidRDefault="00E67C6E">
      <w:pPr>
        <w:spacing w:after="8"/>
        <w:ind w:left="994" w:right="302" w:firstLine="0"/>
      </w:pPr>
      <w:r>
        <w:t>внутрижелудочного введения</w:t>
      </w:r>
      <w:r>
        <w:rPr>
          <w:b/>
        </w:rPr>
        <w:t xml:space="preserve"> </w:t>
      </w:r>
      <w:r>
        <w:t xml:space="preserve">«Laktonorm-H (Zn RUX)»,  независимо от дозы </w:t>
      </w:r>
      <w:r>
        <w:rPr>
          <w:b/>
        </w:rPr>
        <w:t xml:space="preserve"> </w:t>
      </w:r>
      <w:r>
        <w:t>выявила однотипную картину.</w:t>
      </w:r>
      <w:r>
        <w:rPr>
          <w:b/>
        </w:rPr>
        <w:t xml:space="preserve"> </w:t>
      </w:r>
      <w:r>
        <w:t>Капсула печени у опытных животных не утолщена, содержит продольно ориентированные пучки коллагеновых волокон. Паренхима печени образована классическими пече</w:t>
      </w:r>
      <w:r>
        <w:t>ночными дольками, состоящими из радиально ориентированных к центральной вене  печёночных пластинок или балок. Гепатоциты полигональной формы, с центрально расположенным ядром</w:t>
      </w:r>
      <w:r>
        <w:rPr>
          <w:b/>
        </w:rPr>
        <w:t xml:space="preserve">. </w:t>
      </w:r>
      <w:r>
        <w:t>Почки</w:t>
      </w:r>
      <w:r>
        <w:rPr>
          <w:b/>
        </w:rPr>
        <w:t xml:space="preserve"> –  </w:t>
      </w:r>
      <w:r>
        <w:t>гистология почек у опытных животных без изменений. Таким образом, гисто</w:t>
      </w:r>
      <w:r>
        <w:t>морфологическая картина состояния  архитектоники печени и почек не выявила патологии.</w:t>
      </w:r>
      <w:r>
        <w:rPr>
          <w:b/>
        </w:rPr>
        <w:t xml:space="preserve">   </w:t>
      </w:r>
      <w:r>
        <w:t xml:space="preserve">В заключение следует отметить, что дистрофических, некробиотических и воспалительных изменений </w:t>
      </w:r>
      <w:r>
        <w:lastRenderedPageBreak/>
        <w:t>у опытных животных,  а также достоверных отличий в структуре внутренних о</w:t>
      </w:r>
      <w:r>
        <w:t xml:space="preserve">рганов между опытными и контрольными группами не обнаружено.  </w:t>
      </w:r>
    </w:p>
    <w:p w:rsidR="002C0F56" w:rsidRDefault="00E67C6E">
      <w:pPr>
        <w:ind w:left="994" w:right="302"/>
      </w:pPr>
      <w:r>
        <w:t>На основании сравнительного гистоморфологического исследования органов и тканей контрольных и подопытных животных можно сделать заключение о том, что пероральное введение в течение  30 суток «L</w:t>
      </w:r>
      <w:r>
        <w:t xml:space="preserve">aktonorm-H (Zn RUX)» в дозах 500 и 1000  мг/кг не вызывает патологических изменений.   </w:t>
      </w:r>
    </w:p>
    <w:p w:rsidR="002C0F56" w:rsidRDefault="00E67C6E">
      <w:pPr>
        <w:ind w:left="994" w:right="302"/>
      </w:pPr>
      <w:r>
        <w:t>На основании экспертизы представленного научного досье и  результатов собственных исследований  установлено, что  БАД  к пище «Laktonorm-H (ZN Rux)» по</w:t>
      </w:r>
      <w:r>
        <w:rPr>
          <w:b/>
        </w:rPr>
        <w:t xml:space="preserve"> </w:t>
      </w:r>
      <w:r>
        <w:t>параметрам токси</w:t>
      </w:r>
      <w:r>
        <w:t>чности при внутрижелудочном пути поступления относятся к 5 классу -  практически нетоксичным веществам.</w:t>
      </w:r>
      <w:r>
        <w:rPr>
          <w:b/>
        </w:rPr>
        <w:t xml:space="preserve"> </w:t>
      </w:r>
      <w:r>
        <w:t>Не обладают материальной и функциональной кумуляцией. При длительном внутрижелудочном воздействии изученного БАДа к пище не выявлено изменений  со сторо</w:t>
      </w:r>
      <w:r>
        <w:t>ны биохимических</w:t>
      </w:r>
      <w:r>
        <w:rPr>
          <w:b/>
        </w:rPr>
        <w:t xml:space="preserve"> </w:t>
      </w:r>
      <w:r>
        <w:t xml:space="preserve">показателей. Показатели общего белка, активности щелочной фосфатазы, транс-аминазных  ферментов (АЛТ, АСТ)  не отличались от значений у контрольных животных.         </w:t>
      </w:r>
    </w:p>
    <w:p w:rsidR="002C0F56" w:rsidRDefault="00E67C6E">
      <w:pPr>
        <w:spacing w:after="5" w:line="268" w:lineRule="auto"/>
        <w:ind w:left="994" w:right="293" w:firstLine="554"/>
        <w:jc w:val="left"/>
      </w:pPr>
      <w:r>
        <w:t>Проведенные исследования показали, что «Laktonorm-H (Zn RUX)» в дозах 10</w:t>
      </w:r>
      <w:r>
        <w:t xml:space="preserve">00 мг/кг и 500 мг/кг не оказывают влияния на содержание иммуноглобулинов классов IgE, IgG и IgM в сыворотке крови крыс, т.е. не проявляют  аллергенных  </w:t>
      </w:r>
    </w:p>
    <w:p w:rsidR="002C0F56" w:rsidRDefault="00E67C6E">
      <w:pPr>
        <w:spacing w:after="10"/>
        <w:ind w:left="994" w:right="302" w:firstLine="0"/>
      </w:pPr>
      <w:r>
        <w:t>свойств. Результаты гистоморфологических исследований тканей внутренних органов при внутрижелудочном вв</w:t>
      </w:r>
      <w:r>
        <w:t xml:space="preserve">едении БАДа в течение 30 дней подтверждают отсутствие токсического воздействия.  </w:t>
      </w:r>
    </w:p>
    <w:p w:rsidR="002C0F56" w:rsidRDefault="00E67C6E">
      <w:pPr>
        <w:spacing w:after="25"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78"/>
        </w:numPr>
        <w:ind w:right="302"/>
      </w:pPr>
      <w:r>
        <w:t xml:space="preserve">СанПин РУз №0258-08 от 25.11.08 «Гигиенические требования к производству и обороту биологически активных добавок к пище (БАД)». </w:t>
      </w:r>
    </w:p>
    <w:p w:rsidR="002C0F56" w:rsidRDefault="00E67C6E">
      <w:pPr>
        <w:numPr>
          <w:ilvl w:val="0"/>
          <w:numId w:val="278"/>
        </w:numPr>
        <w:ind w:right="302"/>
      </w:pPr>
      <w:r>
        <w:t>Элинская О.Л. Гигиениче</w:t>
      </w:r>
      <w:r>
        <w:t xml:space="preserve">ские аспекты применения пищевых добавок (справочно-методическое пособие). - Т., 2011. </w:t>
      </w:r>
    </w:p>
    <w:p w:rsidR="002C0F56" w:rsidRDefault="00E67C6E">
      <w:pPr>
        <w:numPr>
          <w:ilvl w:val="0"/>
          <w:numId w:val="278"/>
        </w:numPr>
        <w:ind w:right="302"/>
      </w:pPr>
      <w:r>
        <w:t xml:space="preserve">Саноцкий И.В. Методы определения токсичности и опасности химических веществ. - Москва, 1970. - С.161-163; 175-177. </w:t>
      </w:r>
    </w:p>
    <w:p w:rsidR="002C0F56" w:rsidRDefault="00E67C6E">
      <w:pPr>
        <w:numPr>
          <w:ilvl w:val="0"/>
          <w:numId w:val="278"/>
        </w:numPr>
        <w:ind w:right="302"/>
      </w:pPr>
      <w:r>
        <w:t>Хабриев Р.У. Методические указания по изучению общето</w:t>
      </w:r>
      <w:r>
        <w:t xml:space="preserve">ксического действия фармакологических веществ //Руководство по экспериментальному (доклиническому) изучению новых фармакологических веществ.  - М., 2005. </w:t>
      </w:r>
    </w:p>
    <w:p w:rsidR="002C0F56" w:rsidRDefault="00E67C6E">
      <w:pPr>
        <w:numPr>
          <w:ilvl w:val="0"/>
          <w:numId w:val="278"/>
        </w:numPr>
        <w:ind w:right="302"/>
      </w:pPr>
      <w:r>
        <w:t>Тиллаева Г.У., Арипов А.Н., Аверьянова А.А. Руководство по контролю качества лабораторных исследовани</w:t>
      </w:r>
      <w:r>
        <w:t xml:space="preserve">й. - Ташкент, 2000. - Том 1. </w:t>
      </w:r>
    </w:p>
    <w:p w:rsidR="002C0F56" w:rsidRDefault="00E67C6E">
      <w:pPr>
        <w:spacing w:after="0" w:line="259" w:lineRule="auto"/>
        <w:ind w:left="1558" w:firstLine="0"/>
        <w:jc w:val="left"/>
      </w:pPr>
      <w:r>
        <w:t xml:space="preserve"> </w:t>
      </w:r>
    </w:p>
    <w:p w:rsidR="002C0F56" w:rsidRDefault="00E67C6E">
      <w:pPr>
        <w:spacing w:after="27" w:line="259" w:lineRule="auto"/>
        <w:ind w:left="1558" w:firstLine="0"/>
        <w:jc w:val="left"/>
      </w:pPr>
      <w:r>
        <w:t xml:space="preserve"> </w:t>
      </w:r>
    </w:p>
    <w:p w:rsidR="002C0F56" w:rsidRDefault="00E67C6E">
      <w:pPr>
        <w:pStyle w:val="1"/>
        <w:spacing w:after="25" w:line="259" w:lineRule="auto"/>
        <w:ind w:right="309"/>
        <w:jc w:val="right"/>
      </w:pPr>
      <w:r>
        <w:t xml:space="preserve">Шеркузиева Г.Ф., к.м.н., доц. Акрамов Д.А., к.м.н. Самигова Н.Р., к.м.н., доц. Йулдошев Ё.Р. </w:t>
      </w:r>
    </w:p>
    <w:p w:rsidR="002C0F56" w:rsidRDefault="00E67C6E">
      <w:pPr>
        <w:spacing w:after="0" w:line="267" w:lineRule="auto"/>
        <w:ind w:left="905" w:right="307" w:hanging="10"/>
        <w:jc w:val="right"/>
      </w:pPr>
      <w:r>
        <w:rPr>
          <w:i/>
        </w:rPr>
        <w:t xml:space="preserve">Ташкентская медицинская академия </w:t>
      </w:r>
    </w:p>
    <w:p w:rsidR="002C0F56" w:rsidRDefault="00E67C6E">
      <w:pPr>
        <w:spacing w:after="30" w:line="259" w:lineRule="auto"/>
        <w:ind w:left="1558" w:firstLine="0"/>
        <w:jc w:val="left"/>
      </w:pPr>
      <w:r>
        <w:lastRenderedPageBreak/>
        <w:t xml:space="preserve"> </w:t>
      </w:r>
    </w:p>
    <w:p w:rsidR="002C0F56" w:rsidRDefault="00E67C6E">
      <w:pPr>
        <w:pStyle w:val="1"/>
        <w:ind w:left="700" w:right="6"/>
      </w:pPr>
      <w:r>
        <w:t xml:space="preserve">ТОКСИКОЛОГО-ГИГИЕНИЧЕСКАЯ ОЦЕНКА ИНСЕКТИЦИДА «ПРЕСТИЖ» </w:t>
      </w:r>
    </w:p>
    <w:p w:rsidR="002C0F56" w:rsidRDefault="00E67C6E">
      <w:pPr>
        <w:spacing w:after="0" w:line="259" w:lineRule="auto"/>
        <w:ind w:left="1558" w:firstLine="0"/>
        <w:jc w:val="left"/>
      </w:pPr>
      <w:r>
        <w:rPr>
          <w:b/>
        </w:rPr>
        <w:t xml:space="preserve"> </w:t>
      </w:r>
    </w:p>
    <w:p w:rsidR="002C0F56" w:rsidRDefault="00E67C6E">
      <w:pPr>
        <w:spacing w:after="7"/>
        <w:ind w:left="994" w:right="302"/>
      </w:pPr>
      <w:r>
        <w:t>Использование химических соединений для борьбы с тем или иным вредным объектом сопровождается отрицательным действием на окружающую среду и на организм человека. Поэтому следует уделять особое внимание разумному использованию пестицидов, использовать их то</w:t>
      </w:r>
      <w:r>
        <w:t>лько при острой необходимости и, главным образом, сочетая с другими методами защиты (агротехническими, биологическими и механическими).</w:t>
      </w:r>
      <w:r>
        <w:rPr>
          <w:b/>
        </w:rPr>
        <w:t xml:space="preserve"> </w:t>
      </w:r>
      <w:r>
        <w:t>Как известно, ни один урожай не обходится без сорняков, болезней и вредителей. Поэтому на культурных растениях использую</w:t>
      </w:r>
      <w:r>
        <w:t>т все доступные способы борьбы (химические, механические, агротехнические и биологические), причем наилучший результат достигается при их рациональном сочетании [1, 2].        Как правило, большинство пестицидов поставляются в виде растворов, суспензий или</w:t>
      </w:r>
      <w:r>
        <w:t xml:space="preserve"> эмульсий, которые разводятся в воде и после этого с помощью опрыскивателя попадают на вредоносное растение или почву. Очень важно соблюдать норму расхода пестицидов, которая выражается в килограммах.  </w:t>
      </w:r>
    </w:p>
    <w:p w:rsidR="002C0F56" w:rsidRDefault="00E67C6E">
      <w:pPr>
        <w:spacing w:after="11"/>
        <w:ind w:left="994" w:right="302"/>
      </w:pPr>
      <w:r>
        <w:t>Селективные гербициды представлены веществами различн</w:t>
      </w:r>
      <w:r>
        <w:t xml:space="preserve">ых химических классов с разными механизмами действия. В некоторых случаях применяется антидот, исключающий фитотоксичность гербицида по отношению к культуре.   </w:t>
      </w:r>
    </w:p>
    <w:p w:rsidR="002C0F56" w:rsidRDefault="00E67C6E">
      <w:pPr>
        <w:ind w:left="994" w:right="302"/>
      </w:pPr>
      <w:r>
        <w:t>Однако непродуманное использование пестицидов имеет и негативные последствия. Оно ведет к появл</w:t>
      </w:r>
      <w:r>
        <w:t>ению устойчивых к ним видов организмов, особенно среди насекомых; губит хищников (естественных врагов вредителей) и других полезных животных. Загрязняя окружающую среду, пестициды угрожают и человеку: сейчас их обнаруживают даже в грунтовых водах. Запрещен</w:t>
      </w:r>
      <w:r>
        <w:t xml:space="preserve">ы и некоторые фумиганты, применявшиеся ранее для газового обеззараживания почвы и хранящегося зерна.  </w:t>
      </w:r>
    </w:p>
    <w:p w:rsidR="002C0F56" w:rsidRDefault="00E67C6E">
      <w:pPr>
        <w:spacing w:after="14"/>
        <w:ind w:left="994" w:right="302"/>
      </w:pPr>
      <w:r>
        <w:t>Изучаемый инсектицид «Престиж» - это пестицид для защиты картофеля, томатов, пшеницы, хлопчатника, цитрусовых от личинок и взрослых насекомых колорадског</w:t>
      </w:r>
      <w:r>
        <w:t>о жука, хлопковой совки, саранчи, вредной черепашки, термитов, паутинного клеща. Действующие вещество: микробиологический препарат: споро-кристаллический комплекс энтомопатогенной бактерии В thuringiensis varthuringiensis. Агрегатное состояние препаративно</w:t>
      </w:r>
      <w:r>
        <w:t xml:space="preserve">й  формы водорастворимый концентрат, смачиваемость 1-2 сек, массовая доля влаги составляет 100%. Норма расхода «Престижа» 2л на 1 га. Способ применения заключается в опрыскивании с интервалом 5-10 дней между обработками при среднесуточной температуре выше </w:t>
      </w:r>
      <w:r>
        <w:t>20</w:t>
      </w:r>
      <w:r>
        <w:rPr>
          <w:vertAlign w:val="superscript"/>
        </w:rPr>
        <w:t>0</w:t>
      </w:r>
      <w:r>
        <w:t xml:space="preserve">С в вечернее или утреннее время. Максимальная кратность обработок 1-3.  </w:t>
      </w:r>
    </w:p>
    <w:p w:rsidR="002C0F56" w:rsidRDefault="00E67C6E">
      <w:pPr>
        <w:spacing w:after="4"/>
        <w:ind w:left="994" w:right="302"/>
      </w:pPr>
      <w:r>
        <w:lastRenderedPageBreak/>
        <w:t>Нами было изучено местное действие «Престижа» на кожные покровы и слизистую оболочку глаз, а также способность проникать через неповрежденную кожу, которые проводились на белых кры</w:t>
      </w:r>
      <w:r>
        <w:t>сах и кроликах. Препарат наносили на кожу экспериментальных животных из расчета 20 мг/см</w:t>
      </w:r>
      <w:r>
        <w:rPr>
          <w:vertAlign w:val="superscript"/>
        </w:rPr>
        <w:t>2</w:t>
      </w:r>
      <w:r>
        <w:t>. Реакция кожи регистрировалась по окончании 4 – х часовой экспозиции через 1 и 16 часов после однократной аппликации. Установлено, что препарат не вызывает раздражени</w:t>
      </w:r>
      <w:r>
        <w:t xml:space="preserve">я кожных покровов. </w:t>
      </w:r>
    </w:p>
    <w:p w:rsidR="002C0F56" w:rsidRDefault="00E67C6E">
      <w:pPr>
        <w:ind w:left="994" w:right="302"/>
      </w:pPr>
      <w:r>
        <w:t>Изучена многократная кожная токсичность на белых крысах, получавших 20 накожных аппликаций «Престижа». Гибели животных и клинических признаков интоксикации не наблюдалось, отмечена гиперемия после экспозиции препаратом к концу опыта. Таким образом, можно с</w:t>
      </w:r>
      <w:r>
        <w:t xml:space="preserve">делать вывод, что препарат обладает слабым раздражающим действием на кожу и при многократном использовании.  </w:t>
      </w:r>
    </w:p>
    <w:p w:rsidR="002C0F56" w:rsidRDefault="00E67C6E">
      <w:pPr>
        <w:ind w:left="994" w:right="302"/>
      </w:pPr>
      <w:r>
        <w:t>Для выявления кожно-резорбтивного действия белых мышей и белых крыс фиксировали в специальных станках. Хвосты подопытных животных погружали в проб</w:t>
      </w:r>
      <w:r>
        <w:t>ирки с водным раствором «Престижа» на 4 часа при температуре 36 – 37 градусов С. После окончания эксперимента кожу хвостов обмывали водой с мылом. В течение 2–х недель наблюдения за экспериментальными животными признаков интоксикации и гибели не было отмеч</w:t>
      </w:r>
      <w:r>
        <w:t>ено. При изучении действия «Престижа» на слизистую оболочку глаз в конъюнктивальный мешок левого глаза однократно вносили 2 капли раствора препарата, правый глаз служил контролем. Под влиянием препарата через 10 минут отмечалась гиперемия, прищуривание гла</w:t>
      </w:r>
      <w:r>
        <w:t xml:space="preserve">за, слезотечение. После 2-х часов явления раздражения усиливались. Появлялся гнойный экссудат. </w:t>
      </w:r>
    </w:p>
    <w:p w:rsidR="002C0F56" w:rsidRDefault="00E67C6E">
      <w:pPr>
        <w:spacing w:after="0"/>
        <w:ind w:left="994" w:right="302" w:firstLine="0"/>
      </w:pPr>
      <w:r>
        <w:t>Полностью явления раздражения и  конъюктивита  исчезали через 7-8 суток.                 Оценивая токсичность химических  соединений нельзя полностью полагаться</w:t>
      </w:r>
      <w:r>
        <w:t xml:space="preserve"> на  данные  острых опытов, так как установлено, что  вещества малотоксичные при разовом введении могут оказаться высоко опасными при повторном воздействии на организм. Хроническое отравление возможно в случае материальной или функциональной кумуляции ядов</w:t>
      </w:r>
      <w:r>
        <w:t xml:space="preserve"> в организме.  </w:t>
      </w:r>
    </w:p>
    <w:p w:rsidR="002C0F56" w:rsidRDefault="00E67C6E">
      <w:pPr>
        <w:spacing w:after="3"/>
        <w:ind w:left="994" w:right="302"/>
      </w:pPr>
      <w:r>
        <w:t>Способность к кумуляции препарата изучена методом субхронической токсичности по Лиму в условиях многократного  внутрижелудочного введения его белым крысам. В опыте использовано 60 белых крыс с массой тела 140-150 грамм. Внутрижелудочное вве</w:t>
      </w:r>
      <w:r>
        <w:t>дение «Престижа» не вызывало гибели животных на протяжении всего эксперимента, но позволило выявить функциональные сдвиги по ряду физиологических  и биохимических показателей. У животных опытной группы наблюдалось статистически достоверное снижение прирост</w:t>
      </w:r>
      <w:r>
        <w:t xml:space="preserve">а массы тела, торможение норкового рефлекса. Изучением состояния «норкового рефлекса» белых крыс при внутрижелудочном введении «Престижа» выявлено значительное его угнетение, начиная с 3-ей недели эксперимента и до его </w:t>
      </w:r>
      <w:r>
        <w:lastRenderedPageBreak/>
        <w:t>окончания, когда отмечено снижение эт</w:t>
      </w:r>
      <w:r>
        <w:t xml:space="preserve">ого показателя у опытных животных по сравнению с контрольными особями.  </w:t>
      </w:r>
    </w:p>
    <w:p w:rsidR="002C0F56" w:rsidRDefault="00E67C6E">
      <w:pPr>
        <w:spacing w:after="3"/>
        <w:ind w:left="994" w:right="302"/>
      </w:pPr>
      <w:r>
        <w:t>Динамика содержание гемоглобина в периферической крови показала снижение его к концу эксперимента. Так,  содержание гемоглобина у опытных животных было на уровне 104,0 г/л, при контроле 128,0 г/л (Р&lt;0,01).Установлен значительный лейкоцитоз в периферической</w:t>
      </w:r>
      <w:r>
        <w:t xml:space="preserve"> крови опытной группы животных. </w:t>
      </w:r>
    </w:p>
    <w:p w:rsidR="002C0F56" w:rsidRDefault="00E67C6E">
      <w:pPr>
        <w:spacing w:after="0"/>
        <w:ind w:left="994" w:right="302"/>
      </w:pPr>
      <w:r>
        <w:t xml:space="preserve">Полученные данные по изучению активности ферментов щелочной фосфатазы, АСТ, АЛТ и каталазы в крови показали, что активность щелочной фосфатазы в сыворотке крови увеличивалась с высокой степенью статистической достоверности </w:t>
      </w:r>
      <w:r>
        <w:t>у животных опытной группы в 2 раза по сравнению с контрольными животными. Активность ферментов АСТ и АЛТ увеличивалась с аналогичной направленностью. Паталого-анатомическое исследование внутренних органов при вскрытии животных после окончания  эксперимента</w:t>
      </w:r>
      <w:r>
        <w:t xml:space="preserve"> показало, что изменений  у опытных животных не выявлено. </w:t>
      </w:r>
    </w:p>
    <w:p w:rsidR="002C0F56" w:rsidRDefault="00E67C6E">
      <w:pPr>
        <w:ind w:left="994" w:right="302"/>
      </w:pPr>
      <w:r>
        <w:t>Таким образом, установлено, что «Престиж» не обладает материальной кумуляцией, однако отмечено статистически достоверное  изменение всех изученных тестов. Следовательно, инсектицид «Престиж» облада</w:t>
      </w:r>
      <w:r>
        <w:t xml:space="preserve">ет кумулятивными свойствами функционального характера. </w:t>
      </w:r>
    </w:p>
    <w:p w:rsidR="002C0F56" w:rsidRDefault="00E67C6E">
      <w:pPr>
        <w:spacing w:after="0"/>
        <w:ind w:left="994" w:right="302"/>
      </w:pPr>
      <w:r>
        <w:t>На основании результатов собственных исследований установлено, что «Престиж» по параметрам токсичности при внутрижелудочном введении относиться к веществам 4 класса опасности (СанПиН РУЗ №0213-06). Сл</w:t>
      </w:r>
      <w:r>
        <w:t>едовательно, можно заключить что препарат «Престиж» может быть рекомендован к применению в сельском хозяйстве Республики Узбекистан в качестве инсектицида для защиты картофеля, томатов, пшеницы, хлопчатника, цитрусовых от личинок и взрослых насекомых колор</w:t>
      </w:r>
      <w:r>
        <w:t xml:space="preserve">адского жука, хлопковой совки, саранчи, термитов, паутинного клеща. При применении препарата должен соблюдаться контроль за  правилами техники безопасности при выполнении работ. Работающие должны быть обучены и обеспечены  специальной одеждой и средствами </w:t>
      </w:r>
      <w:r>
        <w:t xml:space="preserve">индивидуальной защиты.   </w:t>
      </w:r>
    </w:p>
    <w:p w:rsidR="002C0F56" w:rsidRDefault="00E67C6E">
      <w:pPr>
        <w:spacing w:after="25"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79"/>
        </w:numPr>
        <w:ind w:right="302"/>
      </w:pPr>
      <w:r>
        <w:t xml:space="preserve">Методические указания по комплексной гигиенической оценке новых пестицидов. - Т.,1997. </w:t>
      </w:r>
    </w:p>
    <w:p w:rsidR="002C0F56" w:rsidRDefault="00E67C6E">
      <w:pPr>
        <w:numPr>
          <w:ilvl w:val="0"/>
          <w:numId w:val="279"/>
        </w:numPr>
        <w:ind w:right="302"/>
      </w:pPr>
      <w:r>
        <w:t xml:space="preserve">СанПиН РУз № 0213-06 «Гигиеническая классификация пестицидов по токсичности и опасности». - Т., 2006.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25" w:line="259" w:lineRule="auto"/>
        <w:ind w:right="305"/>
        <w:jc w:val="right"/>
      </w:pPr>
      <w:r>
        <w:t xml:space="preserve">Шестак Ю.В. </w:t>
      </w:r>
      <w:r>
        <w:rPr>
          <w:b w:val="0"/>
        </w:rPr>
        <w:t xml:space="preserve">Научный руководитель: Ванкович Г.Р. </w:t>
      </w:r>
    </w:p>
    <w:p w:rsidR="002C0F56" w:rsidRDefault="00E67C6E">
      <w:pPr>
        <w:spacing w:after="0" w:line="267" w:lineRule="auto"/>
        <w:ind w:left="905" w:right="306" w:hanging="10"/>
        <w:jc w:val="right"/>
      </w:pPr>
      <w:r>
        <w:rPr>
          <w:i/>
        </w:rPr>
        <w:t xml:space="preserve">Белорусский государственный экономический университет </w:t>
      </w:r>
    </w:p>
    <w:p w:rsidR="002C0F56" w:rsidRDefault="00E67C6E">
      <w:pPr>
        <w:spacing w:after="24" w:line="259" w:lineRule="auto"/>
        <w:ind w:left="1558" w:firstLine="0"/>
        <w:jc w:val="left"/>
      </w:pPr>
      <w:r>
        <w:t xml:space="preserve"> </w:t>
      </w:r>
    </w:p>
    <w:p w:rsidR="002C0F56" w:rsidRDefault="00E67C6E">
      <w:pPr>
        <w:pStyle w:val="1"/>
        <w:ind w:left="700" w:right="2"/>
      </w:pPr>
      <w:r>
        <w:lastRenderedPageBreak/>
        <w:t xml:space="preserve">3D-ТЕХНОЛОГИИ В МЕДИЦИНЕ </w:t>
      </w:r>
    </w:p>
    <w:p w:rsidR="002C0F56" w:rsidRDefault="00E67C6E">
      <w:pPr>
        <w:spacing w:after="23" w:line="259" w:lineRule="auto"/>
        <w:ind w:left="1558" w:firstLine="0"/>
        <w:jc w:val="left"/>
      </w:pPr>
      <w:r>
        <w:t xml:space="preserve"> </w:t>
      </w:r>
    </w:p>
    <w:p w:rsidR="002C0F56" w:rsidRDefault="00E67C6E">
      <w:pPr>
        <w:ind w:left="994" w:right="302"/>
      </w:pPr>
      <w:r>
        <w:t>3D-технологии – понятие, которое еще несколько десятилетий назад было мало кому известно, а сегодня это выражение слышал, пожалуй, каж</w:t>
      </w:r>
      <w:r>
        <w:t xml:space="preserve">дый человек хотя бы единожды. На сегодняшний день невозможно кого-то удивитьвыходом на экран фильма, игры  в 3D. Первоначально 3D-технологии ассоциировались с киноработами, играми,но уже сегодня данные технологии охватили различные сферы жизнедеятельности </w:t>
      </w:r>
      <w:r>
        <w:t xml:space="preserve">человека и многие специалисты освоили технологию в профессиональных целях.  </w:t>
      </w:r>
    </w:p>
    <w:p w:rsidR="002C0F56" w:rsidRDefault="00E67C6E">
      <w:pPr>
        <w:ind w:left="994" w:right="302"/>
      </w:pPr>
      <w:r>
        <w:t>Само понятие 3D-технологии подразумевает  собой создание трехмерной моделиcпомощью компьютерной техники, т.е. любой объект представлен в объемном виде. Трехмерная модель  первонач</w:t>
      </w:r>
      <w:r>
        <w:t>ально нашла применение в сфере компьютерной игры. Однако движение прогресса способствовало внедрению данных технологий в медицину,благодаря появлению на рынке 3D принтеров. Данная  методика дает возможноcтьрассмотреть конкретный клинический пример на практ</w:t>
      </w:r>
      <w:r>
        <w:t xml:space="preserve">ике, провести точную топическую диагностику различных патологий. Кроме того, появляется возможность обучающимся отработать практические навыки, провести в игровой форме тренировочные операции. [1] </w:t>
      </w:r>
    </w:p>
    <w:p w:rsidR="002C0F56" w:rsidRDefault="00E67C6E">
      <w:pPr>
        <w:spacing w:after="0"/>
        <w:ind w:left="994" w:right="302"/>
      </w:pPr>
      <w:r>
        <w:t>На основе компьютерной томографии в комплексе с трехмерной</w:t>
      </w:r>
      <w:r>
        <w:t xml:space="preserve"> печатью  возможно создать объемные модели в медицине.Сам процесс создания твердой 3Dсовершается в cледующей последовательности: трехмерные снимки пациентов создаются с помощью компьютерной томографии, трансформируются в изображение с хорошим разрешением, </w:t>
      </w:r>
      <w:r>
        <w:t xml:space="preserve">а затем — в трехмерные твердые 3D модели.[2] </w:t>
      </w:r>
    </w:p>
    <w:p w:rsidR="002C0F56" w:rsidRDefault="00E67C6E">
      <w:pPr>
        <w:ind w:left="994" w:right="302"/>
      </w:pPr>
      <w:r>
        <w:t>Данная технология позволяет более досконально изучить особенности болезни и  разработать план действий при выполнении операции. Например,хирург-онколог должен знать морфологические особенности опухоли в трехмер</w:t>
      </w:r>
      <w:r>
        <w:t xml:space="preserve">ном измерении, чтобы знать, как лучше действовать во время операции. </w:t>
      </w:r>
    </w:p>
    <w:p w:rsidR="002C0F56" w:rsidRDefault="00E67C6E">
      <w:pPr>
        <w:ind w:left="994" w:right="302"/>
      </w:pPr>
      <w:r>
        <w:t xml:space="preserve">С помощью применения 3D технологий сложные операции проводятся по следующей схеме: </w:t>
      </w:r>
      <w:r>
        <w:rPr>
          <w:rFonts w:ascii="Segoe UI Symbol" w:eastAsia="Segoe UI Symbol" w:hAnsi="Segoe UI Symbol" w:cs="Segoe UI Symbol"/>
        </w:rPr>
        <w:t></w:t>
      </w:r>
      <w:r>
        <w:rPr>
          <w:rFonts w:ascii="Arial" w:eastAsia="Arial" w:hAnsi="Arial" w:cs="Arial"/>
        </w:rPr>
        <w:t xml:space="preserve"> </w:t>
      </w:r>
      <w:r>
        <w:t xml:space="preserve">сканирование; </w:t>
      </w:r>
    </w:p>
    <w:p w:rsidR="002C0F56" w:rsidRDefault="00E67C6E">
      <w:pPr>
        <w:numPr>
          <w:ilvl w:val="0"/>
          <w:numId w:val="280"/>
        </w:numPr>
        <w:spacing w:after="12"/>
        <w:ind w:right="302" w:hanging="288"/>
      </w:pPr>
      <w:r>
        <w:t xml:space="preserve">изготовление пластиковой модели; </w:t>
      </w:r>
    </w:p>
    <w:p w:rsidR="002C0F56" w:rsidRDefault="00E67C6E">
      <w:pPr>
        <w:numPr>
          <w:ilvl w:val="0"/>
          <w:numId w:val="280"/>
        </w:numPr>
        <w:spacing w:after="12"/>
        <w:ind w:right="302" w:hanging="288"/>
      </w:pPr>
      <w:r>
        <w:t xml:space="preserve">изучение и выбор метода лечения; </w:t>
      </w:r>
    </w:p>
    <w:p w:rsidR="002C0F56" w:rsidRDefault="00E67C6E">
      <w:pPr>
        <w:numPr>
          <w:ilvl w:val="0"/>
          <w:numId w:val="280"/>
        </w:numPr>
        <w:spacing w:after="12"/>
        <w:ind w:right="302" w:hanging="288"/>
      </w:pPr>
      <w:r>
        <w:t xml:space="preserve">собственно лечение. [2]  </w:t>
      </w:r>
    </w:p>
    <w:p w:rsidR="002C0F56" w:rsidRDefault="00E67C6E">
      <w:pPr>
        <w:ind w:left="994" w:right="302"/>
      </w:pPr>
      <w:r>
        <w:t>Компьютерная томография 3D технологии — это  настоящая находка диагностирования. Постепенно трехмерное сканирование вытесняет пленочные плоскостные снимки. Так как данные аппараты обладают высоким потенциалом, активно используются</w:t>
      </w:r>
      <w:r>
        <w:t xml:space="preserve"> в стоматологических исследованиях, челюстно-лицевой хирургии. Позволяют поставить максимально точный диагноз, что является гарантией полной уверенности в эффективности, качестве медицинских услуг. </w:t>
      </w:r>
    </w:p>
    <w:p w:rsidR="002C0F56" w:rsidRDefault="00E67C6E">
      <w:pPr>
        <w:ind w:left="994" w:right="302"/>
      </w:pPr>
      <w:r>
        <w:lastRenderedPageBreak/>
        <w:t>На сегодняшний день трехмерная печать наиболее широко исп</w:t>
      </w:r>
      <w:r>
        <w:t>ользуется в стоматологии, хирургии.Благодаря данным технологиям можно  изготовить цельный имплант конкретному пациенту,создать макет больного органа,который обеспечит качественную  диагностику и необходимое операционное вмешательство. Таким образом, хирург</w:t>
      </w:r>
      <w:r>
        <w:t xml:space="preserve"> который имеет  в качестве примера огромную 3D модель проще и увереннее  ориентируется во время операции. </w:t>
      </w:r>
    </w:p>
    <w:p w:rsidR="002C0F56" w:rsidRDefault="00E67C6E">
      <w:pPr>
        <w:ind w:left="994" w:right="302"/>
      </w:pPr>
      <w:r>
        <w:t>Технология позволяет создавать с помощью принтера различные протезы, которыеидеально подходят конкретному пациенту. Материалом для создания трехмерны</w:t>
      </w:r>
      <w:r>
        <w:t>х моделей является пластик и металл. Данные материалы контактируют с теплом человека, но не контактируют с кровью. Пластиковые, металлические импланты с каждым днем все масштабнее завоевывают  рынок медицинских услуг. Развитие 3D сканеров влечет развитие 3</w:t>
      </w:r>
      <w:r>
        <w:t xml:space="preserve">D принтеров. Врачи готовы печатать не только вены, нервы, но целые органы для трансплантации. Уже сегодня протезы изготавливают не только из титана, но из собственных стволовых клеток пациента. </w:t>
      </w:r>
    </w:p>
    <w:p w:rsidR="002C0F56" w:rsidRDefault="00E67C6E">
      <w:pPr>
        <w:ind w:left="994" w:right="302"/>
      </w:pPr>
      <w:r>
        <w:t>Широкое применение 3Dтехнология нашла при протезировании зубо</w:t>
      </w:r>
      <w:r>
        <w:t xml:space="preserve">в:теперь используется небольшая камера, сразу передающая трехмерное изображение на монитор компьютера, где уже создается наиболее оптимальная модель реставрации зуба, а специальный станок вытачивает протез в кратчайшие сроки. [3] </w:t>
      </w:r>
    </w:p>
    <w:p w:rsidR="002C0F56" w:rsidRDefault="00E67C6E">
      <w:pPr>
        <w:spacing w:after="14"/>
        <w:ind w:left="994" w:right="302"/>
      </w:pPr>
      <w:r>
        <w:t>Для создания высоко детал</w:t>
      </w:r>
      <w:r>
        <w:t xml:space="preserve">изированной  репродукции комплексных органов и строения костей используются 3D-сканеры,что способствует получению более качественного медицинского образования и обслуживания.  Более того, 3D-сканер существенно облегчает изготовление ортодонтических скоб и </w:t>
      </w:r>
      <w:r>
        <w:t xml:space="preserve">других приспособлений для точной поддержки по индивидуальным заказам. </w:t>
      </w:r>
    </w:p>
    <w:p w:rsidR="002C0F56" w:rsidRDefault="00E67C6E">
      <w:pPr>
        <w:spacing w:after="1"/>
        <w:ind w:left="994" w:right="302"/>
      </w:pPr>
      <w:r>
        <w:t>Таким образом, компьютерные технологии приобретают все большее значение в нашей жизни. 3D технологии имеют ряд преимуществ по сравнению с традиционными методами диагностики, лечения и о</w:t>
      </w:r>
      <w:r>
        <w:t>перационного вмешательства. В первую очередь,они дают возможность воплотить любую идею в трехмерную модель и решить определённые вопросы, отработать практические навыки и повысить уровень подготовки обучающихся медицинских учреждений, что  сделает медицинс</w:t>
      </w:r>
      <w:r>
        <w:t xml:space="preserve">кое обслуживание еще более качественным и эффективным. Организации здравоохранения и учреждения образования, которые введут в практику 3D-моделирование, будут востребованыи конкурентоспособны в условиях меняющегося рынка медицинских услуг.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Список литера</w:t>
      </w:r>
      <w:r>
        <w:t xml:space="preserve">туры: </w:t>
      </w:r>
    </w:p>
    <w:p w:rsidR="002C0F56" w:rsidRDefault="00E67C6E">
      <w:pPr>
        <w:ind w:left="994" w:right="302"/>
      </w:pPr>
      <w:r>
        <w:t xml:space="preserve">1. Использование 3D технологий в медицине [Электронный ресурс]. Режим доступа: http://rosomed.ru/theses/127.- Дата доступа:20.04.2017 </w:t>
      </w:r>
    </w:p>
    <w:p w:rsidR="002C0F56" w:rsidRDefault="00E67C6E">
      <w:pPr>
        <w:ind w:left="994" w:right="302"/>
      </w:pPr>
      <w:r>
        <w:lastRenderedPageBreak/>
        <w:t>2.3D технологии томография и моделирования в медицине[Электронный ресурс]. Режим доступа: http://medicalinsider.ru</w:t>
      </w:r>
      <w:r>
        <w:t xml:space="preserve">/meditsinskaya_tekhnika/3dtekhnologii-tomografiya-i-modelirovaniya-v-medicine/.-Дата доступа: 19.04.2017 </w:t>
      </w:r>
    </w:p>
    <w:p w:rsidR="002C0F56" w:rsidRDefault="00E67C6E">
      <w:pPr>
        <w:spacing w:after="3"/>
        <w:ind w:left="1558" w:right="302" w:firstLine="0"/>
      </w:pPr>
      <w:r>
        <w:t xml:space="preserve">3. 3D технологий в медицине [Электронный ресурс]. Режим доступа:  http://smartsolut.ru/menu/medicine/3dtech/.- Дата доступа:20.04.2017 </w:t>
      </w:r>
    </w:p>
    <w:p w:rsidR="002C0F56" w:rsidRDefault="00E67C6E">
      <w:pPr>
        <w:spacing w:after="0" w:line="259" w:lineRule="auto"/>
        <w:ind w:left="1558" w:firstLine="0"/>
        <w:jc w:val="left"/>
      </w:pPr>
      <w:r>
        <w:rPr>
          <w:b/>
        </w:rPr>
        <w:t xml:space="preserve"> </w:t>
      </w:r>
    </w:p>
    <w:p w:rsidR="002C0F56" w:rsidRDefault="00E67C6E">
      <w:pPr>
        <w:spacing w:after="28" w:line="259" w:lineRule="auto"/>
        <w:ind w:left="1558" w:firstLine="0"/>
        <w:jc w:val="left"/>
      </w:pPr>
      <w:r>
        <w:rPr>
          <w:b/>
        </w:rPr>
        <w:t xml:space="preserve"> </w:t>
      </w:r>
    </w:p>
    <w:p w:rsidR="002C0F56" w:rsidRDefault="00E67C6E">
      <w:pPr>
        <w:pStyle w:val="1"/>
        <w:spacing w:after="25" w:line="259" w:lineRule="auto"/>
        <w:ind w:right="306"/>
        <w:jc w:val="right"/>
      </w:pPr>
      <w:r>
        <w:t xml:space="preserve">Шкурко И.В. </w:t>
      </w:r>
      <w:r>
        <w:rPr>
          <w:b w:val="0"/>
        </w:rPr>
        <w:t xml:space="preserve">Научный руководитель: Корниенко Е.В., к.соц.н., доц.  </w:t>
      </w:r>
    </w:p>
    <w:p w:rsidR="002C0F56" w:rsidRDefault="00E67C6E">
      <w:pPr>
        <w:spacing w:after="0" w:line="267" w:lineRule="auto"/>
        <w:ind w:left="905" w:right="311" w:hanging="10"/>
        <w:jc w:val="right"/>
      </w:pPr>
      <w:r>
        <w:rPr>
          <w:i/>
        </w:rPr>
        <w:t xml:space="preserve">Таганрогский институт управления и экономики </w:t>
      </w:r>
    </w:p>
    <w:p w:rsidR="002C0F56" w:rsidRDefault="00E67C6E">
      <w:pPr>
        <w:spacing w:after="0" w:line="259" w:lineRule="auto"/>
        <w:ind w:left="1558" w:firstLine="0"/>
        <w:jc w:val="left"/>
      </w:pPr>
      <w:r>
        <w:rPr>
          <w:i/>
        </w:rPr>
        <w:t xml:space="preserve"> </w:t>
      </w:r>
    </w:p>
    <w:p w:rsidR="002C0F56" w:rsidRDefault="00E67C6E">
      <w:pPr>
        <w:pStyle w:val="1"/>
        <w:ind w:left="700" w:right="4"/>
      </w:pPr>
      <w:r>
        <w:t xml:space="preserve">СОЦИОЛОГИЧЕСКИЙ АНАЛИЗ АДАПТАЦИИ МОЛОДЫХ СПЕЦИАЛИСТОВ НА ПРЕДПРИЯТИИ  </w:t>
      </w:r>
    </w:p>
    <w:p w:rsidR="002C0F56" w:rsidRDefault="00E67C6E">
      <w:pPr>
        <w:spacing w:after="0" w:line="259" w:lineRule="auto"/>
        <w:ind w:left="1558" w:firstLine="0"/>
        <w:jc w:val="left"/>
      </w:pPr>
      <w:r>
        <w:rPr>
          <w:b/>
        </w:rPr>
        <w:t xml:space="preserve"> </w:t>
      </w:r>
    </w:p>
    <w:p w:rsidR="002C0F56" w:rsidRDefault="00E67C6E">
      <w:pPr>
        <w:spacing w:after="13"/>
        <w:ind w:left="994" w:right="302"/>
      </w:pPr>
      <w:r>
        <w:t>В современных условиях большое значение приобретают вопросы формирования кадровой среды российских организаций. Особенно становится важным установление таких социальных пропорций в основных характеристиках персонала организаций, которые способствуют ее рос</w:t>
      </w:r>
      <w:r>
        <w:t>ту и развитию, в том числе, за счет привлечения и закрепления в кадровом составе профессионально подготовленных молодых специалистов. Это актуализирует проблему их адаптации в современной организации, поиска новых управленческих средств, методов и технолог</w:t>
      </w:r>
      <w:r>
        <w:t xml:space="preserve">ий ее успешного осуществления [1]. </w:t>
      </w:r>
    </w:p>
    <w:p w:rsidR="002C0F56" w:rsidRDefault="00E67C6E">
      <w:pPr>
        <w:spacing w:after="5"/>
        <w:ind w:left="994" w:right="302" w:firstLine="0"/>
      </w:pPr>
      <w:r>
        <w:t xml:space="preserve"> ПАО "ТАНТК им. Г.М. Бериева" - динамично развивающееся предприятие в рамках Объединенной авиастроительной корпорации. Объединив потенциал конструкторского бюро и опытного самолетостроения с серийным производством, компл</w:t>
      </w:r>
      <w:r>
        <w:t xml:space="preserve">екс ставит перед собой амбициозные цели - выпуск конкурентоспособной, современной авиационной техники для российских и зарубежных заказчиков [2]. </w:t>
      </w:r>
    </w:p>
    <w:p w:rsidR="002C0F56" w:rsidRDefault="00E67C6E">
      <w:pPr>
        <w:spacing w:after="3"/>
        <w:ind w:left="994" w:right="302"/>
      </w:pPr>
      <w:r>
        <w:t>Для проведения исследования проблемы адаптации молодых специалистов на предприятии ПАО «ТАНТКим. Г.М.Бериева»</w:t>
      </w:r>
      <w:r>
        <w:t xml:space="preserve"> был использован метод анкетирования. Было опрошено 20 молодых специалистов предприятия. Для анализа была составлена таблица линейного разброса. </w:t>
      </w:r>
    </w:p>
    <w:p w:rsidR="002C0F56" w:rsidRDefault="00E67C6E">
      <w:pPr>
        <w:spacing w:after="0"/>
        <w:ind w:left="994" w:right="302"/>
      </w:pPr>
      <w:r>
        <w:t>Из приведенного анализа, можно сделать вывод, что на предприятии в состав молодых специалистов входят работник</w:t>
      </w:r>
      <w:r>
        <w:t>и, возраст которых от 18 до 35 лет в общей сложности (рисунок 1), с высшим образованием (65%) (рисунок 2). Также мы выяснили, что часть работников (45%) удовлетворены уровнем профессиональной подготовки, но и часть персонала частично удовлетворены професси</w:t>
      </w:r>
      <w:r>
        <w:t xml:space="preserve">ональной подготовкой (45%).  </w:t>
      </w:r>
    </w:p>
    <w:p w:rsidR="002C0F56" w:rsidRDefault="00E67C6E">
      <w:pPr>
        <w:spacing w:after="0" w:line="259" w:lineRule="auto"/>
        <w:ind w:left="1558" w:right="1479" w:firstLine="0"/>
        <w:jc w:val="left"/>
      </w:pPr>
      <w:r>
        <w:t xml:space="preserve"> </w:t>
      </w:r>
    </w:p>
    <w:p w:rsidR="002C0F56" w:rsidRDefault="00E67C6E">
      <w:pPr>
        <w:spacing w:after="0" w:line="259" w:lineRule="auto"/>
        <w:ind w:left="0" w:right="1406" w:firstLine="0"/>
        <w:jc w:val="right"/>
      </w:pPr>
      <w:r>
        <w:rPr>
          <w:noProof/>
        </w:rPr>
        <w:lastRenderedPageBreak/>
        <w:drawing>
          <wp:inline distT="0" distB="0" distL="0" distR="0">
            <wp:extent cx="4279265" cy="1859280"/>
            <wp:effectExtent l="0" t="0" r="0" b="0"/>
            <wp:docPr id="84965" name="Picture 84965"/>
            <wp:cNvGraphicFramePr/>
            <a:graphic xmlns:a="http://schemas.openxmlformats.org/drawingml/2006/main">
              <a:graphicData uri="http://schemas.openxmlformats.org/drawingml/2006/picture">
                <pic:pic xmlns:pic="http://schemas.openxmlformats.org/drawingml/2006/picture">
                  <pic:nvPicPr>
                    <pic:cNvPr id="84965" name="Picture 84965"/>
                    <pic:cNvPicPr/>
                  </pic:nvPicPr>
                  <pic:blipFill>
                    <a:blip r:embed="rId1398"/>
                    <a:stretch>
                      <a:fillRect/>
                    </a:stretch>
                  </pic:blipFill>
                  <pic:spPr>
                    <a:xfrm>
                      <a:off x="0" y="0"/>
                      <a:ext cx="4279265" cy="1859280"/>
                    </a:xfrm>
                    <a:prstGeom prst="rect">
                      <a:avLst/>
                    </a:prstGeom>
                  </pic:spPr>
                </pic:pic>
              </a:graphicData>
            </a:graphic>
          </wp:inline>
        </w:drawing>
      </w:r>
      <w:r>
        <w:t xml:space="preserve"> </w:t>
      </w:r>
    </w:p>
    <w:p w:rsidR="002C0F56" w:rsidRDefault="00E67C6E">
      <w:pPr>
        <w:pStyle w:val="4"/>
        <w:ind w:left="1181" w:right="4"/>
      </w:pPr>
      <w:r>
        <w:t xml:space="preserve">Рис. 1. Возраст молодых специалистов </w:t>
      </w:r>
    </w:p>
    <w:p w:rsidR="002C0F56" w:rsidRDefault="00E67C6E">
      <w:pPr>
        <w:spacing w:after="0" w:line="259" w:lineRule="auto"/>
        <w:ind w:left="1558" w:right="1728" w:firstLine="0"/>
        <w:jc w:val="left"/>
      </w:pPr>
      <w:r>
        <w:t xml:space="preserve"> </w:t>
      </w:r>
    </w:p>
    <w:p w:rsidR="002C0F56" w:rsidRDefault="00E67C6E">
      <w:pPr>
        <w:spacing w:after="0" w:line="259" w:lineRule="auto"/>
        <w:ind w:left="0" w:right="1656" w:firstLine="0"/>
        <w:jc w:val="right"/>
      </w:pPr>
      <w:r>
        <w:rPr>
          <w:noProof/>
        </w:rPr>
        <w:drawing>
          <wp:inline distT="0" distB="0" distL="0" distR="0">
            <wp:extent cx="3962400" cy="1993265"/>
            <wp:effectExtent l="0" t="0" r="0" b="0"/>
            <wp:docPr id="84974" name="Picture 84974"/>
            <wp:cNvGraphicFramePr/>
            <a:graphic xmlns:a="http://schemas.openxmlformats.org/drawingml/2006/main">
              <a:graphicData uri="http://schemas.openxmlformats.org/drawingml/2006/picture">
                <pic:pic xmlns:pic="http://schemas.openxmlformats.org/drawingml/2006/picture">
                  <pic:nvPicPr>
                    <pic:cNvPr id="84974" name="Picture 84974"/>
                    <pic:cNvPicPr/>
                  </pic:nvPicPr>
                  <pic:blipFill>
                    <a:blip r:embed="rId1399"/>
                    <a:stretch>
                      <a:fillRect/>
                    </a:stretch>
                  </pic:blipFill>
                  <pic:spPr>
                    <a:xfrm>
                      <a:off x="0" y="0"/>
                      <a:ext cx="3962400" cy="1993265"/>
                    </a:xfrm>
                    <a:prstGeom prst="rect">
                      <a:avLst/>
                    </a:prstGeom>
                  </pic:spPr>
                </pic:pic>
              </a:graphicData>
            </a:graphic>
          </wp:inline>
        </w:drawing>
      </w:r>
      <w:r>
        <w:t xml:space="preserve"> </w:t>
      </w:r>
    </w:p>
    <w:p w:rsidR="002C0F56" w:rsidRDefault="00E67C6E">
      <w:pPr>
        <w:pStyle w:val="4"/>
        <w:ind w:left="1181" w:right="2"/>
      </w:pPr>
      <w:r>
        <w:t xml:space="preserve">Рис.2. Уровень образования работников </w:t>
      </w:r>
    </w:p>
    <w:p w:rsidR="002C0F56" w:rsidRDefault="00E67C6E">
      <w:pPr>
        <w:spacing w:after="0" w:line="259" w:lineRule="auto"/>
        <w:ind w:left="1558" w:firstLine="0"/>
        <w:jc w:val="left"/>
      </w:pPr>
      <w:r>
        <w:t xml:space="preserve"> </w:t>
      </w:r>
    </w:p>
    <w:p w:rsidR="002C0F56" w:rsidRDefault="00E67C6E">
      <w:pPr>
        <w:spacing w:after="0"/>
        <w:ind w:left="994" w:right="302"/>
      </w:pPr>
      <w:r>
        <w:t>Это говорит о том, что на предприятие берут работников, знающих свое дело и нацеленных на то, чтобы деятельность предприятия и его продукция были качественными. Как оказалось, большинству работников, а именно 35% от количества опрошенных, не требуется тако</w:t>
      </w:r>
      <w:r>
        <w:t>й большой срок для адаптации на рабочем месте на предприятии. Для предприятия и наставников, которые были прикреплены к молодым специалистам это очень хорошо, т.к. это сокращает растрату времени на адаптацию нового сотрудника, и в какой-то степени приводит</w:t>
      </w:r>
      <w:r>
        <w:t xml:space="preserve"> к росту производительности предприятия. </w:t>
      </w:r>
    </w:p>
    <w:p w:rsidR="002C0F56" w:rsidRDefault="00E67C6E">
      <w:pPr>
        <w:spacing w:after="2"/>
        <w:ind w:left="994" w:right="302"/>
      </w:pPr>
      <w:r>
        <w:t>В ходе опроса было выявлено, что для молодого персонала более важны в профессиональной деятельности: уровень заработной платы (50%), соответствие характера работы склонностям и способностям работника (40%) (рисунок</w:t>
      </w:r>
      <w:r>
        <w:t xml:space="preserve"> 3). </w:t>
      </w:r>
    </w:p>
    <w:p w:rsidR="002C0F56" w:rsidRDefault="00E67C6E">
      <w:pPr>
        <w:spacing w:after="0" w:line="259" w:lineRule="auto"/>
        <w:ind w:left="1558" w:right="970" w:firstLine="0"/>
        <w:jc w:val="left"/>
      </w:pPr>
      <w:r>
        <w:t xml:space="preserve"> </w:t>
      </w:r>
    </w:p>
    <w:p w:rsidR="002C0F56" w:rsidRDefault="00E67C6E">
      <w:pPr>
        <w:spacing w:after="0" w:line="259" w:lineRule="auto"/>
        <w:ind w:left="0" w:right="897" w:firstLine="0"/>
        <w:jc w:val="right"/>
      </w:pPr>
      <w:r>
        <w:rPr>
          <w:noProof/>
        </w:rPr>
        <w:lastRenderedPageBreak/>
        <w:drawing>
          <wp:inline distT="0" distB="0" distL="0" distR="0">
            <wp:extent cx="4925695" cy="2432050"/>
            <wp:effectExtent l="0" t="0" r="0" b="0"/>
            <wp:docPr id="85015" name="Picture 85015"/>
            <wp:cNvGraphicFramePr/>
            <a:graphic xmlns:a="http://schemas.openxmlformats.org/drawingml/2006/main">
              <a:graphicData uri="http://schemas.openxmlformats.org/drawingml/2006/picture">
                <pic:pic xmlns:pic="http://schemas.openxmlformats.org/drawingml/2006/picture">
                  <pic:nvPicPr>
                    <pic:cNvPr id="85015" name="Picture 85015"/>
                    <pic:cNvPicPr/>
                  </pic:nvPicPr>
                  <pic:blipFill>
                    <a:blip r:embed="rId1400"/>
                    <a:stretch>
                      <a:fillRect/>
                    </a:stretch>
                  </pic:blipFill>
                  <pic:spPr>
                    <a:xfrm>
                      <a:off x="0" y="0"/>
                      <a:ext cx="4925695" cy="2432050"/>
                    </a:xfrm>
                    <a:prstGeom prst="rect">
                      <a:avLst/>
                    </a:prstGeom>
                  </pic:spPr>
                </pic:pic>
              </a:graphicData>
            </a:graphic>
          </wp:inline>
        </w:drawing>
      </w:r>
      <w:r>
        <w:t xml:space="preserve"> </w:t>
      </w:r>
    </w:p>
    <w:p w:rsidR="002C0F56" w:rsidRDefault="00E67C6E">
      <w:pPr>
        <w:spacing w:after="5" w:line="271" w:lineRule="auto"/>
        <w:ind w:left="3243" w:right="396" w:hanging="10"/>
        <w:jc w:val="left"/>
      </w:pPr>
      <w:r>
        <w:rPr>
          <w:b/>
          <w:sz w:val="24"/>
        </w:rPr>
        <w:t xml:space="preserve">Рис. 3. Важность в профессиональной деятельности </w:t>
      </w:r>
    </w:p>
    <w:p w:rsidR="002C0F56" w:rsidRDefault="00E67C6E">
      <w:pPr>
        <w:spacing w:after="0" w:line="259" w:lineRule="auto"/>
        <w:ind w:left="1558" w:firstLine="0"/>
        <w:jc w:val="left"/>
      </w:pPr>
      <w:r>
        <w:t xml:space="preserve"> </w:t>
      </w:r>
    </w:p>
    <w:p w:rsidR="002C0F56" w:rsidRDefault="00E67C6E">
      <w:pPr>
        <w:spacing w:after="0"/>
        <w:ind w:left="994" w:right="302"/>
      </w:pPr>
      <w:r>
        <w:t>Однако, одной из проблем, с которыми приходилось сталкиваться работникам на рабочем месте, является содержание профессиональной деятельности (45%). Это говорит о том, что не все хорошо ознакомлены со своей деятельностью, и данные люди требуют большего вним</w:t>
      </w:r>
      <w:r>
        <w:t xml:space="preserve">ания к себе от наставников и коллег. Материалы исследования показывают, что значительная часть молодых специалистов в большей степени адаптировались с помощью коллег по работе, но не наставников, а именно 60% от общего количества опрошенных (рисунок 4). </w:t>
      </w:r>
    </w:p>
    <w:p w:rsidR="002C0F56" w:rsidRDefault="00E67C6E">
      <w:pPr>
        <w:spacing w:after="0"/>
        <w:ind w:left="994" w:right="302"/>
      </w:pPr>
      <w:r>
        <w:t>В</w:t>
      </w:r>
      <w:r>
        <w:t xml:space="preserve"> ходе исследования было выявлено, что на данном предприятии действует система поддержки для молодых сотрудников. Это немало важно для самих сотрудников и предприятия в целом. В ходе адаптации специалистов было выявлено, что работники испытывают удовлетворе</w:t>
      </w:r>
      <w:r>
        <w:t xml:space="preserve">ние от профессии (рисунок 5). </w:t>
      </w:r>
    </w:p>
    <w:p w:rsidR="002C0F56" w:rsidRDefault="00E67C6E">
      <w:pPr>
        <w:spacing w:after="0" w:line="259" w:lineRule="auto"/>
        <w:ind w:left="1558" w:firstLine="0"/>
        <w:jc w:val="left"/>
      </w:pPr>
      <w:r>
        <w:t xml:space="preserve"> </w:t>
      </w:r>
    </w:p>
    <w:p w:rsidR="002C0F56" w:rsidRDefault="00E67C6E">
      <w:pPr>
        <w:spacing w:after="0" w:line="259" w:lineRule="auto"/>
        <w:ind w:left="0" w:right="1805" w:firstLine="0"/>
        <w:jc w:val="right"/>
      </w:pPr>
      <w:r>
        <w:rPr>
          <w:noProof/>
        </w:rPr>
        <w:drawing>
          <wp:inline distT="0" distB="0" distL="0" distR="0">
            <wp:extent cx="4766945" cy="2243455"/>
            <wp:effectExtent l="0" t="0" r="0" b="0"/>
            <wp:docPr id="85063" name="Picture 85063"/>
            <wp:cNvGraphicFramePr/>
            <a:graphic xmlns:a="http://schemas.openxmlformats.org/drawingml/2006/main">
              <a:graphicData uri="http://schemas.openxmlformats.org/drawingml/2006/picture">
                <pic:pic xmlns:pic="http://schemas.openxmlformats.org/drawingml/2006/picture">
                  <pic:nvPicPr>
                    <pic:cNvPr id="85063" name="Picture 85063"/>
                    <pic:cNvPicPr/>
                  </pic:nvPicPr>
                  <pic:blipFill>
                    <a:blip r:embed="rId1401"/>
                    <a:stretch>
                      <a:fillRect/>
                    </a:stretch>
                  </pic:blipFill>
                  <pic:spPr>
                    <a:xfrm>
                      <a:off x="0" y="0"/>
                      <a:ext cx="4766945" cy="2243455"/>
                    </a:xfrm>
                    <a:prstGeom prst="rect">
                      <a:avLst/>
                    </a:prstGeom>
                  </pic:spPr>
                </pic:pic>
              </a:graphicData>
            </a:graphic>
          </wp:inline>
        </w:drawing>
      </w:r>
      <w:r>
        <w:t xml:space="preserve"> </w:t>
      </w:r>
    </w:p>
    <w:p w:rsidR="002C0F56" w:rsidRDefault="00E67C6E">
      <w:pPr>
        <w:pStyle w:val="4"/>
        <w:ind w:left="1181" w:right="1"/>
      </w:pPr>
      <w:r>
        <w:t xml:space="preserve">Рис. 4. Помощь в процессе адаптации </w:t>
      </w:r>
    </w:p>
    <w:p w:rsidR="002C0F56" w:rsidRDefault="00E67C6E">
      <w:pPr>
        <w:spacing w:after="0" w:line="259" w:lineRule="auto"/>
        <w:ind w:left="1558" w:firstLine="0"/>
        <w:jc w:val="left"/>
      </w:pPr>
      <w:r>
        <w:t xml:space="preserve"> </w:t>
      </w:r>
    </w:p>
    <w:p w:rsidR="002C0F56" w:rsidRDefault="00E67C6E">
      <w:pPr>
        <w:spacing w:after="0" w:line="259" w:lineRule="auto"/>
        <w:ind w:left="2747" w:firstLine="0"/>
        <w:jc w:val="left"/>
      </w:pPr>
      <w:r>
        <w:rPr>
          <w:rFonts w:ascii="Calibri" w:eastAsia="Calibri" w:hAnsi="Calibri" w:cs="Calibri"/>
          <w:noProof/>
          <w:sz w:val="22"/>
        </w:rPr>
        <w:lastRenderedPageBreak/>
        <mc:AlternateContent>
          <mc:Choice Requires="wpg">
            <w:drawing>
              <wp:inline distT="0" distB="0" distL="0" distR="0">
                <wp:extent cx="4347102" cy="2188650"/>
                <wp:effectExtent l="0" t="0" r="0" b="0"/>
                <wp:docPr id="688442" name="Group 688442"/>
                <wp:cNvGraphicFramePr/>
                <a:graphic xmlns:a="http://schemas.openxmlformats.org/drawingml/2006/main">
                  <a:graphicData uri="http://schemas.microsoft.com/office/word/2010/wordprocessingGroup">
                    <wpg:wgp>
                      <wpg:cNvGrpSpPr/>
                      <wpg:grpSpPr>
                        <a:xfrm>
                          <a:off x="0" y="0"/>
                          <a:ext cx="4347102" cy="2188650"/>
                          <a:chOff x="0" y="0"/>
                          <a:chExt cx="4347102" cy="2188650"/>
                        </a:xfrm>
                      </wpg:grpSpPr>
                      <pic:pic xmlns:pic="http://schemas.openxmlformats.org/drawingml/2006/picture">
                        <pic:nvPicPr>
                          <pic:cNvPr id="85073" name="Picture 85073"/>
                          <pic:cNvPicPr/>
                        </pic:nvPicPr>
                        <pic:blipFill>
                          <a:blip r:embed="rId1402"/>
                          <a:stretch>
                            <a:fillRect/>
                          </a:stretch>
                        </pic:blipFill>
                        <pic:spPr>
                          <a:xfrm>
                            <a:off x="390000" y="167449"/>
                            <a:ext cx="3601284" cy="1699090"/>
                          </a:xfrm>
                          <a:prstGeom prst="rect">
                            <a:avLst/>
                          </a:prstGeom>
                        </pic:spPr>
                      </pic:pic>
                      <wps:wsp>
                        <wps:cNvPr id="85074" name="Rectangle 85074"/>
                        <wps:cNvSpPr/>
                        <wps:spPr>
                          <a:xfrm>
                            <a:off x="3320463" y="151855"/>
                            <a:ext cx="218288" cy="17119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 xml:space="preserve">да </w:t>
                              </w:r>
                            </w:p>
                          </w:txbxContent>
                        </wps:txbx>
                        <wps:bodyPr horzOverflow="overflow" vert="horz" lIns="0" tIns="0" rIns="0" bIns="0" rtlCol="0">
                          <a:noAutofit/>
                        </wps:bodyPr>
                      </wps:wsp>
                      <wps:wsp>
                        <wps:cNvPr id="688352" name="Rectangle 688352"/>
                        <wps:cNvSpPr/>
                        <wps:spPr>
                          <a:xfrm>
                            <a:off x="3277807" y="307160"/>
                            <a:ext cx="170363" cy="17119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30</w:t>
                              </w:r>
                            </w:p>
                          </w:txbxContent>
                        </wps:txbx>
                        <wps:bodyPr horzOverflow="overflow" vert="horz" lIns="0" tIns="0" rIns="0" bIns="0" rtlCol="0">
                          <a:noAutofit/>
                        </wps:bodyPr>
                      </wps:wsp>
                      <wps:wsp>
                        <wps:cNvPr id="688353" name="Rectangle 688353"/>
                        <wps:cNvSpPr/>
                        <wps:spPr>
                          <a:xfrm>
                            <a:off x="3405776" y="307160"/>
                            <a:ext cx="122598" cy="17119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w:t>
                              </w:r>
                            </w:p>
                          </w:txbxContent>
                        </wps:txbx>
                        <wps:bodyPr horzOverflow="overflow" vert="horz" lIns="0" tIns="0" rIns="0" bIns="0" rtlCol="0">
                          <a:noAutofit/>
                        </wps:bodyPr>
                      </wps:wsp>
                      <wps:wsp>
                        <wps:cNvPr id="85076" name="Rectangle 85076"/>
                        <wps:cNvSpPr/>
                        <wps:spPr>
                          <a:xfrm>
                            <a:off x="886033" y="1727233"/>
                            <a:ext cx="723030" cy="171611"/>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скорее да</w:t>
                              </w:r>
                            </w:p>
                          </w:txbxContent>
                        </wps:txbx>
                        <wps:bodyPr horzOverflow="overflow" vert="horz" lIns="0" tIns="0" rIns="0" bIns="0" rtlCol="0">
                          <a:noAutofit/>
                        </wps:bodyPr>
                      </wps:wsp>
                      <wps:wsp>
                        <wps:cNvPr id="688356" name="Rectangle 688356"/>
                        <wps:cNvSpPr/>
                        <wps:spPr>
                          <a:xfrm>
                            <a:off x="1047517" y="1883072"/>
                            <a:ext cx="170363" cy="17119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45</w:t>
                              </w:r>
                            </w:p>
                          </w:txbxContent>
                        </wps:txbx>
                        <wps:bodyPr horzOverflow="overflow" vert="horz" lIns="0" tIns="0" rIns="0" bIns="0" rtlCol="0">
                          <a:noAutofit/>
                        </wps:bodyPr>
                      </wps:wsp>
                      <wps:wsp>
                        <wps:cNvPr id="688357" name="Rectangle 688357"/>
                        <wps:cNvSpPr/>
                        <wps:spPr>
                          <a:xfrm>
                            <a:off x="1175486" y="1883072"/>
                            <a:ext cx="122598" cy="17119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w:t>
                              </w:r>
                            </w:p>
                          </w:txbxContent>
                        </wps:txbx>
                        <wps:bodyPr horzOverflow="overflow" vert="horz" lIns="0" tIns="0" rIns="0" bIns="0" rtlCol="0">
                          <a:noAutofit/>
                        </wps:bodyPr>
                      </wps:wsp>
                      <wps:wsp>
                        <wps:cNvPr id="85078" name="Rectangle 85078"/>
                        <wps:cNvSpPr/>
                        <wps:spPr>
                          <a:xfrm>
                            <a:off x="340032" y="114451"/>
                            <a:ext cx="979943" cy="17160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 xml:space="preserve">затрудняюсь </w:t>
                              </w:r>
                            </w:p>
                          </w:txbxContent>
                        </wps:txbx>
                        <wps:bodyPr horzOverflow="overflow" vert="horz" lIns="0" tIns="0" rIns="0" bIns="0" rtlCol="0">
                          <a:noAutofit/>
                        </wps:bodyPr>
                      </wps:wsp>
                      <wps:wsp>
                        <wps:cNvPr id="85079" name="Rectangle 85079"/>
                        <wps:cNvSpPr/>
                        <wps:spPr>
                          <a:xfrm>
                            <a:off x="457337" y="270363"/>
                            <a:ext cx="630310" cy="17119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ответить</w:t>
                              </w:r>
                            </w:p>
                          </w:txbxContent>
                        </wps:txbx>
                        <wps:bodyPr horzOverflow="overflow" vert="horz" lIns="0" tIns="0" rIns="0" bIns="0" rtlCol="0">
                          <a:noAutofit/>
                        </wps:bodyPr>
                      </wps:wsp>
                      <wps:wsp>
                        <wps:cNvPr id="688354" name="Rectangle 688354"/>
                        <wps:cNvSpPr/>
                        <wps:spPr>
                          <a:xfrm>
                            <a:off x="583782" y="425668"/>
                            <a:ext cx="170363" cy="17119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20</w:t>
                              </w:r>
                            </w:p>
                          </w:txbxContent>
                        </wps:txbx>
                        <wps:bodyPr horzOverflow="overflow" vert="horz" lIns="0" tIns="0" rIns="0" bIns="0" rtlCol="0">
                          <a:noAutofit/>
                        </wps:bodyPr>
                      </wps:wsp>
                      <wps:wsp>
                        <wps:cNvPr id="688355" name="Rectangle 688355"/>
                        <wps:cNvSpPr/>
                        <wps:spPr>
                          <a:xfrm>
                            <a:off x="711751" y="425668"/>
                            <a:ext cx="122598" cy="171198"/>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w:t>
                              </w:r>
                            </w:p>
                          </w:txbxContent>
                        </wps:txbx>
                        <wps:bodyPr horzOverflow="overflow" vert="horz" lIns="0" tIns="0" rIns="0" bIns="0" rtlCol="0">
                          <a:noAutofit/>
                        </wps:bodyPr>
                      </wps:wsp>
                      <wps:wsp>
                        <wps:cNvPr id="85081" name="Rectangle 85081"/>
                        <wps:cNvSpPr/>
                        <wps:spPr>
                          <a:xfrm>
                            <a:off x="1220021" y="44638"/>
                            <a:ext cx="784020" cy="17120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скорее нет</w:t>
                              </w:r>
                            </w:p>
                          </w:txbxContent>
                        </wps:txbx>
                        <wps:bodyPr horzOverflow="overflow" vert="horz" lIns="0" tIns="0" rIns="0" bIns="0" rtlCol="0">
                          <a:noAutofit/>
                        </wps:bodyPr>
                      </wps:wsp>
                      <wps:wsp>
                        <wps:cNvPr id="688348" name="Rectangle 688348"/>
                        <wps:cNvSpPr/>
                        <wps:spPr>
                          <a:xfrm>
                            <a:off x="1436350" y="199716"/>
                            <a:ext cx="85469" cy="1716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0</w:t>
                              </w:r>
                            </w:p>
                          </w:txbxContent>
                        </wps:txbx>
                        <wps:bodyPr horzOverflow="overflow" vert="horz" lIns="0" tIns="0" rIns="0" bIns="0" rtlCol="0">
                          <a:noAutofit/>
                        </wps:bodyPr>
                      </wps:wsp>
                      <wps:wsp>
                        <wps:cNvPr id="688349" name="Rectangle 688349"/>
                        <wps:cNvSpPr/>
                        <wps:spPr>
                          <a:xfrm>
                            <a:off x="1500639" y="199716"/>
                            <a:ext cx="122893" cy="17161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w:t>
                              </w:r>
                            </w:p>
                          </w:txbxContent>
                        </wps:txbx>
                        <wps:bodyPr horzOverflow="overflow" vert="horz" lIns="0" tIns="0" rIns="0" bIns="0" rtlCol="0">
                          <a:noAutofit/>
                        </wps:bodyPr>
                      </wps:wsp>
                      <wps:wsp>
                        <wps:cNvPr id="85083" name="Rectangle 85083"/>
                        <wps:cNvSpPr/>
                        <wps:spPr>
                          <a:xfrm>
                            <a:off x="2184612" y="47176"/>
                            <a:ext cx="241832" cy="171200"/>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нет</w:t>
                              </w:r>
                            </w:p>
                          </w:txbxContent>
                        </wps:txbx>
                        <wps:bodyPr horzOverflow="overflow" vert="horz" lIns="0" tIns="0" rIns="0" bIns="0" rtlCol="0">
                          <a:noAutofit/>
                        </wps:bodyPr>
                      </wps:wsp>
                      <wps:wsp>
                        <wps:cNvPr id="688350" name="Rectangle 688350"/>
                        <wps:cNvSpPr/>
                        <wps:spPr>
                          <a:xfrm>
                            <a:off x="2196800" y="202481"/>
                            <a:ext cx="85263" cy="17119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5</w:t>
                              </w:r>
                            </w:p>
                          </w:txbxContent>
                        </wps:txbx>
                        <wps:bodyPr horzOverflow="overflow" vert="horz" lIns="0" tIns="0" rIns="0" bIns="0" rtlCol="0">
                          <a:noAutofit/>
                        </wps:bodyPr>
                      </wps:wsp>
                      <wps:wsp>
                        <wps:cNvPr id="688351" name="Rectangle 688351"/>
                        <wps:cNvSpPr/>
                        <wps:spPr>
                          <a:xfrm>
                            <a:off x="2260784" y="202481"/>
                            <a:ext cx="122598" cy="171199"/>
                          </a:xfrm>
                          <a:prstGeom prst="rect">
                            <a:avLst/>
                          </a:prstGeom>
                          <a:ln>
                            <a:noFill/>
                          </a:ln>
                        </wps:spPr>
                        <wps:txbx>
                          <w:txbxContent>
                            <w:p w:rsidR="002C0F56" w:rsidRDefault="00E67C6E">
                              <w:pPr>
                                <w:spacing w:after="160" w:line="259" w:lineRule="auto"/>
                                <w:ind w:left="0" w:firstLine="0"/>
                                <w:jc w:val="left"/>
                              </w:pPr>
                              <w:r>
                                <w:rPr>
                                  <w:rFonts w:ascii="Calibri" w:eastAsia="Calibri" w:hAnsi="Calibri" w:cs="Calibri"/>
                                  <w:b/>
                                  <w:sz w:val="20"/>
                                </w:rPr>
                                <w:t>%</w:t>
                              </w:r>
                            </w:p>
                          </w:txbxContent>
                        </wps:txbx>
                        <wps:bodyPr horzOverflow="overflow" vert="horz" lIns="0" tIns="0" rIns="0" bIns="0" rtlCol="0">
                          <a:noAutofit/>
                        </wps:bodyPr>
                      </wps:wsp>
                      <wps:wsp>
                        <wps:cNvPr id="85085" name="Shape 85085"/>
                        <wps:cNvSpPr/>
                        <wps:spPr>
                          <a:xfrm>
                            <a:off x="0" y="0"/>
                            <a:ext cx="4256490" cy="2102705"/>
                          </a:xfrm>
                          <a:custGeom>
                            <a:avLst/>
                            <a:gdLst/>
                            <a:ahLst/>
                            <a:cxnLst/>
                            <a:rect l="0" t="0" r="0" b="0"/>
                            <a:pathLst>
                              <a:path w="4256490" h="2102705">
                                <a:moveTo>
                                  <a:pt x="0" y="2102704"/>
                                </a:moveTo>
                                <a:lnTo>
                                  <a:pt x="4256490" y="2102705"/>
                                </a:lnTo>
                                <a:lnTo>
                                  <a:pt x="4256490" y="1"/>
                                </a:lnTo>
                                <a:lnTo>
                                  <a:pt x="0" y="0"/>
                                </a:lnTo>
                                <a:close/>
                              </a:path>
                            </a:pathLst>
                          </a:custGeom>
                          <a:ln w="9136" cap="flat">
                            <a:round/>
                          </a:ln>
                        </wps:spPr>
                        <wps:style>
                          <a:lnRef idx="1">
                            <a:srgbClr val="868686"/>
                          </a:lnRef>
                          <a:fillRef idx="0">
                            <a:srgbClr val="000000">
                              <a:alpha val="0"/>
                            </a:srgbClr>
                          </a:fillRef>
                          <a:effectRef idx="0">
                            <a:scrgbClr r="0" g="0" b="0"/>
                          </a:effectRef>
                          <a:fontRef idx="none"/>
                        </wps:style>
                        <wps:bodyPr/>
                      </wps:wsp>
                      <wps:wsp>
                        <wps:cNvPr id="85086" name="Rectangle 85086"/>
                        <wps:cNvSpPr/>
                        <wps:spPr>
                          <a:xfrm>
                            <a:off x="4302525" y="1991263"/>
                            <a:ext cx="59288" cy="262525"/>
                          </a:xfrm>
                          <a:prstGeom prst="rect">
                            <a:avLst/>
                          </a:prstGeom>
                          <a:ln>
                            <a:noFill/>
                          </a:ln>
                        </wps:spPr>
                        <wps:txbx>
                          <w:txbxContent>
                            <w:p w:rsidR="002C0F56" w:rsidRDefault="00E67C6E">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688442" style="width:342.292pt;height:172.335pt;mso-position-horizontal-relative:char;mso-position-vertical-relative:line" coordsize="43471,21886">
                <v:shape id="Picture 85073" style="position:absolute;width:36012;height:16990;left:3900;top:1674;" filled="f">
                  <v:imagedata r:id="rId1403"/>
                </v:shape>
                <v:rect id="Rectangle 85074" style="position:absolute;width:2182;height:1711;left:33204;top:1518;" filled="f" stroked="f">
                  <v:textbox inset="0,0,0,0">
                    <w:txbxContent>
                      <w:p>
                        <w:pPr>
                          <w:spacing w:before="0" w:after="160" w:line="259" w:lineRule="auto"/>
                          <w:ind w:left="0" w:firstLine="0"/>
                          <w:jc w:val="left"/>
                        </w:pPr>
                        <w:r>
                          <w:rPr>
                            <w:rFonts w:cs="Calibri" w:hAnsi="Calibri" w:eastAsia="Calibri" w:ascii="Calibri"/>
                            <w:b w:val="1"/>
                            <w:sz w:val="20"/>
                          </w:rPr>
                          <w:t xml:space="preserve">да </w:t>
                        </w:r>
                      </w:p>
                    </w:txbxContent>
                  </v:textbox>
                </v:rect>
                <v:rect id="Rectangle 688352" style="position:absolute;width:1703;height:1711;left:32778;top:3071;" filled="f" stroked="f">
                  <v:textbox inset="0,0,0,0">
                    <w:txbxContent>
                      <w:p>
                        <w:pPr>
                          <w:spacing w:before="0" w:after="160" w:line="259" w:lineRule="auto"/>
                          <w:ind w:left="0" w:firstLine="0"/>
                          <w:jc w:val="left"/>
                        </w:pPr>
                        <w:r>
                          <w:rPr>
                            <w:rFonts w:cs="Calibri" w:hAnsi="Calibri" w:eastAsia="Calibri" w:ascii="Calibri"/>
                            <w:b w:val="1"/>
                            <w:sz w:val="20"/>
                          </w:rPr>
                          <w:t xml:space="preserve">30</w:t>
                        </w:r>
                      </w:p>
                    </w:txbxContent>
                  </v:textbox>
                </v:rect>
                <v:rect id="Rectangle 688353" style="position:absolute;width:1225;height:1711;left:34057;top:3071;" filled="f" stroked="f">
                  <v:textbox inset="0,0,0,0">
                    <w:txbxContent>
                      <w:p>
                        <w:pPr>
                          <w:spacing w:before="0" w:after="160" w:line="259" w:lineRule="auto"/>
                          <w:ind w:left="0" w:firstLine="0"/>
                          <w:jc w:val="left"/>
                        </w:pPr>
                        <w:r>
                          <w:rPr>
                            <w:rFonts w:cs="Calibri" w:hAnsi="Calibri" w:eastAsia="Calibri" w:ascii="Calibri"/>
                            <w:b w:val="1"/>
                            <w:sz w:val="20"/>
                          </w:rPr>
                          <w:t xml:space="preserve">%</w:t>
                        </w:r>
                      </w:p>
                    </w:txbxContent>
                  </v:textbox>
                </v:rect>
                <v:rect id="Rectangle 85076" style="position:absolute;width:7230;height:1716;left:8860;top:17272;" filled="f" stroked="f">
                  <v:textbox inset="0,0,0,0">
                    <w:txbxContent>
                      <w:p>
                        <w:pPr>
                          <w:spacing w:before="0" w:after="160" w:line="259" w:lineRule="auto"/>
                          <w:ind w:left="0" w:firstLine="0"/>
                          <w:jc w:val="left"/>
                        </w:pPr>
                        <w:r>
                          <w:rPr>
                            <w:rFonts w:cs="Calibri" w:hAnsi="Calibri" w:eastAsia="Calibri" w:ascii="Calibri"/>
                            <w:b w:val="1"/>
                            <w:sz w:val="20"/>
                          </w:rPr>
                          <w:t xml:space="preserve">скорее да</w:t>
                        </w:r>
                      </w:p>
                    </w:txbxContent>
                  </v:textbox>
                </v:rect>
                <v:rect id="Rectangle 688356" style="position:absolute;width:1703;height:1711;left:10475;top:18830;" filled="f" stroked="f">
                  <v:textbox inset="0,0,0,0">
                    <w:txbxContent>
                      <w:p>
                        <w:pPr>
                          <w:spacing w:before="0" w:after="160" w:line="259" w:lineRule="auto"/>
                          <w:ind w:left="0" w:firstLine="0"/>
                          <w:jc w:val="left"/>
                        </w:pPr>
                        <w:r>
                          <w:rPr>
                            <w:rFonts w:cs="Calibri" w:hAnsi="Calibri" w:eastAsia="Calibri" w:ascii="Calibri"/>
                            <w:b w:val="1"/>
                            <w:sz w:val="20"/>
                          </w:rPr>
                          <w:t xml:space="preserve">45</w:t>
                        </w:r>
                      </w:p>
                    </w:txbxContent>
                  </v:textbox>
                </v:rect>
                <v:rect id="Rectangle 688357" style="position:absolute;width:1225;height:1711;left:11754;top:18830;" filled="f" stroked="f">
                  <v:textbox inset="0,0,0,0">
                    <w:txbxContent>
                      <w:p>
                        <w:pPr>
                          <w:spacing w:before="0" w:after="160" w:line="259" w:lineRule="auto"/>
                          <w:ind w:left="0" w:firstLine="0"/>
                          <w:jc w:val="left"/>
                        </w:pPr>
                        <w:r>
                          <w:rPr>
                            <w:rFonts w:cs="Calibri" w:hAnsi="Calibri" w:eastAsia="Calibri" w:ascii="Calibri"/>
                            <w:b w:val="1"/>
                            <w:sz w:val="20"/>
                          </w:rPr>
                          <w:t xml:space="preserve">%</w:t>
                        </w:r>
                      </w:p>
                    </w:txbxContent>
                  </v:textbox>
                </v:rect>
                <v:rect id="Rectangle 85078" style="position:absolute;width:9799;height:1716;left:3400;top:1144;" filled="f" stroked="f">
                  <v:textbox inset="0,0,0,0">
                    <w:txbxContent>
                      <w:p>
                        <w:pPr>
                          <w:spacing w:before="0" w:after="160" w:line="259" w:lineRule="auto"/>
                          <w:ind w:left="0" w:firstLine="0"/>
                          <w:jc w:val="left"/>
                        </w:pPr>
                        <w:r>
                          <w:rPr>
                            <w:rFonts w:cs="Calibri" w:hAnsi="Calibri" w:eastAsia="Calibri" w:ascii="Calibri"/>
                            <w:b w:val="1"/>
                            <w:sz w:val="20"/>
                          </w:rPr>
                          <w:t xml:space="preserve">затрудняюсь </w:t>
                        </w:r>
                      </w:p>
                    </w:txbxContent>
                  </v:textbox>
                </v:rect>
                <v:rect id="Rectangle 85079" style="position:absolute;width:6303;height:1711;left:4573;top:2703;" filled="f" stroked="f">
                  <v:textbox inset="0,0,0,0">
                    <w:txbxContent>
                      <w:p>
                        <w:pPr>
                          <w:spacing w:before="0" w:after="160" w:line="259" w:lineRule="auto"/>
                          <w:ind w:left="0" w:firstLine="0"/>
                          <w:jc w:val="left"/>
                        </w:pPr>
                        <w:r>
                          <w:rPr>
                            <w:rFonts w:cs="Calibri" w:hAnsi="Calibri" w:eastAsia="Calibri" w:ascii="Calibri"/>
                            <w:b w:val="1"/>
                            <w:sz w:val="20"/>
                          </w:rPr>
                          <w:t xml:space="preserve">ответить</w:t>
                        </w:r>
                      </w:p>
                    </w:txbxContent>
                  </v:textbox>
                </v:rect>
                <v:rect id="Rectangle 688354" style="position:absolute;width:1703;height:1711;left:5837;top:4256;" filled="f" stroked="f">
                  <v:textbox inset="0,0,0,0">
                    <w:txbxContent>
                      <w:p>
                        <w:pPr>
                          <w:spacing w:before="0" w:after="160" w:line="259" w:lineRule="auto"/>
                          <w:ind w:left="0" w:firstLine="0"/>
                          <w:jc w:val="left"/>
                        </w:pPr>
                        <w:r>
                          <w:rPr>
                            <w:rFonts w:cs="Calibri" w:hAnsi="Calibri" w:eastAsia="Calibri" w:ascii="Calibri"/>
                            <w:b w:val="1"/>
                            <w:sz w:val="20"/>
                          </w:rPr>
                          <w:t xml:space="preserve">20</w:t>
                        </w:r>
                      </w:p>
                    </w:txbxContent>
                  </v:textbox>
                </v:rect>
                <v:rect id="Rectangle 688355" style="position:absolute;width:1225;height:1711;left:7117;top:4256;" filled="f" stroked="f">
                  <v:textbox inset="0,0,0,0">
                    <w:txbxContent>
                      <w:p>
                        <w:pPr>
                          <w:spacing w:before="0" w:after="160" w:line="259" w:lineRule="auto"/>
                          <w:ind w:left="0" w:firstLine="0"/>
                          <w:jc w:val="left"/>
                        </w:pPr>
                        <w:r>
                          <w:rPr>
                            <w:rFonts w:cs="Calibri" w:hAnsi="Calibri" w:eastAsia="Calibri" w:ascii="Calibri"/>
                            <w:b w:val="1"/>
                            <w:sz w:val="20"/>
                          </w:rPr>
                          <w:t xml:space="preserve">%</w:t>
                        </w:r>
                      </w:p>
                    </w:txbxContent>
                  </v:textbox>
                </v:rect>
                <v:rect id="Rectangle 85081" style="position:absolute;width:7840;height:1712;left:12200;top:446;" filled="f" stroked="f">
                  <v:textbox inset="0,0,0,0">
                    <w:txbxContent>
                      <w:p>
                        <w:pPr>
                          <w:spacing w:before="0" w:after="160" w:line="259" w:lineRule="auto"/>
                          <w:ind w:left="0" w:firstLine="0"/>
                          <w:jc w:val="left"/>
                        </w:pPr>
                        <w:r>
                          <w:rPr>
                            <w:rFonts w:cs="Calibri" w:hAnsi="Calibri" w:eastAsia="Calibri" w:ascii="Calibri"/>
                            <w:b w:val="1"/>
                            <w:sz w:val="20"/>
                          </w:rPr>
                          <w:t xml:space="preserve">скорее нет</w:t>
                        </w:r>
                      </w:p>
                    </w:txbxContent>
                  </v:textbox>
                </v:rect>
                <v:rect id="Rectangle 688348" style="position:absolute;width:854;height:1716;left:14363;top:1997;" filled="f" stroked="f">
                  <v:textbox inset="0,0,0,0">
                    <w:txbxContent>
                      <w:p>
                        <w:pPr>
                          <w:spacing w:before="0" w:after="160" w:line="259" w:lineRule="auto"/>
                          <w:ind w:left="0" w:firstLine="0"/>
                          <w:jc w:val="left"/>
                        </w:pPr>
                        <w:r>
                          <w:rPr>
                            <w:rFonts w:cs="Calibri" w:hAnsi="Calibri" w:eastAsia="Calibri" w:ascii="Calibri"/>
                            <w:b w:val="1"/>
                            <w:sz w:val="20"/>
                          </w:rPr>
                          <w:t xml:space="preserve">0</w:t>
                        </w:r>
                      </w:p>
                    </w:txbxContent>
                  </v:textbox>
                </v:rect>
                <v:rect id="Rectangle 688349" style="position:absolute;width:1228;height:1716;left:15006;top:1997;" filled="f" stroked="f">
                  <v:textbox inset="0,0,0,0">
                    <w:txbxContent>
                      <w:p>
                        <w:pPr>
                          <w:spacing w:before="0" w:after="160" w:line="259" w:lineRule="auto"/>
                          <w:ind w:left="0" w:firstLine="0"/>
                          <w:jc w:val="left"/>
                        </w:pPr>
                        <w:r>
                          <w:rPr>
                            <w:rFonts w:cs="Calibri" w:hAnsi="Calibri" w:eastAsia="Calibri" w:ascii="Calibri"/>
                            <w:b w:val="1"/>
                            <w:sz w:val="20"/>
                          </w:rPr>
                          <w:t xml:space="preserve">%</w:t>
                        </w:r>
                      </w:p>
                    </w:txbxContent>
                  </v:textbox>
                </v:rect>
                <v:rect id="Rectangle 85083" style="position:absolute;width:2418;height:1712;left:21846;top:471;" filled="f" stroked="f">
                  <v:textbox inset="0,0,0,0">
                    <w:txbxContent>
                      <w:p>
                        <w:pPr>
                          <w:spacing w:before="0" w:after="160" w:line="259" w:lineRule="auto"/>
                          <w:ind w:left="0" w:firstLine="0"/>
                          <w:jc w:val="left"/>
                        </w:pPr>
                        <w:r>
                          <w:rPr>
                            <w:rFonts w:cs="Calibri" w:hAnsi="Calibri" w:eastAsia="Calibri" w:ascii="Calibri"/>
                            <w:b w:val="1"/>
                            <w:sz w:val="20"/>
                          </w:rPr>
                          <w:t xml:space="preserve">нет</w:t>
                        </w:r>
                      </w:p>
                    </w:txbxContent>
                  </v:textbox>
                </v:rect>
                <v:rect id="Rectangle 688350" style="position:absolute;width:852;height:1711;left:21968;top:2024;" filled="f" stroked="f">
                  <v:textbox inset="0,0,0,0">
                    <w:txbxContent>
                      <w:p>
                        <w:pPr>
                          <w:spacing w:before="0" w:after="160" w:line="259" w:lineRule="auto"/>
                          <w:ind w:left="0" w:firstLine="0"/>
                          <w:jc w:val="left"/>
                        </w:pPr>
                        <w:r>
                          <w:rPr>
                            <w:rFonts w:cs="Calibri" w:hAnsi="Calibri" w:eastAsia="Calibri" w:ascii="Calibri"/>
                            <w:b w:val="1"/>
                            <w:sz w:val="20"/>
                          </w:rPr>
                          <w:t xml:space="preserve">5</w:t>
                        </w:r>
                      </w:p>
                    </w:txbxContent>
                  </v:textbox>
                </v:rect>
                <v:rect id="Rectangle 688351" style="position:absolute;width:1225;height:1711;left:22607;top:2024;" filled="f" stroked="f">
                  <v:textbox inset="0,0,0,0">
                    <w:txbxContent>
                      <w:p>
                        <w:pPr>
                          <w:spacing w:before="0" w:after="160" w:line="259" w:lineRule="auto"/>
                          <w:ind w:left="0" w:firstLine="0"/>
                          <w:jc w:val="left"/>
                        </w:pPr>
                        <w:r>
                          <w:rPr>
                            <w:rFonts w:cs="Calibri" w:hAnsi="Calibri" w:eastAsia="Calibri" w:ascii="Calibri"/>
                            <w:b w:val="1"/>
                            <w:sz w:val="20"/>
                          </w:rPr>
                          <w:t xml:space="preserve">%</w:t>
                        </w:r>
                      </w:p>
                    </w:txbxContent>
                  </v:textbox>
                </v:rect>
                <v:shape id="Shape 85085" style="position:absolute;width:42564;height:21027;left:0;top:0;" coordsize="4256490,2102705" path="m0,2102704l4256490,2102705l4256490,1l0,0x">
                  <v:stroke weight="0.719336pt" endcap="flat" joinstyle="round" on="true" color="#868686"/>
                  <v:fill on="false" color="#000000" opacity="0"/>
                </v:shape>
                <v:rect id="Rectangle 85086" style="position:absolute;width:592;height:2625;left:43025;top:19912;" filled="f" stroked="f">
                  <v:textbox inset="0,0,0,0">
                    <w:txbxContent>
                      <w:p>
                        <w:pPr>
                          <w:spacing w:before="0" w:after="160" w:line="259" w:lineRule="auto"/>
                          <w:ind w:left="0" w:firstLine="0"/>
                          <w:jc w:val="left"/>
                        </w:pPr>
                        <w:r>
                          <w:rPr/>
                          <w:t xml:space="preserve"> </w:t>
                        </w:r>
                      </w:p>
                    </w:txbxContent>
                  </v:textbox>
                </v:rect>
              </v:group>
            </w:pict>
          </mc:Fallback>
        </mc:AlternateContent>
      </w:r>
    </w:p>
    <w:p w:rsidR="002C0F56" w:rsidRDefault="00E67C6E">
      <w:pPr>
        <w:spacing w:after="5" w:line="271" w:lineRule="auto"/>
        <w:ind w:left="2245" w:right="396" w:hanging="10"/>
        <w:jc w:val="left"/>
      </w:pPr>
      <w:r>
        <w:rPr>
          <w:b/>
          <w:sz w:val="24"/>
        </w:rPr>
        <w:t xml:space="preserve">Рис. 5. Уровень удовлетворенности молодых специалистов профессии </w:t>
      </w:r>
    </w:p>
    <w:p w:rsidR="002C0F56" w:rsidRDefault="00E67C6E">
      <w:pPr>
        <w:spacing w:after="0" w:line="259" w:lineRule="auto"/>
        <w:ind w:left="1558" w:firstLine="0"/>
        <w:jc w:val="left"/>
      </w:pPr>
      <w:r>
        <w:rPr>
          <w:b/>
        </w:rPr>
        <w:t xml:space="preserve"> </w:t>
      </w:r>
    </w:p>
    <w:p w:rsidR="002C0F56" w:rsidRDefault="00E67C6E">
      <w:pPr>
        <w:spacing w:after="0"/>
        <w:ind w:left="994" w:right="302"/>
      </w:pPr>
      <w:r>
        <w:t xml:space="preserve">В результате проведенного исследования с использованием метода анкетирования были выявлены следующие положительные для предприятия аспекты: на предприятие поступают работники, имеющие в большинстве высшее образование, в возрасте от 18 до 35 лет. Многим из </w:t>
      </w:r>
      <w:r>
        <w:t>опрошенных не требуется большой срок для адаптации на рабочем месте. Работникам очень важно, чтобы характер их работы соответствовал их склонностям и способностям. Значительная часть опрошенных по большому счету адаптировались с помощью коллег по работе. Э</w:t>
      </w:r>
      <w:r>
        <w:t xml:space="preserve">то говорит о том, что на предприятии благоприятный психологический климат. Одним из плюсов для предприятия является действие системы поддержки для молодых сотрудников. Молодые специалисты испытывают удовлетворение от профессии.   </w:t>
      </w:r>
    </w:p>
    <w:p w:rsidR="002C0F56" w:rsidRDefault="00E67C6E">
      <w:pPr>
        <w:spacing w:after="2"/>
        <w:ind w:left="994" w:right="302"/>
      </w:pPr>
      <w:r>
        <w:t>Для улучшения системы ада</w:t>
      </w:r>
      <w:r>
        <w:t>птации были разработаны следующие рекомендации: разработать программу адаптации, регламентирующую мероприятия и сроки обучения молодых специалистов, последовательность овладения функционалом по должности; усовершенствовать</w:t>
      </w:r>
      <w:r>
        <w:rPr>
          <w:i/>
        </w:rPr>
        <w:t xml:space="preserve"> </w:t>
      </w:r>
      <w:r>
        <w:t>систему наставничества, предполаг</w:t>
      </w:r>
      <w:r>
        <w:t>ающую привлечение опытного работника для помощи новому сотруднику, а так же наставник должен помогать новым сотрудникам адаптироваться в организации, содействовать их профессиональному развитию, карьерному росту, участвовать в оценке результатов их деятель</w:t>
      </w:r>
      <w:r>
        <w:t xml:space="preserve">ности; проводить ознакомление нового сотрудника со своими обязанностями и требованиями, которые к нему предъявляются со стороны предприятия; усовершенствовать системы материального и морального стимулирования для молодых специалистов. </w:t>
      </w:r>
    </w:p>
    <w:p w:rsidR="002C0F56" w:rsidRDefault="00E67C6E">
      <w:pPr>
        <w:spacing w:after="0"/>
        <w:ind w:left="994" w:right="302"/>
      </w:pPr>
      <w:r>
        <w:t>Значимость адаптации</w:t>
      </w:r>
      <w:r>
        <w:t xml:space="preserve"> молодых специалистов как структурной части управления персоналом предприятия в современных условиях сегодня выделяется особо вследствие того, что стала очень ощутима не только экономическая составляющая в этой работе (организации необходимо эффективно исп</w:t>
      </w:r>
      <w:r>
        <w:t xml:space="preserve">ользовать все виды своих ресурсов, в том числе и человеческий, </w:t>
      </w:r>
      <w:r>
        <w:lastRenderedPageBreak/>
        <w:t>кадровый), но и социальная, связанная с необходимостью развития профессиональных и социальных характеристик кадрового потенциала организации. Поэтому возрастает потребность в применении совреме</w:t>
      </w:r>
      <w:r>
        <w:t xml:space="preserve">нных эффективных методов и технологий адаптации персонала, в первую очередь управленческих. Это наиболее важное направление совершенствования систем адаптации персонала в российских организациях [3]. </w:t>
      </w:r>
    </w:p>
    <w:p w:rsidR="002C0F56" w:rsidRDefault="00E67C6E">
      <w:pPr>
        <w:spacing w:after="2"/>
        <w:ind w:left="994" w:right="302"/>
      </w:pPr>
      <w:r>
        <w:t>В завершение необходимо отметить, что для того чтобы пр</w:t>
      </w:r>
      <w:r>
        <w:t>актически развивать и совершенствовать адаптационную работу на предприятии, необходимо ее научное обеспечение — теоретическое и методическое. Необходимо также исследовать проблему адаптации персонала в современных российских условиях, в том числе и в отнош</w:t>
      </w:r>
      <w:r>
        <w:t xml:space="preserve">ении применимости зарубежного опыта, изучения результатов формирования систем адаптации в российских организациях. </w:t>
      </w:r>
    </w:p>
    <w:p w:rsidR="002C0F56" w:rsidRDefault="00E67C6E">
      <w:pPr>
        <w:spacing w:after="25" w:line="259" w:lineRule="auto"/>
        <w:ind w:left="1318" w:firstLine="0"/>
        <w:jc w:val="center"/>
      </w:pPr>
      <w:r>
        <w:t xml:space="preserve"> </w:t>
      </w:r>
    </w:p>
    <w:p w:rsidR="002C0F56" w:rsidRDefault="00E67C6E">
      <w:pPr>
        <w:spacing w:after="5" w:line="268" w:lineRule="auto"/>
        <w:ind w:left="994" w:right="293" w:firstLine="3889"/>
        <w:jc w:val="left"/>
      </w:pPr>
      <w:r>
        <w:t>Список литературы: 1.</w:t>
      </w:r>
      <w:r>
        <w:rPr>
          <w:rFonts w:ascii="Arial" w:eastAsia="Arial" w:hAnsi="Arial" w:cs="Arial"/>
        </w:rPr>
        <w:t xml:space="preserve"> </w:t>
      </w:r>
      <w:r>
        <w:t xml:space="preserve">Адаптация </w:t>
      </w:r>
      <w:r>
        <w:tab/>
        <w:t xml:space="preserve">молодых </w:t>
      </w:r>
      <w:r>
        <w:tab/>
        <w:t xml:space="preserve">специалистов </w:t>
      </w:r>
      <w:r>
        <w:tab/>
        <w:t xml:space="preserve">в </w:t>
      </w:r>
      <w:r>
        <w:tab/>
        <w:t xml:space="preserve">современных </w:t>
      </w:r>
      <w:r>
        <w:tab/>
        <w:t>российских организациях [Электронный источник] /</w:t>
      </w:r>
      <w:hyperlink r:id="rId1404" w:anchor="ixzz4bWRjAczS/">
        <w:r>
          <w:t xml:space="preserve"> </w:t>
        </w:r>
      </w:hyperlink>
      <w:hyperlink r:id="rId1405" w:anchor="ixzz4bWRjAczS/">
        <w:r>
          <w:t>http://cheloveknauka.com/adaptatsiya</w:t>
        </w:r>
      </w:hyperlink>
      <w:hyperlink r:id="rId1406" w:anchor="ixzz4bWRjAczS/"/>
      <w:hyperlink r:id="rId1407" w:anchor="ixzz4bWRjAczS/">
        <w:r>
          <w:t>molodyh</w:t>
        </w:r>
      </w:hyperlink>
      <w:hyperlink r:id="rId1408" w:anchor="ixzz4bWRjAczS/">
        <w:r>
          <w:t>-</w:t>
        </w:r>
      </w:hyperlink>
      <w:hyperlink r:id="rId1409" w:anchor="ixzz4bWRjAczS/">
        <w:r>
          <w:t>spetsialistov</w:t>
        </w:r>
      </w:hyperlink>
      <w:hyperlink r:id="rId1410" w:anchor="ixzz4bWRjAczS/">
        <w:r>
          <w:t>-</w:t>
        </w:r>
      </w:hyperlink>
      <w:hyperlink r:id="rId1411" w:anchor="ixzz4bWRjAczS/">
        <w:r>
          <w:t>v</w:t>
        </w:r>
      </w:hyperlink>
      <w:hyperlink r:id="rId1412" w:anchor="ixzz4bWRjAczS/">
        <w:r>
          <w:t>-</w:t>
        </w:r>
      </w:hyperlink>
      <w:hyperlink r:id="rId1413" w:anchor="ixzz4bWRjAczS/">
        <w:r>
          <w:t>sovremennyh</w:t>
        </w:r>
      </w:hyperlink>
      <w:hyperlink r:id="rId1414" w:anchor="ixzz4bWRjAczS/">
        <w:r>
          <w:t>-</w:t>
        </w:r>
      </w:hyperlink>
      <w:hyperlink r:id="rId1415" w:anchor="ixzz4bWRjAczS/">
        <w:r>
          <w:t>rossiyskih</w:t>
        </w:r>
      </w:hyperlink>
      <w:hyperlink r:id="rId1416" w:anchor="ixzz4bWRjAczS/">
        <w:r>
          <w:t>-</w:t>
        </w:r>
      </w:hyperlink>
      <w:hyperlink r:id="rId1417" w:anchor="ixzz4bWRjAczS/">
        <w:r>
          <w:t>o</w:t>
        </w:r>
        <w:r>
          <w:t>rganizatsiyah#ixzz4bWRjAczS/</w:t>
        </w:r>
      </w:hyperlink>
      <w:hyperlink r:id="rId1418" w:anchor="ixzz4bWRjAczS/">
        <w:r>
          <w:t xml:space="preserve"> </w:t>
        </w:r>
      </w:hyperlink>
    </w:p>
    <w:p w:rsidR="002C0F56" w:rsidRDefault="00E67C6E">
      <w:pPr>
        <w:ind w:left="994" w:right="302" w:firstLine="0"/>
      </w:pPr>
      <w:r>
        <w:t xml:space="preserve">(дата обращения 10.04.2017). </w:t>
      </w:r>
    </w:p>
    <w:p w:rsidR="002C0F56" w:rsidRDefault="00E67C6E">
      <w:pPr>
        <w:numPr>
          <w:ilvl w:val="0"/>
          <w:numId w:val="281"/>
        </w:numPr>
        <w:ind w:right="302"/>
      </w:pPr>
      <w:r>
        <w:t>Официальный сайт ПАО «Таганрогский авиационный научнотехни</w:t>
      </w:r>
      <w:r>
        <w:t xml:space="preserve">ческий комплекс им. Г.М. Бериева» [Электронный источник]. URL: </w:t>
      </w:r>
      <w:hyperlink r:id="rId1419">
        <w:r>
          <w:t>http://www.beriev.com/rus/core.html(</w:t>
        </w:r>
      </w:hyperlink>
      <w:r>
        <w:t xml:space="preserve">дата обращения 16.04.2017). </w:t>
      </w:r>
    </w:p>
    <w:p w:rsidR="002C0F56" w:rsidRDefault="00E67C6E">
      <w:pPr>
        <w:numPr>
          <w:ilvl w:val="0"/>
          <w:numId w:val="281"/>
        </w:numPr>
        <w:spacing w:after="10"/>
        <w:ind w:right="302"/>
      </w:pPr>
      <w:r>
        <w:t>Котлова А.С., Попова О.А. Адаптация персонала на предприятии в современны</w:t>
      </w:r>
      <w:r>
        <w:t xml:space="preserve">х условиях // Экономика и менеджмент инновационных технологий. 2014. № 6 — [Электронный ресурс]. </w:t>
      </w:r>
    </w:p>
    <w:p w:rsidR="002C0F56" w:rsidRDefault="00E67C6E">
      <w:pPr>
        <w:spacing w:after="12"/>
        <w:ind w:left="994" w:right="302" w:firstLine="0"/>
      </w:pPr>
      <w:r>
        <w:t>URL:</w:t>
      </w:r>
      <w:hyperlink r:id="rId1420">
        <w:r>
          <w:t xml:space="preserve"> </w:t>
        </w:r>
      </w:hyperlink>
      <w:hyperlink r:id="rId1421">
        <w:r>
          <w:t>http://ekonomika.snauka.ru/2014/06/</w:t>
        </w:r>
        <w:r>
          <w:t>5092</w:t>
        </w:r>
      </w:hyperlink>
      <w:hyperlink r:id="rId1422">
        <w:r>
          <w:t>/</w:t>
        </w:r>
      </w:hyperlink>
      <w:r>
        <w:t xml:space="preserve"> (дата обращения: 18.04.2017).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pStyle w:val="1"/>
        <w:spacing w:after="25" w:line="259" w:lineRule="auto"/>
        <w:ind w:right="310"/>
        <w:jc w:val="right"/>
      </w:pPr>
      <w:r>
        <w:t xml:space="preserve">Яценко С.Д. </w:t>
      </w:r>
      <w:r>
        <w:rPr>
          <w:b w:val="0"/>
        </w:rPr>
        <w:t xml:space="preserve">Научный руководитель: Шильченько Т.Н. </w:t>
      </w:r>
    </w:p>
    <w:p w:rsidR="002C0F56" w:rsidRDefault="00E67C6E">
      <w:pPr>
        <w:spacing w:after="0" w:line="267" w:lineRule="auto"/>
        <w:ind w:left="905" w:right="312" w:hanging="10"/>
        <w:jc w:val="right"/>
      </w:pPr>
      <w:r>
        <w:rPr>
          <w:i/>
        </w:rPr>
        <w:t xml:space="preserve">Таганрогский институт Управления и Экономики </w:t>
      </w:r>
    </w:p>
    <w:p w:rsidR="002C0F56" w:rsidRDefault="00E67C6E">
      <w:pPr>
        <w:spacing w:after="0" w:line="259" w:lineRule="auto"/>
        <w:ind w:left="1558" w:firstLine="0"/>
        <w:jc w:val="left"/>
      </w:pPr>
      <w:r>
        <w:rPr>
          <w:i/>
        </w:rPr>
        <w:t xml:space="preserve"> </w:t>
      </w:r>
    </w:p>
    <w:p w:rsidR="002C0F56" w:rsidRDefault="00E67C6E">
      <w:pPr>
        <w:pStyle w:val="1"/>
        <w:ind w:left="700" w:right="7"/>
      </w:pPr>
      <w:r>
        <w:t xml:space="preserve">ГОСУДАРСТВЕННАЯ ПОЛИТИКА В ОТНОШЕНИИ НЕСОСТОЯТЕЛЬНЫХ РЫНКОВ </w:t>
      </w:r>
    </w:p>
    <w:p w:rsidR="002C0F56" w:rsidRDefault="00E67C6E">
      <w:pPr>
        <w:spacing w:after="0" w:line="259" w:lineRule="auto"/>
        <w:ind w:left="1558" w:firstLine="0"/>
        <w:jc w:val="left"/>
      </w:pPr>
      <w:r>
        <w:t xml:space="preserve"> </w:t>
      </w:r>
    </w:p>
    <w:p w:rsidR="002C0F56" w:rsidRDefault="00E67C6E">
      <w:pPr>
        <w:spacing w:after="0"/>
        <w:ind w:left="994" w:right="302"/>
      </w:pPr>
      <w:r>
        <w:lastRenderedPageBreak/>
        <w:t>Проблема государственного вмешательства в экономику является основой для любого государства, независимо от того, рыночная ли это экономика или же распределительная. Функционирование рынков представляет собой неоднозначный процесс, имеющий как явные преимущ</w:t>
      </w:r>
      <w:r>
        <w:t>ества, так и недостатки. В ряде случаев при определенных условиях рынок бывает неэффективным, или несостоятельным. Этот фактор представляет собой основной мотив для вмешательства государства в функционирование несостоятельных рынков посредством государстве</w:t>
      </w:r>
      <w:r>
        <w:t>нной политики. Вряд ли сегодня кто-либо попытается доказывать, что современное рыночное хозяйство может развиваться без вмешательства государства [2].</w:t>
      </w:r>
      <w:r>
        <w:rPr>
          <w:b/>
        </w:rPr>
        <w:t xml:space="preserve"> </w:t>
      </w:r>
    </w:p>
    <w:p w:rsidR="002C0F56" w:rsidRDefault="00E67C6E">
      <w:pPr>
        <w:ind w:left="994" w:right="302"/>
      </w:pPr>
      <w:r>
        <w:t>Эффективность рынка достигается только на совершенно конкурентных рынках и лишь при определенных идеальн</w:t>
      </w:r>
      <w:r>
        <w:t>ых условиях. В реальном мире немногие рынки, кроме сельского хозяйства и рынка ценных бумаг, обладают совершенной конкуренцией. Поэтому рыночный механизм имеет не только достоинства, но и недостатки.  Они проявляются в неспособности рынка решить ряд пробле</w:t>
      </w:r>
      <w:r>
        <w:t xml:space="preserve">м социальных и экономических, которые и порождены им. </w:t>
      </w:r>
    </w:p>
    <w:p w:rsidR="002C0F56" w:rsidRDefault="00E67C6E">
      <w:pPr>
        <w:spacing w:after="0"/>
        <w:ind w:left="994" w:right="302"/>
      </w:pPr>
      <w:r>
        <w:t xml:space="preserve">  Основной причиной государственного вмешательства в организацию деятельности отраслевых рынков являются провалы рынка.  К ним относятся монопольная власть, внешние эффекты (экстерналии), общественные </w:t>
      </w:r>
      <w:r>
        <w:t xml:space="preserve">блага и несовершенство информации. Ведущей целью государственной отраслевой политики служит решение проблем, связанных с провалами рынка, для повышения общественного благосостояния [1]. </w:t>
      </w:r>
    </w:p>
    <w:p w:rsidR="002C0F56" w:rsidRDefault="00E67C6E">
      <w:pPr>
        <w:spacing w:after="0"/>
        <w:ind w:left="994" w:right="302"/>
      </w:pPr>
      <w:r>
        <w:t>Несостоятельными оказываются рынки и в плане эффективного производств</w:t>
      </w:r>
      <w:r>
        <w:t>а общественных благ, которые без вмешательства государства либо вообще не будут выпущены, либо будут, но не в достаточном количестве. Несостоятельность рынка проявляется в случае возникновения внешних эффектов ( экстерналий), которые могут быть как положит</w:t>
      </w:r>
      <w:r>
        <w:t xml:space="preserve">ельные, так и отрицательные.   </w:t>
      </w:r>
    </w:p>
    <w:p w:rsidR="002C0F56" w:rsidRDefault="00E67C6E">
      <w:pPr>
        <w:ind w:left="994" w:right="302"/>
      </w:pPr>
      <w:r>
        <w:t>Примером провалов рынка из последних публикаций стал российский рынок, который преподнес неприятный сюрприз для  «Уралкалий». Компания, у которой на Россию приходится почти четверть продаж, снизила поставки на внутренний рын</w:t>
      </w:r>
      <w:r>
        <w:t>ок на 17% и, таким образом, недополучила как минимум 800 млн рублей. Снижение продаж они объяснили неопределенностью дальнейшего развития рынка минудобрений. Около десятой части внутрироссийских продаж «Уралкалия» приходится на поставки аграриям, но с июля</w:t>
      </w:r>
      <w:r>
        <w:t xml:space="preserve"> 2013 года они фактически прекратили закупки хлоркалия. </w:t>
      </w:r>
    </w:p>
    <w:p w:rsidR="002C0F56" w:rsidRDefault="00E67C6E">
      <w:pPr>
        <w:ind w:left="994" w:right="302"/>
      </w:pPr>
      <w:r>
        <w:t>На экспортных рынках дела обстояли немного лучше: поставки выросли, но цены на сырье на мировом рынке падали. При этом небольшое увеличение экспорта не смогло «Уралкалию» в полной мере компенсировать</w:t>
      </w:r>
      <w:r>
        <w:t xml:space="preserve"> спад на отечественном рынке [4]. </w:t>
      </w:r>
    </w:p>
    <w:p w:rsidR="002C0F56" w:rsidRDefault="00E67C6E">
      <w:pPr>
        <w:spacing w:after="0"/>
        <w:ind w:left="994" w:right="302"/>
      </w:pPr>
      <w:r>
        <w:lastRenderedPageBreak/>
        <w:t xml:space="preserve"> С разной степенью вовлеченности государства в принятие экономических решений отраслевая политика государства осуществляется различными методами. Существует 2 типа отраслевой политики государства: пассивная и активная. Па</w:t>
      </w:r>
      <w:r>
        <w:t>ссивная защитная отраслевая политика ставит основной целью борьбу с монополиями, деятельность которых приводит к неэффективному размещению ресурсов и создает потери общественного благосостояния. Активная защитная отраслевая политика использует мероприятия,</w:t>
      </w:r>
      <w:r>
        <w:t xml:space="preserve"> имеющие конкурентную направленность, но в целях предотвращения тех или иных решений фирм.   </w:t>
      </w:r>
    </w:p>
    <w:p w:rsidR="002C0F56" w:rsidRDefault="00E67C6E">
      <w:pPr>
        <w:spacing w:after="0"/>
        <w:ind w:left="994" w:right="302"/>
      </w:pPr>
      <w:r>
        <w:t>Цикличность развития российских рынков вызвана чередованием кризисов и экономических подъемов, то есть движение от подъема к подъему через кризисы. Проблема несос</w:t>
      </w:r>
      <w:r>
        <w:t>тоятельности рынков на данный момент в России является актуальной и довольно проблематичной. Государственную политику и положение рыков обострили санкции против нашей страны в 2014 году. Станет ли легче жить при принятии их или же после снятия санкций? Это</w:t>
      </w:r>
      <w:r>
        <w:t xml:space="preserve"> остается загадкой, так как спекулятивная модель, которую возрождает государство, позитивно скажется на доходах людей временно: заработная плата будет увеличиваться, но в любом случае это приведет к тому, что «пузырь лопнет и сдуется», поскольку реального </w:t>
      </w:r>
      <w:r>
        <w:t>развития в Российской экономике и на рынке как таковых не происходит.  Для того, чтобы урегулировать неэффективность, компенсировать ущерб обществу от отрицательных экстерналий, государству необходимо использовать традиционные инструменты, стимулирующие ра</w:t>
      </w:r>
      <w:r>
        <w:t>звитие рынков, например, выплаты дивидендов. Однако урегулировать рассматриваемую проблему в частном порядке невозможно. Глубина и формы вмешательства государства в отраслевое развитие могут быть различны. Для этого необходимо ограничить действие отрицател</w:t>
      </w:r>
      <w:r>
        <w:t>ьных факторов на экономику и способствовать последующему её развитию, государству необходимо оказывать влияние непосредственно на рыночные процессы: путем налогообложения определенных видов деятельности; принимать необходимые законы, регулировать взаимоотн</w:t>
      </w:r>
      <w:r>
        <w:t xml:space="preserve">ошения между различными сторонами рынка; выступать непосредственно как субъект хозяйственной деятельности; осуществлять социальную поддержку наименее финансово защищенных слоев населения  (пенсионеров, многодетных семей,  инвалидов и других)  [3]. </w:t>
      </w:r>
    </w:p>
    <w:p w:rsidR="002C0F56" w:rsidRDefault="00E67C6E">
      <w:pPr>
        <w:spacing w:after="0"/>
        <w:ind w:left="994" w:right="302"/>
      </w:pPr>
      <w:r>
        <w:t>И в зак</w:t>
      </w:r>
      <w:r>
        <w:t>лючение можно сказать, что значительную роль в предотвращении негативных последствий функционирования рыночного механизма должно играть государство. Так оно призвано обеспечить правовую базу и общественный климат, благоприятствующий эффективному функционир</w:t>
      </w:r>
      <w:r>
        <w:t xml:space="preserve">ованию рыночного сегмента; защиту конкуренции, но для выполнения этих задач государство должно использовать административные и экономические методы регулирования экономики. Рынок всегда будет иметь преимущества и недостатки, которые будут эффективны в тех </w:t>
      </w:r>
      <w:r>
        <w:t xml:space="preserve">сферах, на которые распространено </w:t>
      </w:r>
      <w:r>
        <w:lastRenderedPageBreak/>
        <w:t>действие механизма свободных цен, но рынок не будет действовать там, куда он не может проникнуть. Поэтому необходимы действия видимой руки государства. Самым печальным для общества является некомпетентное вмешательство гос</w:t>
      </w:r>
      <w:r>
        <w:t xml:space="preserve">ударственных органов в ситуации, связанные с несостоятельностью рынка. Государство в критических условиях должно протянуть спасательную руку рынкам, помогая им выжить, стабилизироваться и модернизировать свою продукцию.  </w:t>
      </w:r>
    </w:p>
    <w:p w:rsidR="002C0F56" w:rsidRDefault="00E67C6E">
      <w:pPr>
        <w:spacing w:after="24" w:line="259" w:lineRule="auto"/>
        <w:ind w:left="1558" w:firstLine="0"/>
        <w:jc w:val="left"/>
      </w:pPr>
      <w:r>
        <w:t xml:space="preserve"> </w:t>
      </w:r>
    </w:p>
    <w:p w:rsidR="002C0F56" w:rsidRDefault="00E67C6E">
      <w:pPr>
        <w:spacing w:after="15" w:line="268" w:lineRule="auto"/>
        <w:ind w:left="1262" w:right="2" w:hanging="10"/>
        <w:jc w:val="center"/>
      </w:pPr>
      <w:r>
        <w:t xml:space="preserve">Список литературы: </w:t>
      </w:r>
    </w:p>
    <w:p w:rsidR="002C0F56" w:rsidRDefault="00E67C6E">
      <w:pPr>
        <w:numPr>
          <w:ilvl w:val="0"/>
          <w:numId w:val="282"/>
        </w:numPr>
        <w:ind w:right="302"/>
      </w:pPr>
      <w:r>
        <w:t xml:space="preserve">Экономика общественного сектора: Учебник для вузов/ Л.И. Якобсон, </w:t>
      </w:r>
    </w:p>
    <w:p w:rsidR="002C0F56" w:rsidRDefault="00E67C6E">
      <w:pPr>
        <w:ind w:left="994" w:right="302" w:firstLine="0"/>
      </w:pPr>
      <w:r>
        <w:t xml:space="preserve">М.Г. Колосницына.- М.: Издательство Юрайт, 2014 </w:t>
      </w:r>
    </w:p>
    <w:p w:rsidR="002C0F56" w:rsidRDefault="00E67C6E">
      <w:pPr>
        <w:numPr>
          <w:ilvl w:val="0"/>
          <w:numId w:val="282"/>
        </w:numPr>
        <w:ind w:right="302"/>
      </w:pPr>
      <w:r>
        <w:t xml:space="preserve">Экономика и организация управления различными торговыми сетями: Учебное пособие / В.П. Чеглов.- М.: НИЦ ИНФРА-М, 2013  </w:t>
      </w:r>
    </w:p>
    <w:p w:rsidR="002C0F56" w:rsidRDefault="00E67C6E">
      <w:pPr>
        <w:numPr>
          <w:ilvl w:val="0"/>
          <w:numId w:val="282"/>
        </w:numPr>
        <w:ind w:right="302"/>
      </w:pPr>
      <w:r>
        <w:t>Парадоксы общественн</w:t>
      </w:r>
      <w:r>
        <w:t xml:space="preserve">ых благ. Современные исследования социальных проблем: Учебное пособие для вузов/ Е.Н. Садовникова.- М.: ЮНИТИ 2015 </w:t>
      </w:r>
    </w:p>
    <w:p w:rsidR="002C0F56" w:rsidRDefault="00E67C6E">
      <w:pPr>
        <w:numPr>
          <w:ilvl w:val="0"/>
          <w:numId w:val="282"/>
        </w:numPr>
        <w:ind w:right="302"/>
      </w:pPr>
      <w:r>
        <w:t xml:space="preserve">Экономика общественного сектора: Учебник/ П.В. Савченко, И.А. Погосова, Е.Н. Жильцова.- М.: МИГСУ, 2012 </w:t>
      </w:r>
    </w:p>
    <w:p w:rsidR="002C0F56" w:rsidRDefault="00E67C6E">
      <w:pPr>
        <w:spacing w:after="0" w:line="259" w:lineRule="auto"/>
        <w:ind w:left="1558" w:firstLine="0"/>
        <w:jc w:val="left"/>
      </w:pPr>
      <w:r>
        <w:t xml:space="preserve"> </w:t>
      </w:r>
    </w:p>
    <w:p w:rsidR="002C0F56" w:rsidRDefault="00E67C6E">
      <w:pPr>
        <w:spacing w:after="0" w:line="259" w:lineRule="auto"/>
        <w:ind w:left="1558" w:firstLine="0"/>
        <w:jc w:val="left"/>
      </w:pPr>
      <w:r>
        <w:t xml:space="preserve"> </w:t>
      </w:r>
    </w:p>
    <w:p w:rsidR="002C0F56" w:rsidRDefault="00E67C6E">
      <w:pPr>
        <w:spacing w:after="0" w:line="259" w:lineRule="auto"/>
        <w:ind w:left="994" w:firstLine="0"/>
        <w:jc w:val="left"/>
      </w:pPr>
      <w:r>
        <w:t xml:space="preserve"> </w:t>
      </w:r>
    </w:p>
    <w:p w:rsidR="002C0F56" w:rsidRDefault="00E67C6E">
      <w:pPr>
        <w:spacing w:after="0" w:line="259" w:lineRule="auto"/>
        <w:ind w:left="994" w:firstLine="0"/>
        <w:jc w:val="left"/>
      </w:pPr>
      <w:r>
        <w:t xml:space="preserve"> </w:t>
      </w:r>
    </w:p>
    <w:p w:rsidR="002C0F56" w:rsidRDefault="00E67C6E">
      <w:pPr>
        <w:spacing w:after="0" w:line="259" w:lineRule="auto"/>
        <w:ind w:left="1560" w:firstLine="0"/>
        <w:jc w:val="left"/>
      </w:pPr>
      <w:r>
        <w:t xml:space="preserve"> </w:t>
      </w:r>
    </w:p>
    <w:p w:rsidR="002C0F56" w:rsidRDefault="00E67C6E">
      <w:pPr>
        <w:spacing w:after="0" w:line="259" w:lineRule="auto"/>
        <w:ind w:left="0" w:firstLine="0"/>
        <w:jc w:val="left"/>
      </w:pPr>
      <w:r>
        <w:rPr>
          <w:i/>
          <w:sz w:val="26"/>
        </w:rPr>
        <w:t xml:space="preserve"> </w:t>
      </w:r>
    </w:p>
    <w:p w:rsidR="002C0F56" w:rsidRDefault="00E67C6E">
      <w:pPr>
        <w:spacing w:after="14" w:line="259" w:lineRule="auto"/>
        <w:ind w:left="994" w:firstLine="0"/>
        <w:jc w:val="left"/>
      </w:pPr>
      <w:r>
        <w:rPr>
          <w:sz w:val="24"/>
        </w:rPr>
        <w:t xml:space="preserve"> </w:t>
      </w:r>
    </w:p>
    <w:p w:rsidR="002C0F56" w:rsidRDefault="00E67C6E">
      <w:pPr>
        <w:spacing w:after="0" w:line="259" w:lineRule="auto"/>
        <w:ind w:left="1560" w:firstLine="0"/>
        <w:jc w:val="left"/>
      </w:pPr>
      <w:r>
        <w:t xml:space="preserve"> </w:t>
      </w:r>
    </w:p>
    <w:p w:rsidR="002C0F56" w:rsidRDefault="00E67C6E">
      <w:pPr>
        <w:spacing w:after="0" w:line="259" w:lineRule="auto"/>
        <w:ind w:left="994" w:firstLine="0"/>
        <w:jc w:val="left"/>
      </w:pPr>
      <w:r>
        <w:t xml:space="preserve"> </w:t>
      </w:r>
    </w:p>
    <w:p w:rsidR="002C0F56" w:rsidRDefault="00E67C6E">
      <w:pPr>
        <w:spacing w:after="0" w:line="259" w:lineRule="auto"/>
        <w:ind w:left="1560" w:firstLine="0"/>
        <w:jc w:val="left"/>
      </w:pPr>
      <w:r>
        <w:rPr>
          <w:b/>
        </w:rPr>
        <w:t xml:space="preserve"> </w:t>
      </w:r>
    </w:p>
    <w:p w:rsidR="002C0F56" w:rsidRDefault="00E67C6E">
      <w:pPr>
        <w:spacing w:after="0" w:line="259" w:lineRule="auto"/>
        <w:ind w:left="1560" w:firstLine="0"/>
        <w:jc w:val="left"/>
      </w:pPr>
      <w:r>
        <w:t xml:space="preserve"> </w:t>
      </w:r>
    </w:p>
    <w:p w:rsidR="002C0F56" w:rsidRDefault="00E67C6E">
      <w:pPr>
        <w:spacing w:after="0" w:line="259" w:lineRule="auto"/>
        <w:ind w:left="994" w:firstLine="0"/>
        <w:jc w:val="left"/>
      </w:pPr>
      <w:r>
        <w:t xml:space="preserve"> </w:t>
      </w:r>
    </w:p>
    <w:p w:rsidR="002C0F56" w:rsidRDefault="00E67C6E">
      <w:pPr>
        <w:spacing w:after="14" w:line="259" w:lineRule="auto"/>
        <w:ind w:left="746" w:firstLine="0"/>
        <w:jc w:val="center"/>
      </w:pPr>
      <w:r>
        <w:rPr>
          <w:sz w:val="24"/>
        </w:rPr>
        <w:t xml:space="preserve"> </w:t>
      </w:r>
    </w:p>
    <w:p w:rsidR="002C0F56" w:rsidRDefault="00E67C6E">
      <w:pPr>
        <w:spacing w:after="0" w:line="259" w:lineRule="auto"/>
        <w:ind w:left="994" w:firstLine="0"/>
        <w:jc w:val="left"/>
      </w:pPr>
      <w:r>
        <w:t xml:space="preserve"> </w:t>
      </w:r>
    </w:p>
    <w:p w:rsidR="002C0F56" w:rsidRDefault="00E67C6E">
      <w:pPr>
        <w:spacing w:after="0" w:line="259" w:lineRule="auto"/>
        <w:ind w:left="1702" w:firstLine="0"/>
        <w:jc w:val="left"/>
      </w:pPr>
      <w:r>
        <w:t xml:space="preserve"> </w:t>
      </w:r>
    </w:p>
    <w:p w:rsidR="002C0F56" w:rsidRDefault="00E67C6E">
      <w:pPr>
        <w:spacing w:after="0" w:line="259" w:lineRule="auto"/>
        <w:ind w:left="1702" w:firstLine="0"/>
        <w:jc w:val="left"/>
      </w:pPr>
      <w:r>
        <w:t xml:space="preserve"> </w:t>
      </w:r>
    </w:p>
    <w:p w:rsidR="002C0F56" w:rsidRDefault="00E67C6E">
      <w:pPr>
        <w:spacing w:after="15" w:line="259" w:lineRule="auto"/>
        <w:ind w:left="994" w:firstLine="0"/>
        <w:jc w:val="left"/>
      </w:pPr>
      <w:r>
        <w:rPr>
          <w:sz w:val="24"/>
        </w:rPr>
        <w:t xml:space="preserve"> </w:t>
      </w:r>
    </w:p>
    <w:p w:rsidR="002C0F56" w:rsidRDefault="00E67C6E">
      <w:pPr>
        <w:spacing w:after="0" w:line="259" w:lineRule="auto"/>
        <w:ind w:left="1522" w:firstLine="0"/>
        <w:jc w:val="left"/>
      </w:pPr>
      <w:r>
        <w:t xml:space="preserve"> </w:t>
      </w:r>
    </w:p>
    <w:p w:rsidR="002C0F56" w:rsidRDefault="00E67C6E">
      <w:pPr>
        <w:spacing w:after="0" w:line="259" w:lineRule="auto"/>
        <w:ind w:left="1560" w:firstLine="0"/>
        <w:jc w:val="left"/>
      </w:pPr>
      <w:r>
        <w:t xml:space="preserve"> </w:t>
      </w:r>
    </w:p>
    <w:p w:rsidR="002C0F56" w:rsidRDefault="002C0F56">
      <w:pPr>
        <w:sectPr w:rsidR="002C0F56">
          <w:type w:val="continuous"/>
          <w:pgSz w:w="11906" w:h="16838"/>
          <w:pgMar w:top="1536" w:right="826" w:bottom="1233" w:left="139" w:header="720" w:footer="720" w:gutter="0"/>
          <w:cols w:space="720"/>
        </w:sectPr>
      </w:pPr>
    </w:p>
    <w:p w:rsidR="002C0F56" w:rsidRDefault="00E67C6E">
      <w:pPr>
        <w:spacing w:after="0" w:line="259" w:lineRule="auto"/>
        <w:ind w:left="59" w:firstLine="0"/>
        <w:jc w:val="center"/>
      </w:pPr>
      <w:r>
        <w:rPr>
          <w:i/>
          <w:sz w:val="24"/>
        </w:rPr>
        <w:lastRenderedPageBreak/>
        <w:t xml:space="preserve"> </w:t>
      </w:r>
    </w:p>
    <w:p w:rsidR="002C0F56" w:rsidRDefault="00E67C6E">
      <w:pPr>
        <w:spacing w:after="14" w:line="259" w:lineRule="auto"/>
        <w:ind w:left="59" w:firstLine="0"/>
        <w:jc w:val="center"/>
      </w:pPr>
      <w:r>
        <w:rPr>
          <w:i/>
          <w:sz w:val="24"/>
        </w:rPr>
        <w:t xml:space="preserve"> </w:t>
      </w:r>
    </w:p>
    <w:p w:rsidR="002C0F56" w:rsidRDefault="00E67C6E">
      <w:pPr>
        <w:spacing w:after="0" w:line="259" w:lineRule="auto"/>
        <w:ind w:left="69" w:firstLine="0"/>
        <w:jc w:val="center"/>
      </w:pPr>
      <w:r>
        <w:t xml:space="preserve"> </w:t>
      </w:r>
    </w:p>
    <w:p w:rsidR="002C0F56" w:rsidRDefault="00E67C6E">
      <w:pPr>
        <w:spacing w:after="0" w:line="259" w:lineRule="auto"/>
        <w:ind w:left="69" w:firstLine="0"/>
        <w:jc w:val="center"/>
      </w:pPr>
      <w:r>
        <w:t xml:space="preserve"> </w:t>
      </w:r>
    </w:p>
    <w:p w:rsidR="002C0F56" w:rsidRDefault="00E67C6E">
      <w:pPr>
        <w:spacing w:after="0" w:line="259" w:lineRule="auto"/>
        <w:ind w:left="69" w:firstLine="0"/>
        <w:jc w:val="center"/>
      </w:pPr>
      <w:r>
        <w:t xml:space="preserve"> </w:t>
      </w:r>
    </w:p>
    <w:p w:rsidR="002C0F56" w:rsidRDefault="00E67C6E">
      <w:pPr>
        <w:spacing w:after="0" w:line="259" w:lineRule="auto"/>
        <w:ind w:left="69" w:firstLine="0"/>
        <w:jc w:val="center"/>
      </w:pPr>
      <w:r>
        <w:t xml:space="preserve"> </w:t>
      </w:r>
    </w:p>
    <w:p w:rsidR="002C0F56" w:rsidRDefault="00E67C6E">
      <w:pPr>
        <w:spacing w:after="0" w:line="259" w:lineRule="auto"/>
        <w:ind w:left="69" w:firstLine="0"/>
        <w:jc w:val="center"/>
      </w:pPr>
      <w:r>
        <w:t xml:space="preserve"> </w:t>
      </w:r>
    </w:p>
    <w:p w:rsidR="002C0F56" w:rsidRDefault="00E67C6E">
      <w:pPr>
        <w:spacing w:after="0" w:line="259" w:lineRule="auto"/>
        <w:ind w:left="69" w:firstLine="0"/>
        <w:jc w:val="center"/>
      </w:pPr>
      <w:r>
        <w:t xml:space="preserve"> </w:t>
      </w:r>
    </w:p>
    <w:p w:rsidR="002C0F56" w:rsidRDefault="00E67C6E">
      <w:pPr>
        <w:spacing w:after="24" w:line="259" w:lineRule="auto"/>
        <w:ind w:left="69" w:firstLine="0"/>
        <w:jc w:val="center"/>
      </w:pPr>
      <w:r>
        <w:t xml:space="preserve"> </w:t>
      </w:r>
    </w:p>
    <w:p w:rsidR="002C0F56" w:rsidRDefault="00E67C6E">
      <w:pPr>
        <w:spacing w:after="15" w:line="268" w:lineRule="auto"/>
        <w:ind w:left="1262" w:right="1290" w:hanging="10"/>
        <w:jc w:val="center"/>
      </w:pPr>
      <w:r>
        <w:t xml:space="preserve">Научное издание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57" w:line="259" w:lineRule="auto"/>
        <w:ind w:left="59" w:firstLine="0"/>
        <w:jc w:val="center"/>
      </w:pPr>
      <w:r>
        <w:rPr>
          <w:sz w:val="24"/>
        </w:rPr>
        <w:t xml:space="preserve"> </w:t>
      </w:r>
    </w:p>
    <w:p w:rsidR="002C0F56" w:rsidRDefault="00E67C6E">
      <w:pPr>
        <w:pStyle w:val="3"/>
        <w:ind w:left="700" w:right="690"/>
      </w:pPr>
      <w:r>
        <w:t xml:space="preserve">«ДНИ НАУКИ – 2017» </w:t>
      </w:r>
    </w:p>
    <w:p w:rsidR="002C0F56" w:rsidRDefault="00E67C6E">
      <w:pPr>
        <w:spacing w:after="15" w:line="271" w:lineRule="auto"/>
        <w:ind w:left="806" w:hanging="806"/>
        <w:jc w:val="left"/>
      </w:pPr>
      <w:r>
        <w:rPr>
          <w:b/>
        </w:rPr>
        <w:t xml:space="preserve">Материалы XXIII научно-практической конференции  студентов, аспирантов и молодых ученых </w:t>
      </w:r>
    </w:p>
    <w:p w:rsidR="002C0F56" w:rsidRDefault="00E67C6E">
      <w:pPr>
        <w:spacing w:after="9" w:line="259" w:lineRule="auto"/>
        <w:ind w:left="69" w:firstLine="0"/>
        <w:jc w:val="center"/>
      </w:pPr>
      <w:r>
        <w:rPr>
          <w:b/>
        </w:rPr>
        <w:t xml:space="preserve"> </w:t>
      </w:r>
    </w:p>
    <w:p w:rsidR="002C0F56" w:rsidRDefault="00E67C6E">
      <w:pPr>
        <w:spacing w:after="15" w:line="268" w:lineRule="auto"/>
        <w:ind w:left="1262" w:right="1251" w:hanging="10"/>
        <w:jc w:val="center"/>
      </w:pPr>
      <w:r>
        <w:t xml:space="preserve">27 апреля 2017 г. </w:t>
      </w:r>
    </w:p>
    <w:p w:rsidR="002C0F56" w:rsidRDefault="00E67C6E">
      <w:pPr>
        <w:spacing w:after="15" w:line="268" w:lineRule="auto"/>
        <w:ind w:left="1262" w:right="1250" w:hanging="10"/>
        <w:jc w:val="center"/>
      </w:pPr>
      <w:r>
        <w:t xml:space="preserve">г. Макеевка </w:t>
      </w:r>
    </w:p>
    <w:p w:rsidR="002C0F56" w:rsidRDefault="00E67C6E">
      <w:pPr>
        <w:spacing w:after="58" w:line="259" w:lineRule="auto"/>
        <w:ind w:left="59" w:firstLine="0"/>
        <w:jc w:val="center"/>
      </w:pPr>
      <w:r>
        <w:rPr>
          <w:sz w:val="24"/>
        </w:rPr>
        <w:t xml:space="preserve"> </w:t>
      </w:r>
    </w:p>
    <w:p w:rsidR="002C0F56" w:rsidRDefault="00E67C6E">
      <w:pPr>
        <w:pStyle w:val="3"/>
        <w:ind w:left="700" w:right="692"/>
      </w:pPr>
      <w:r>
        <w:t xml:space="preserve">Том 4 </w:t>
      </w:r>
    </w:p>
    <w:p w:rsidR="002C0F56" w:rsidRDefault="00E67C6E">
      <w:pPr>
        <w:spacing w:after="0" w:line="259" w:lineRule="auto"/>
        <w:ind w:left="69" w:firstLine="0"/>
        <w:jc w:val="center"/>
      </w:pPr>
      <w:r>
        <w:t xml:space="preserve"> </w:t>
      </w:r>
    </w:p>
    <w:p w:rsidR="002C0F56" w:rsidRDefault="00E67C6E">
      <w:pPr>
        <w:spacing w:after="0" w:line="259" w:lineRule="auto"/>
        <w:ind w:left="69" w:firstLine="0"/>
        <w:jc w:val="center"/>
      </w:pPr>
      <w:r>
        <w:t xml:space="preserve"> </w:t>
      </w:r>
    </w:p>
    <w:p w:rsidR="002C0F56" w:rsidRDefault="00E67C6E">
      <w:pPr>
        <w:spacing w:after="23" w:line="259" w:lineRule="auto"/>
        <w:ind w:left="69" w:firstLine="0"/>
        <w:jc w:val="center"/>
      </w:pPr>
      <w:r>
        <w:t xml:space="preserve"> </w:t>
      </w:r>
    </w:p>
    <w:p w:rsidR="002C0F56" w:rsidRDefault="00E67C6E">
      <w:pPr>
        <w:ind w:left="1179" w:right="302" w:hanging="89"/>
      </w:pPr>
      <w:r>
        <w:t xml:space="preserve">Главный редактор – </w:t>
      </w:r>
      <w:r>
        <w:rPr>
          <w:i/>
        </w:rPr>
        <w:t>Веретенников В.И.</w:t>
      </w:r>
      <w:r>
        <w:t xml:space="preserve"> </w:t>
      </w:r>
      <w:r>
        <w:t xml:space="preserve">Ответственный редактор – </w:t>
      </w:r>
      <w:r>
        <w:rPr>
          <w:i/>
        </w:rPr>
        <w:t xml:space="preserve">Чучко Е.П. </w:t>
      </w:r>
    </w:p>
    <w:p w:rsidR="002C0F56" w:rsidRDefault="00E67C6E">
      <w:pPr>
        <w:spacing w:after="0" w:line="259" w:lineRule="auto"/>
        <w:ind w:left="69" w:firstLine="0"/>
        <w:jc w:val="center"/>
      </w:pPr>
      <w:r>
        <w:t xml:space="preserve"> </w:t>
      </w:r>
    </w:p>
    <w:p w:rsidR="002C0F56" w:rsidRDefault="00E67C6E">
      <w:pPr>
        <w:spacing w:after="21" w:line="259" w:lineRule="auto"/>
        <w:ind w:left="69" w:firstLine="0"/>
        <w:jc w:val="center"/>
      </w:pPr>
      <w:r>
        <w:t xml:space="preserve"> </w:t>
      </w:r>
    </w:p>
    <w:p w:rsidR="002C0F56" w:rsidRDefault="00E67C6E">
      <w:pPr>
        <w:spacing w:after="15" w:line="268" w:lineRule="auto"/>
        <w:ind w:left="1262" w:right="1251" w:hanging="10"/>
        <w:jc w:val="center"/>
      </w:pPr>
      <w:r>
        <w:t xml:space="preserve">Оригинал-макет – </w:t>
      </w:r>
      <w:r>
        <w:rPr>
          <w:i/>
        </w:rPr>
        <w:t>Е.А. Перькова</w:t>
      </w:r>
      <w:r>
        <w:t xml:space="preserve"> </w:t>
      </w:r>
    </w:p>
    <w:p w:rsidR="002C0F56" w:rsidRDefault="00E67C6E">
      <w:pPr>
        <w:ind w:left="1491" w:right="302" w:hanging="385"/>
      </w:pPr>
      <w:r>
        <w:t xml:space="preserve">Компьютерная верстка – </w:t>
      </w:r>
      <w:r>
        <w:rPr>
          <w:i/>
        </w:rPr>
        <w:t xml:space="preserve">Е.А. Перькова </w:t>
      </w:r>
      <w:r>
        <w:t xml:space="preserve">Дизайн обложки – </w:t>
      </w:r>
      <w:r>
        <w:rPr>
          <w:i/>
        </w:rPr>
        <w:t xml:space="preserve">Е.А. Перькова </w:t>
      </w:r>
    </w:p>
    <w:p w:rsidR="002C0F56" w:rsidRDefault="00E67C6E">
      <w:pPr>
        <w:spacing w:after="0" w:line="259" w:lineRule="auto"/>
        <w:ind w:left="69" w:firstLine="0"/>
        <w:jc w:val="center"/>
      </w:pPr>
      <w: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lastRenderedPageBreak/>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0" w:line="259" w:lineRule="auto"/>
        <w:ind w:left="59" w:firstLine="0"/>
        <w:jc w:val="center"/>
      </w:pPr>
      <w:r>
        <w:rPr>
          <w:sz w:val="24"/>
        </w:rPr>
        <w:t xml:space="preserve"> </w:t>
      </w:r>
    </w:p>
    <w:p w:rsidR="002C0F56" w:rsidRDefault="00E67C6E">
      <w:pPr>
        <w:spacing w:after="5" w:line="259" w:lineRule="auto"/>
        <w:ind w:left="10" w:right="2" w:hanging="10"/>
        <w:jc w:val="center"/>
      </w:pPr>
      <w:r>
        <w:rPr>
          <w:sz w:val="20"/>
        </w:rPr>
        <w:t xml:space="preserve">Подписано в печать с оригинал-макета 30.04.2017. </w:t>
      </w:r>
    </w:p>
    <w:p w:rsidR="002C0F56" w:rsidRDefault="00E67C6E">
      <w:pPr>
        <w:spacing w:after="5" w:line="267" w:lineRule="auto"/>
        <w:ind w:left="1587" w:hanging="1035"/>
        <w:jc w:val="left"/>
      </w:pPr>
      <w:r>
        <w:rPr>
          <w:sz w:val="20"/>
        </w:rPr>
        <w:t xml:space="preserve">Формат 60х84 1/16. Бумага типограф. Гарнитура Times New Roman. Печать цифровая. Услов. печат. лист. 28,82. </w:t>
      </w:r>
      <w:r>
        <w:rPr>
          <w:sz w:val="24"/>
        </w:rPr>
        <w:t xml:space="preserve"> </w:t>
      </w:r>
    </w:p>
    <w:sectPr w:rsidR="002C0F56">
      <w:headerReference w:type="even" r:id="rId1423"/>
      <w:headerReference w:type="default" r:id="rId1424"/>
      <w:footerReference w:type="even" r:id="rId1425"/>
      <w:footerReference w:type="default" r:id="rId1426"/>
      <w:headerReference w:type="first" r:id="rId1427"/>
      <w:footerReference w:type="first" r:id="rId1428"/>
      <w:pgSz w:w="11906" w:h="16838"/>
      <w:pgMar w:top="1440" w:right="2489" w:bottom="1440" w:left="2489" w:header="720"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00" w:rsidRDefault="00E67C6E">
      <w:pPr>
        <w:spacing w:after="0" w:line="240" w:lineRule="auto"/>
      </w:pPr>
      <w:r>
        <w:separator/>
      </w:r>
    </w:p>
  </w:endnote>
  <w:endnote w:type="continuationSeparator" w:id="0">
    <w:p w:rsidR="00000000" w:rsidRDefault="00E67C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ook Antiqua">
    <w:panose1 w:val="02040602050305030304"/>
    <w:charset w:val="CC"/>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MT Extra">
    <w:panose1 w:val="05050102010205020202"/>
    <w:charset w:val="02"/>
    <w:family w:val="roman"/>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2" w:firstLine="0"/>
      <w:jc w:val="center"/>
    </w:pPr>
    <w:r>
      <w:fldChar w:fldCharType="begin"/>
    </w:r>
    <w:r>
      <w:instrText xml:space="preserve"> PAGE   \* MERGEFORMAT </w:instrText>
    </w:r>
    <w:r>
      <w:fldChar w:fldCharType="separate"/>
    </w:r>
    <w:r>
      <w:rPr>
        <w:sz w:val="20"/>
      </w:rPr>
      <w:t>512</w:t>
    </w:r>
    <w:r>
      <w:rPr>
        <w:sz w:val="20"/>
      </w:rPr>
      <w:fldChar w:fldCharType="end"/>
    </w:r>
    <w:r>
      <w:rPr>
        <w:sz w:val="20"/>
      </w:rPr>
      <w:t xml:space="preserve"> </w:t>
    </w:r>
  </w:p>
  <w:p w:rsidR="002C0F56" w:rsidRDefault="00E67C6E">
    <w:pPr>
      <w:spacing w:after="0" w:line="259" w:lineRule="auto"/>
      <w:ind w:left="-1356" w:firstLine="0"/>
      <w:jc w:val="left"/>
    </w:pPr>
    <w:r>
      <w:rPr>
        <w:sz w:val="24"/>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2" w:firstLine="0"/>
      <w:jc w:val="center"/>
    </w:pPr>
    <w:r>
      <w:fldChar w:fldCharType="begin"/>
    </w:r>
    <w:r>
      <w:instrText xml:space="preserve"> PAGE   \* MERGEFORMAT </w:instrText>
    </w:r>
    <w:r>
      <w:fldChar w:fldCharType="separate"/>
    </w:r>
    <w:r>
      <w:rPr>
        <w:sz w:val="20"/>
      </w:rPr>
      <w:t>512</w:t>
    </w:r>
    <w:r>
      <w:rPr>
        <w:sz w:val="20"/>
      </w:rPr>
      <w:fldChar w:fldCharType="end"/>
    </w:r>
    <w:r>
      <w:rPr>
        <w:sz w:val="20"/>
      </w:rPr>
      <w:t xml:space="preserve"> </w:t>
    </w:r>
  </w:p>
  <w:p w:rsidR="002C0F56" w:rsidRDefault="00E67C6E">
    <w:pPr>
      <w:spacing w:after="0" w:line="259" w:lineRule="auto"/>
      <w:ind w:left="-1356" w:firstLine="0"/>
      <w:jc w:val="left"/>
    </w:pPr>
    <w:r>
      <w:rPr>
        <w:sz w:val="24"/>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2" w:firstLine="0"/>
      <w:jc w:val="center"/>
    </w:pPr>
    <w:r>
      <w:fldChar w:fldCharType="begin"/>
    </w:r>
    <w:r>
      <w:instrText xml:space="preserve"> PAGE   \* MERGEFORMAT </w:instrText>
    </w:r>
    <w:r>
      <w:fldChar w:fldCharType="separate"/>
    </w:r>
    <w:r>
      <w:rPr>
        <w:sz w:val="20"/>
      </w:rPr>
      <w:t>512</w:t>
    </w:r>
    <w:r>
      <w:rPr>
        <w:sz w:val="20"/>
      </w:rPr>
      <w:fldChar w:fldCharType="end"/>
    </w:r>
    <w:r>
      <w:rPr>
        <w:sz w:val="20"/>
      </w:rPr>
      <w:t xml:space="preserve"> </w:t>
    </w:r>
  </w:p>
  <w:p w:rsidR="002C0F56" w:rsidRDefault="00E67C6E">
    <w:pPr>
      <w:spacing w:after="0" w:line="259" w:lineRule="auto"/>
      <w:ind w:left="-1356" w:firstLine="0"/>
      <w:jc w:val="left"/>
    </w:pPr>
    <w:r>
      <w:rPr>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71" w:firstLine="0"/>
      <w:jc w:val="center"/>
    </w:pPr>
    <w:r>
      <w:fldChar w:fldCharType="begin"/>
    </w:r>
    <w:r>
      <w:instrText xml:space="preserve"> PAGE   \* MERGEFORMAT </w:instrText>
    </w:r>
    <w:r>
      <w:fldChar w:fldCharType="separate"/>
    </w:r>
    <w:r>
      <w:rPr>
        <w:sz w:val="20"/>
      </w:rPr>
      <w:t>5</w:t>
    </w:r>
    <w:r>
      <w:rPr>
        <w:sz w:val="20"/>
      </w:rPr>
      <w:fldChar w:fldCharType="end"/>
    </w:r>
    <w:r>
      <w:rPr>
        <w:sz w:val="20"/>
      </w:rPr>
      <w:t xml:space="preserve"> </w:t>
    </w:r>
  </w:p>
  <w:p w:rsidR="002C0F56" w:rsidRDefault="00E67C6E">
    <w:pPr>
      <w:spacing w:after="0" w:line="259" w:lineRule="auto"/>
      <w:ind w:left="0" w:firstLine="0"/>
      <w:jc w:val="left"/>
    </w:pPr>
    <w:r>
      <w:rPr>
        <w:sz w:val="24"/>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71" w:firstLine="0"/>
      <w:jc w:val="center"/>
    </w:pPr>
    <w:r>
      <w:fldChar w:fldCharType="begin"/>
    </w:r>
    <w:r>
      <w:instrText xml:space="preserve"> PAGE   \* MERGEFORMAT </w:instrText>
    </w:r>
    <w:r>
      <w:fldChar w:fldCharType="separate"/>
    </w:r>
    <w:r>
      <w:rPr>
        <w:sz w:val="20"/>
      </w:rPr>
      <w:t>5</w:t>
    </w:r>
    <w:r>
      <w:rPr>
        <w:sz w:val="20"/>
      </w:rPr>
      <w:fldChar w:fldCharType="end"/>
    </w:r>
    <w:r>
      <w:rPr>
        <w:sz w:val="20"/>
      </w:rPr>
      <w:t xml:space="preserve"> </w:t>
    </w:r>
  </w:p>
  <w:p w:rsidR="002C0F56" w:rsidRDefault="00E67C6E">
    <w:pPr>
      <w:spacing w:after="0" w:line="259" w:lineRule="auto"/>
      <w:ind w:left="0" w:firstLine="0"/>
      <w:jc w:val="left"/>
    </w:pPr>
    <w:r>
      <w:rPr>
        <w:sz w:val="24"/>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71" w:firstLine="0"/>
      <w:jc w:val="center"/>
    </w:pPr>
    <w:r>
      <w:fldChar w:fldCharType="begin"/>
    </w:r>
    <w:r>
      <w:instrText xml:space="preserve"> PAGE   \* MERGEFORMAT </w:instrText>
    </w:r>
    <w:r>
      <w:fldChar w:fldCharType="separate"/>
    </w:r>
    <w:r>
      <w:rPr>
        <w:sz w:val="20"/>
      </w:rPr>
      <w:t>5</w:t>
    </w:r>
    <w:r>
      <w:rPr>
        <w:sz w:val="20"/>
      </w:rPr>
      <w:fldChar w:fldCharType="end"/>
    </w:r>
    <w:r>
      <w:rPr>
        <w:sz w:val="20"/>
      </w:rPr>
      <w:t xml:space="preserve"> </w:t>
    </w:r>
  </w:p>
  <w:p w:rsidR="002C0F56" w:rsidRDefault="00E67C6E">
    <w:pPr>
      <w:spacing w:after="0" w:line="259" w:lineRule="auto"/>
      <w:ind w:left="0" w:firstLine="0"/>
      <w:jc w:val="left"/>
    </w:pPr>
    <w:r>
      <w:rPr>
        <w:sz w:val="24"/>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688" w:firstLine="0"/>
      <w:jc w:val="center"/>
    </w:pPr>
    <w:r>
      <w:fldChar w:fldCharType="begin"/>
    </w:r>
    <w:r>
      <w:instrText xml:space="preserve"> PAGE   \* MERGEFORMAT </w:instrText>
    </w:r>
    <w:r>
      <w:fldChar w:fldCharType="separate"/>
    </w:r>
    <w:r>
      <w:rPr>
        <w:sz w:val="20"/>
      </w:rPr>
      <w:t>5</w:t>
    </w:r>
    <w:r>
      <w:rPr>
        <w:sz w:val="20"/>
      </w:rPr>
      <w:fldChar w:fldCharType="end"/>
    </w:r>
    <w:r>
      <w:rPr>
        <w:sz w:val="20"/>
      </w:rPr>
      <w:t xml:space="preserve"> </w:t>
    </w:r>
  </w:p>
  <w:p w:rsidR="002C0F56" w:rsidRDefault="00E67C6E">
    <w:pPr>
      <w:spacing w:after="0" w:line="259" w:lineRule="auto"/>
      <w:ind w:left="180" w:firstLine="0"/>
      <w:jc w:val="left"/>
    </w:pPr>
    <w:r>
      <w:rPr>
        <w:sz w:val="24"/>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688" w:firstLine="0"/>
      <w:jc w:val="center"/>
    </w:pPr>
    <w:r>
      <w:fldChar w:fldCharType="begin"/>
    </w:r>
    <w:r>
      <w:instrText xml:space="preserve"> PAGE   \* MERGEFOR</w:instrText>
    </w:r>
    <w:r>
      <w:instrText xml:space="preserve">MAT </w:instrText>
    </w:r>
    <w:r>
      <w:fldChar w:fldCharType="separate"/>
    </w:r>
    <w:r>
      <w:rPr>
        <w:sz w:val="20"/>
      </w:rPr>
      <w:t>5</w:t>
    </w:r>
    <w:r>
      <w:rPr>
        <w:sz w:val="20"/>
      </w:rPr>
      <w:fldChar w:fldCharType="end"/>
    </w:r>
    <w:r>
      <w:rPr>
        <w:sz w:val="20"/>
      </w:rPr>
      <w:t xml:space="preserve"> </w:t>
    </w:r>
  </w:p>
  <w:p w:rsidR="002C0F56" w:rsidRDefault="00E67C6E">
    <w:pPr>
      <w:spacing w:after="0" w:line="259" w:lineRule="auto"/>
      <w:ind w:left="180" w:firstLine="0"/>
      <w:jc w:val="left"/>
    </w:pPr>
    <w:r>
      <w:rPr>
        <w:sz w:val="24"/>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17" w:line="259" w:lineRule="auto"/>
      <w:ind w:left="0" w:right="688" w:firstLine="0"/>
      <w:jc w:val="center"/>
    </w:pPr>
    <w:r>
      <w:fldChar w:fldCharType="begin"/>
    </w:r>
    <w:r>
      <w:instrText xml:space="preserve"> PAGE   \* MERGEFORMAT </w:instrText>
    </w:r>
    <w:r>
      <w:fldChar w:fldCharType="separate"/>
    </w:r>
    <w:r>
      <w:rPr>
        <w:sz w:val="20"/>
      </w:rPr>
      <w:t>5</w:t>
    </w:r>
    <w:r>
      <w:rPr>
        <w:sz w:val="20"/>
      </w:rPr>
      <w:fldChar w:fldCharType="end"/>
    </w:r>
    <w:r>
      <w:rPr>
        <w:sz w:val="20"/>
      </w:rPr>
      <w:t xml:space="preserve"> </w:t>
    </w:r>
  </w:p>
  <w:p w:rsidR="002C0F56" w:rsidRDefault="00E67C6E">
    <w:pPr>
      <w:spacing w:after="0" w:line="259" w:lineRule="auto"/>
      <w:ind w:left="180" w:firstLine="0"/>
      <w:jc w:val="left"/>
    </w:pPr>
    <w:r>
      <w:rPr>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00" w:rsidRDefault="00E67C6E">
      <w:pPr>
        <w:spacing w:after="0" w:line="240" w:lineRule="auto"/>
      </w:pPr>
      <w:r>
        <w:separator/>
      </w:r>
    </w:p>
  </w:footnote>
  <w:footnote w:type="continuationSeparator" w:id="0">
    <w:p w:rsidR="00000000" w:rsidRDefault="00E67C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2C0F56">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28" w:line="259" w:lineRule="auto"/>
      <w:ind w:left="0" w:right="72" w:firstLine="0"/>
      <w:jc w:val="center"/>
    </w:pPr>
    <w:r>
      <w:rPr>
        <w:i/>
        <w:sz w:val="24"/>
      </w:rPr>
      <w:t xml:space="preserve">Содержание </w:t>
    </w:r>
  </w:p>
  <w:p w:rsidR="002C0F56" w:rsidRDefault="00E67C6E">
    <w:pPr>
      <w:spacing w:after="0" w:line="259" w:lineRule="auto"/>
      <w:ind w:left="0" w:right="10" w:firstLine="0"/>
      <w:jc w:val="right"/>
    </w:pPr>
    <w:r>
      <w:rPr>
        <w:noProof/>
      </w:rPr>
      <w:drawing>
        <wp:anchor distT="0" distB="0" distL="114300" distR="114300" simplePos="0" relativeHeight="251658240" behindDoc="0" locked="0" layoutInCell="1" allowOverlap="0">
          <wp:simplePos x="0" y="0"/>
          <wp:positionH relativeFrom="page">
            <wp:posOffset>1588135</wp:posOffset>
          </wp:positionH>
          <wp:positionV relativeFrom="page">
            <wp:posOffset>673735</wp:posOffset>
          </wp:positionV>
          <wp:extent cx="4381500" cy="94615"/>
          <wp:effectExtent l="0" t="0" r="0" b="0"/>
          <wp:wrapSquare wrapText="bothSides"/>
          <wp:docPr id="576" name="Picture 576"/>
          <wp:cNvGraphicFramePr/>
          <a:graphic xmlns:a="http://schemas.openxmlformats.org/drawingml/2006/main">
            <a:graphicData uri="http://schemas.openxmlformats.org/drawingml/2006/picture">
              <pic:pic xmlns:pic="http://schemas.openxmlformats.org/drawingml/2006/picture">
                <pic:nvPicPr>
                  <pic:cNvPr id="576" name="Picture 576"/>
                  <pic:cNvPicPr/>
                </pic:nvPicPr>
                <pic:blipFill>
                  <a:blip r:embed="rId1"/>
                  <a:stretch>
                    <a:fillRect/>
                  </a:stretch>
                </pic:blipFill>
                <pic:spPr>
                  <a:xfrm>
                    <a:off x="0" y="0"/>
                    <a:ext cx="4381500" cy="94615"/>
                  </a:xfrm>
                  <a:prstGeom prst="rect">
                    <a:avLst/>
                  </a:prstGeom>
                </pic:spPr>
              </pic:pic>
            </a:graphicData>
          </a:graphic>
        </wp:anchor>
      </w:drawing>
    </w:r>
    <w:r>
      <w:rPr>
        <w:i/>
        <w:sz w:val="24"/>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28" w:line="259" w:lineRule="auto"/>
      <w:ind w:left="0" w:right="72" w:firstLine="0"/>
      <w:jc w:val="center"/>
    </w:pPr>
    <w:r>
      <w:rPr>
        <w:i/>
        <w:sz w:val="24"/>
      </w:rPr>
      <w:t xml:space="preserve">Содержание </w:t>
    </w:r>
  </w:p>
  <w:p w:rsidR="002C0F56" w:rsidRDefault="00E67C6E">
    <w:pPr>
      <w:spacing w:after="758" w:line="259" w:lineRule="auto"/>
      <w:ind w:left="0" w:right="10" w:firstLine="0"/>
      <w:jc w:val="right"/>
    </w:pPr>
    <w:r>
      <w:rPr>
        <w:noProof/>
      </w:rPr>
      <w:drawing>
        <wp:anchor distT="0" distB="0" distL="114300" distR="114300" simplePos="0" relativeHeight="251659264" behindDoc="0" locked="0" layoutInCell="1" allowOverlap="0">
          <wp:simplePos x="0" y="0"/>
          <wp:positionH relativeFrom="page">
            <wp:posOffset>1588135</wp:posOffset>
          </wp:positionH>
          <wp:positionV relativeFrom="page">
            <wp:posOffset>673735</wp:posOffset>
          </wp:positionV>
          <wp:extent cx="4381500" cy="94615"/>
          <wp:effectExtent l="0" t="0" r="0" b="0"/>
          <wp:wrapSquare wrapText="bothSides"/>
          <wp:docPr id="1053" name="Picture 1053"/>
          <wp:cNvGraphicFramePr/>
          <a:graphic xmlns:a="http://schemas.openxmlformats.org/drawingml/2006/main">
            <a:graphicData uri="http://schemas.openxmlformats.org/drawingml/2006/picture">
              <pic:pic xmlns:pic="http://schemas.openxmlformats.org/drawingml/2006/picture">
                <pic:nvPicPr>
                  <pic:cNvPr id="1053" name="Picture 1053"/>
                  <pic:cNvPicPr/>
                </pic:nvPicPr>
                <pic:blipFill>
                  <a:blip r:embed="rId1"/>
                  <a:stretch>
                    <a:fillRect/>
                  </a:stretch>
                </pic:blipFill>
                <pic:spPr>
                  <a:xfrm>
                    <a:off x="0" y="0"/>
                    <a:ext cx="4381500" cy="94615"/>
                  </a:xfrm>
                  <a:prstGeom prst="rect">
                    <a:avLst/>
                  </a:prstGeom>
                </pic:spPr>
              </pic:pic>
            </a:graphicData>
          </a:graphic>
        </wp:anchor>
      </w:drawing>
    </w:r>
    <w:r>
      <w:rPr>
        <w:i/>
        <w:sz w:val="24"/>
      </w:rPr>
      <w:tab/>
      <w:t xml:space="preserve"> </w:t>
    </w:r>
  </w:p>
  <w:p w:rsidR="002C0F56" w:rsidRDefault="00E67C6E">
    <w:pPr>
      <w:spacing w:after="0" w:line="259" w:lineRule="auto"/>
      <w:ind w:left="0" w:right="20" w:firstLine="0"/>
      <w:jc w:val="right"/>
    </w:pPr>
    <w:r>
      <w:rPr>
        <w:sz w:val="24"/>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28" w:line="259" w:lineRule="auto"/>
      <w:ind w:left="0" w:right="72" w:firstLine="0"/>
      <w:jc w:val="center"/>
    </w:pPr>
    <w:r>
      <w:rPr>
        <w:i/>
        <w:sz w:val="24"/>
      </w:rPr>
      <w:t xml:space="preserve">Содержание </w:t>
    </w:r>
  </w:p>
  <w:p w:rsidR="002C0F56" w:rsidRDefault="00E67C6E">
    <w:pPr>
      <w:spacing w:after="0" w:line="259" w:lineRule="auto"/>
      <w:ind w:left="0" w:right="10" w:firstLine="0"/>
      <w:jc w:val="right"/>
    </w:pPr>
    <w:r>
      <w:rPr>
        <w:noProof/>
      </w:rPr>
      <w:drawing>
        <wp:anchor distT="0" distB="0" distL="114300" distR="114300" simplePos="0" relativeHeight="251660288" behindDoc="0" locked="0" layoutInCell="1" allowOverlap="0">
          <wp:simplePos x="0" y="0"/>
          <wp:positionH relativeFrom="page">
            <wp:posOffset>1588135</wp:posOffset>
          </wp:positionH>
          <wp:positionV relativeFrom="page">
            <wp:posOffset>673735</wp:posOffset>
          </wp:positionV>
          <wp:extent cx="4381500" cy="94615"/>
          <wp:effectExtent l="0" t="0" r="0" b="0"/>
          <wp:wrapSquare wrapText="bothSides"/>
          <wp:docPr id="1" name="Picture 576"/>
          <wp:cNvGraphicFramePr/>
          <a:graphic xmlns:a="http://schemas.openxmlformats.org/drawingml/2006/main">
            <a:graphicData uri="http://schemas.openxmlformats.org/drawingml/2006/picture">
              <pic:pic xmlns:pic="http://schemas.openxmlformats.org/drawingml/2006/picture">
                <pic:nvPicPr>
                  <pic:cNvPr id="576" name="Picture 576"/>
                  <pic:cNvPicPr/>
                </pic:nvPicPr>
                <pic:blipFill>
                  <a:blip r:embed="rId1"/>
                  <a:stretch>
                    <a:fillRect/>
                  </a:stretch>
                </pic:blipFill>
                <pic:spPr>
                  <a:xfrm>
                    <a:off x="0" y="0"/>
                    <a:ext cx="4381500" cy="94615"/>
                  </a:xfrm>
                  <a:prstGeom prst="rect">
                    <a:avLst/>
                  </a:prstGeom>
                </pic:spPr>
              </pic:pic>
            </a:graphicData>
          </a:graphic>
        </wp:anchor>
      </w:drawing>
    </w:r>
    <w:r>
      <w:rPr>
        <w:i/>
        <w:sz w:val="24"/>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6" w:line="279" w:lineRule="auto"/>
      <w:ind w:left="1748" w:hanging="490"/>
      <w:jc w:val="left"/>
    </w:pPr>
    <w:r>
      <w:rPr>
        <w:i/>
        <w:sz w:val="24"/>
      </w:rPr>
      <w:t xml:space="preserve">Секция 4: Экономическая теория, менеджмент, экология, безопасность жизнедеятельности, математика, информационные системы </w:t>
    </w:r>
  </w:p>
  <w:p w:rsidR="002C0F56" w:rsidRDefault="00E67C6E">
    <w:pPr>
      <w:spacing w:after="0" w:line="259" w:lineRule="auto"/>
      <w:ind w:left="0" w:right="807" w:firstLine="0"/>
      <w:jc w:val="right"/>
    </w:pPr>
    <w:r>
      <w:rPr>
        <w:noProof/>
      </w:rPr>
      <w:drawing>
        <wp:anchor distT="0" distB="0" distL="114300" distR="114300" simplePos="0" relativeHeight="251661312" behindDoc="0" locked="0" layoutInCell="1" allowOverlap="0">
          <wp:simplePos x="0" y="0"/>
          <wp:positionH relativeFrom="page">
            <wp:posOffset>1588135</wp:posOffset>
          </wp:positionH>
          <wp:positionV relativeFrom="page">
            <wp:posOffset>848995</wp:posOffset>
          </wp:positionV>
          <wp:extent cx="4381500" cy="94615"/>
          <wp:effectExtent l="0" t="0" r="0" b="0"/>
          <wp:wrapSquare wrapText="bothSides"/>
          <wp:docPr id="3664" name="Picture 3664"/>
          <wp:cNvGraphicFramePr/>
          <a:graphic xmlns:a="http://schemas.openxmlformats.org/drawingml/2006/main">
            <a:graphicData uri="http://schemas.openxmlformats.org/drawingml/2006/picture">
              <pic:pic xmlns:pic="http://schemas.openxmlformats.org/drawingml/2006/picture">
                <pic:nvPicPr>
                  <pic:cNvPr id="3664" name="Picture 3664"/>
                  <pic:cNvPicPr/>
                </pic:nvPicPr>
                <pic:blipFill>
                  <a:blip r:embed="rId1"/>
                  <a:stretch>
                    <a:fillRect/>
                  </a:stretch>
                </pic:blipFill>
                <pic:spPr>
                  <a:xfrm>
                    <a:off x="0" y="0"/>
                    <a:ext cx="4381500" cy="94615"/>
                  </a:xfrm>
                  <a:prstGeom prst="rect">
                    <a:avLst/>
                  </a:prstGeom>
                </pic:spPr>
              </pic:pic>
            </a:graphicData>
          </a:graphic>
        </wp:anchor>
      </w:drawing>
    </w:r>
    <w:r>
      <w:rPr>
        <w:i/>
        <w:sz w:val="24"/>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6" w:line="279" w:lineRule="auto"/>
      <w:ind w:left="1748" w:hanging="490"/>
      <w:jc w:val="left"/>
    </w:pPr>
    <w:r>
      <w:rPr>
        <w:i/>
        <w:sz w:val="24"/>
      </w:rPr>
      <w:t>Секция 4: Экономическая теория, менеджмент, экол</w:t>
    </w:r>
    <w:r>
      <w:rPr>
        <w:i/>
        <w:sz w:val="24"/>
      </w:rPr>
      <w:t xml:space="preserve">огия, безопасность жизнедеятельности, математика, информационные системы </w:t>
    </w:r>
  </w:p>
  <w:p w:rsidR="002C0F56" w:rsidRDefault="00E67C6E">
    <w:pPr>
      <w:spacing w:after="0" w:line="259" w:lineRule="auto"/>
      <w:ind w:left="0" w:right="807" w:firstLine="0"/>
      <w:jc w:val="right"/>
    </w:pPr>
    <w:r>
      <w:rPr>
        <w:noProof/>
      </w:rPr>
      <w:drawing>
        <wp:anchor distT="0" distB="0" distL="114300" distR="114300" simplePos="0" relativeHeight="251662336" behindDoc="0" locked="0" layoutInCell="1" allowOverlap="0">
          <wp:simplePos x="0" y="0"/>
          <wp:positionH relativeFrom="page">
            <wp:posOffset>1588135</wp:posOffset>
          </wp:positionH>
          <wp:positionV relativeFrom="page">
            <wp:posOffset>848995</wp:posOffset>
          </wp:positionV>
          <wp:extent cx="4381500" cy="94615"/>
          <wp:effectExtent l="0" t="0" r="0" b="0"/>
          <wp:wrapSquare wrapText="bothSides"/>
          <wp:docPr id="2" name="Picture 3664"/>
          <wp:cNvGraphicFramePr/>
          <a:graphic xmlns:a="http://schemas.openxmlformats.org/drawingml/2006/main">
            <a:graphicData uri="http://schemas.openxmlformats.org/drawingml/2006/picture">
              <pic:pic xmlns:pic="http://schemas.openxmlformats.org/drawingml/2006/picture">
                <pic:nvPicPr>
                  <pic:cNvPr id="3664" name="Picture 3664"/>
                  <pic:cNvPicPr/>
                </pic:nvPicPr>
                <pic:blipFill>
                  <a:blip r:embed="rId1"/>
                  <a:stretch>
                    <a:fillRect/>
                  </a:stretch>
                </pic:blipFill>
                <pic:spPr>
                  <a:xfrm>
                    <a:off x="0" y="0"/>
                    <a:ext cx="4381500" cy="94615"/>
                  </a:xfrm>
                  <a:prstGeom prst="rect">
                    <a:avLst/>
                  </a:prstGeom>
                </pic:spPr>
              </pic:pic>
            </a:graphicData>
          </a:graphic>
        </wp:anchor>
      </w:drawing>
    </w:r>
    <w:r>
      <w:rPr>
        <w:i/>
        <w:sz w:val="24"/>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F56" w:rsidRDefault="00E67C6E">
    <w:pPr>
      <w:spacing w:after="6" w:line="279" w:lineRule="auto"/>
      <w:ind w:left="1748" w:hanging="490"/>
      <w:jc w:val="left"/>
    </w:pPr>
    <w:r>
      <w:rPr>
        <w:i/>
        <w:sz w:val="24"/>
      </w:rPr>
      <w:t xml:space="preserve">Секция 4: Экономическая теория, менеджмент, экология, безопасность жизнедеятельности, математика, информационные системы </w:t>
    </w:r>
  </w:p>
  <w:p w:rsidR="002C0F56" w:rsidRDefault="00E67C6E">
    <w:pPr>
      <w:spacing w:after="0" w:line="259" w:lineRule="auto"/>
      <w:ind w:left="0" w:right="807" w:firstLine="0"/>
      <w:jc w:val="right"/>
    </w:pPr>
    <w:r>
      <w:rPr>
        <w:noProof/>
      </w:rPr>
      <w:drawing>
        <wp:anchor distT="0" distB="0" distL="114300" distR="114300" simplePos="0" relativeHeight="251663360" behindDoc="0" locked="0" layoutInCell="1" allowOverlap="0">
          <wp:simplePos x="0" y="0"/>
          <wp:positionH relativeFrom="page">
            <wp:posOffset>1588135</wp:posOffset>
          </wp:positionH>
          <wp:positionV relativeFrom="page">
            <wp:posOffset>848995</wp:posOffset>
          </wp:positionV>
          <wp:extent cx="4381500" cy="94615"/>
          <wp:effectExtent l="0" t="0" r="0" b="0"/>
          <wp:wrapSquare wrapText="bothSides"/>
          <wp:docPr id="3" name="Picture 3664"/>
          <wp:cNvGraphicFramePr/>
          <a:graphic xmlns:a="http://schemas.openxmlformats.org/drawingml/2006/main">
            <a:graphicData uri="http://schemas.openxmlformats.org/drawingml/2006/picture">
              <pic:pic xmlns:pic="http://schemas.openxmlformats.org/drawingml/2006/picture">
                <pic:nvPicPr>
                  <pic:cNvPr id="3664" name="Picture 3664"/>
                  <pic:cNvPicPr/>
                </pic:nvPicPr>
                <pic:blipFill>
                  <a:blip r:embed="rId1"/>
                  <a:stretch>
                    <a:fillRect/>
                  </a:stretch>
                </pic:blipFill>
                <pic:spPr>
                  <a:xfrm>
                    <a:off x="0" y="0"/>
                    <a:ext cx="4381500" cy="94615"/>
                  </a:xfrm>
                  <a:prstGeom prst="rect">
                    <a:avLst/>
                  </a:prstGeom>
                </pic:spPr>
              </pic:pic>
            </a:graphicData>
          </a:graphic>
        </wp:anchor>
      </w:drawing>
    </w:r>
    <w:r>
      <w:rPr>
        <w:i/>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46C2B"/>
    <w:multiLevelType w:val="hybridMultilevel"/>
    <w:tmpl w:val="DE2276F6"/>
    <w:lvl w:ilvl="0" w:tplc="4BA6821C">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7740B2E">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5FE7A54">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408E7D0">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A7A7352">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41E116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A0E7E24">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0E6CD18">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3965DB6">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08934A2"/>
    <w:multiLevelType w:val="hybridMultilevel"/>
    <w:tmpl w:val="AEFCA53C"/>
    <w:lvl w:ilvl="0" w:tplc="5CF46922">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9A6DB4A">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A34547A">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CF0FCF2">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B7E7E9C">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200B32">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E46341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A163E3A">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2947F56">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08C30E5"/>
    <w:multiLevelType w:val="hybridMultilevel"/>
    <w:tmpl w:val="E71A8DD4"/>
    <w:lvl w:ilvl="0" w:tplc="888A8ADE">
      <w:start w:val="1"/>
      <w:numFmt w:val="bullet"/>
      <w:lvlText w:val="•"/>
      <w:lvlJc w:val="left"/>
      <w:pPr>
        <w:ind w:left="74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DD6EE5E">
      <w:start w:val="1"/>
      <w:numFmt w:val="bullet"/>
      <w:lvlText w:val="o"/>
      <w:lvlJc w:val="left"/>
      <w:pPr>
        <w:ind w:left="164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7E21FD2">
      <w:start w:val="1"/>
      <w:numFmt w:val="bullet"/>
      <w:lvlText w:val="▪"/>
      <w:lvlJc w:val="left"/>
      <w:pPr>
        <w:ind w:left="236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ED84D72">
      <w:start w:val="1"/>
      <w:numFmt w:val="bullet"/>
      <w:lvlText w:val="•"/>
      <w:lvlJc w:val="left"/>
      <w:pPr>
        <w:ind w:left="308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970AF65E">
      <w:start w:val="1"/>
      <w:numFmt w:val="bullet"/>
      <w:lvlText w:val="o"/>
      <w:lvlJc w:val="left"/>
      <w:pPr>
        <w:ind w:left="380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1E528E72">
      <w:start w:val="1"/>
      <w:numFmt w:val="bullet"/>
      <w:lvlText w:val="▪"/>
      <w:lvlJc w:val="left"/>
      <w:pPr>
        <w:ind w:left="452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EA0D31C">
      <w:start w:val="1"/>
      <w:numFmt w:val="bullet"/>
      <w:lvlText w:val="•"/>
      <w:lvlJc w:val="left"/>
      <w:pPr>
        <w:ind w:left="524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FD684F4">
      <w:start w:val="1"/>
      <w:numFmt w:val="bullet"/>
      <w:lvlText w:val="o"/>
      <w:lvlJc w:val="left"/>
      <w:pPr>
        <w:ind w:left="596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FB50CB28">
      <w:start w:val="1"/>
      <w:numFmt w:val="bullet"/>
      <w:lvlText w:val="▪"/>
      <w:lvlJc w:val="left"/>
      <w:pPr>
        <w:ind w:left="668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00A555F8"/>
    <w:multiLevelType w:val="hybridMultilevel"/>
    <w:tmpl w:val="9F90EC96"/>
    <w:lvl w:ilvl="0" w:tplc="F36C0304">
      <w:start w:val="3"/>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4D2CEF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4205E3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D981DB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946FD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77A191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0F0218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494D7A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E60E5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00A862F7"/>
    <w:multiLevelType w:val="hybridMultilevel"/>
    <w:tmpl w:val="B86EDDF8"/>
    <w:lvl w:ilvl="0" w:tplc="30B855A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73CA84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EBE8B0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260AAA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434E87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52FB9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FD2314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8AC637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084E30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028563A6"/>
    <w:multiLevelType w:val="hybridMultilevel"/>
    <w:tmpl w:val="27463414"/>
    <w:lvl w:ilvl="0" w:tplc="69C65FA8">
      <w:start w:val="3"/>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E406C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7BC0CF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4CCBD7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7CDA0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7A4656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ADE359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6728DA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3F2C3C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03993669"/>
    <w:multiLevelType w:val="hybridMultilevel"/>
    <w:tmpl w:val="4B9AC44A"/>
    <w:lvl w:ilvl="0" w:tplc="F1C819F4">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18AFCE">
      <w:start w:val="1"/>
      <w:numFmt w:val="lowerLetter"/>
      <w:lvlText w:val="%2"/>
      <w:lvlJc w:val="left"/>
      <w:pPr>
        <w:ind w:left="17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38CA1E">
      <w:start w:val="1"/>
      <w:numFmt w:val="lowerRoman"/>
      <w:lvlText w:val="%3"/>
      <w:lvlJc w:val="left"/>
      <w:pPr>
        <w:ind w:left="24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A7C695C">
      <w:start w:val="1"/>
      <w:numFmt w:val="decimal"/>
      <w:lvlText w:val="%4"/>
      <w:lvlJc w:val="left"/>
      <w:pPr>
        <w:ind w:left="31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0900D44">
      <w:start w:val="1"/>
      <w:numFmt w:val="lowerLetter"/>
      <w:lvlText w:val="%5"/>
      <w:lvlJc w:val="left"/>
      <w:pPr>
        <w:ind w:left="38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58A4B3C">
      <w:start w:val="1"/>
      <w:numFmt w:val="lowerRoman"/>
      <w:lvlText w:val="%6"/>
      <w:lvlJc w:val="left"/>
      <w:pPr>
        <w:ind w:left="46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29A2062">
      <w:start w:val="1"/>
      <w:numFmt w:val="decimal"/>
      <w:lvlText w:val="%7"/>
      <w:lvlJc w:val="left"/>
      <w:pPr>
        <w:ind w:left="53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9FA439A">
      <w:start w:val="1"/>
      <w:numFmt w:val="lowerLetter"/>
      <w:lvlText w:val="%8"/>
      <w:lvlJc w:val="left"/>
      <w:pPr>
        <w:ind w:left="60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6962594">
      <w:start w:val="1"/>
      <w:numFmt w:val="lowerRoman"/>
      <w:lvlText w:val="%9"/>
      <w:lvlJc w:val="left"/>
      <w:pPr>
        <w:ind w:left="67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047D6348"/>
    <w:multiLevelType w:val="hybridMultilevel"/>
    <w:tmpl w:val="3620CABC"/>
    <w:lvl w:ilvl="0" w:tplc="1364518E">
      <w:start w:val="1"/>
      <w:numFmt w:val="decimal"/>
      <w:lvlText w:val="%1."/>
      <w:lvlJc w:val="left"/>
      <w:pPr>
        <w:ind w:left="10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28A43A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844193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D42F2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9F288F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A845A1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0EE221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9CC052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30CE2B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04BE1437"/>
    <w:multiLevelType w:val="hybridMultilevel"/>
    <w:tmpl w:val="80AEF9B2"/>
    <w:lvl w:ilvl="0" w:tplc="E7D09BF0">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3CEF3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5CE25E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662410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3D63D0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DA2B9B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AA991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992A61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1BA03E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0512386F"/>
    <w:multiLevelType w:val="hybridMultilevel"/>
    <w:tmpl w:val="5DE69582"/>
    <w:lvl w:ilvl="0" w:tplc="24FC4146">
      <w:start w:val="3"/>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0D4022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340E31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4D6823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17CDFB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87007C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F10D7D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272706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CD605F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05622F45"/>
    <w:multiLevelType w:val="hybridMultilevel"/>
    <w:tmpl w:val="28ACCFBC"/>
    <w:lvl w:ilvl="0" w:tplc="E772902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A1ADC9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352A5C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C94CB9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95837E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D84FF2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C12CFF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E5A391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9AE2BB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057E563A"/>
    <w:multiLevelType w:val="hybridMultilevel"/>
    <w:tmpl w:val="5200384E"/>
    <w:lvl w:ilvl="0" w:tplc="6CE4CD72">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4B044A7C">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0F4AF362">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9AE72B6">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8F02EB2">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C9E0272">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2488CCDA">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69903FE8">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89466C6">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059554AA"/>
    <w:multiLevelType w:val="hybridMultilevel"/>
    <w:tmpl w:val="92CAE030"/>
    <w:lvl w:ilvl="0" w:tplc="458EBC84">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98E40466">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F71A5B74">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D6D43F5C">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D247AB4">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C9BCC5BC">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38EA084">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7D083340">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78CEFC0">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05B8135C"/>
    <w:multiLevelType w:val="hybridMultilevel"/>
    <w:tmpl w:val="BAE0C7F2"/>
    <w:lvl w:ilvl="0" w:tplc="3A08909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D2A101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682770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776379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1FA45D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12C9F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33E298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080C04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B7A195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061925BF"/>
    <w:multiLevelType w:val="hybridMultilevel"/>
    <w:tmpl w:val="8534B5BA"/>
    <w:lvl w:ilvl="0" w:tplc="3DA07EDC">
      <w:start w:val="1"/>
      <w:numFmt w:val="bullet"/>
      <w:lvlText w:val=""/>
      <w:lvlJc w:val="left"/>
      <w:pPr>
        <w:ind w:left="16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652CC7D0">
      <w:start w:val="1"/>
      <w:numFmt w:val="bullet"/>
      <w:lvlText w:val="o"/>
      <w:lvlJc w:val="left"/>
      <w:pPr>
        <w:ind w:left="164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FA449E94">
      <w:start w:val="1"/>
      <w:numFmt w:val="bullet"/>
      <w:lvlText w:val="▪"/>
      <w:lvlJc w:val="left"/>
      <w:pPr>
        <w:ind w:left="236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4425882">
      <w:start w:val="1"/>
      <w:numFmt w:val="bullet"/>
      <w:lvlText w:val="•"/>
      <w:lvlJc w:val="left"/>
      <w:pPr>
        <w:ind w:left="3081"/>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F412E5AC">
      <w:start w:val="1"/>
      <w:numFmt w:val="bullet"/>
      <w:lvlText w:val="o"/>
      <w:lvlJc w:val="left"/>
      <w:pPr>
        <w:ind w:left="380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B4D038FC">
      <w:start w:val="1"/>
      <w:numFmt w:val="bullet"/>
      <w:lvlText w:val="▪"/>
      <w:lvlJc w:val="left"/>
      <w:pPr>
        <w:ind w:left="452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60E95B8">
      <w:start w:val="1"/>
      <w:numFmt w:val="bullet"/>
      <w:lvlText w:val="•"/>
      <w:lvlJc w:val="left"/>
      <w:pPr>
        <w:ind w:left="5241"/>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D106AC8">
      <w:start w:val="1"/>
      <w:numFmt w:val="bullet"/>
      <w:lvlText w:val="o"/>
      <w:lvlJc w:val="left"/>
      <w:pPr>
        <w:ind w:left="596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F06AF34">
      <w:start w:val="1"/>
      <w:numFmt w:val="bullet"/>
      <w:lvlText w:val="▪"/>
      <w:lvlJc w:val="left"/>
      <w:pPr>
        <w:ind w:left="668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0682524F"/>
    <w:multiLevelType w:val="hybridMultilevel"/>
    <w:tmpl w:val="C2584230"/>
    <w:lvl w:ilvl="0" w:tplc="9124796A">
      <w:start w:val="1"/>
      <w:numFmt w:val="decimal"/>
      <w:lvlText w:val="%1)"/>
      <w:lvlJc w:val="left"/>
      <w:pPr>
        <w:ind w:left="15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B88075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2B8040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896A06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EA006F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4A82E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CF4CE9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4C474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46490E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06F922D3"/>
    <w:multiLevelType w:val="hybridMultilevel"/>
    <w:tmpl w:val="6394B1F6"/>
    <w:lvl w:ilvl="0" w:tplc="D66CA4E0">
      <w:start w:val="1"/>
      <w:numFmt w:val="bullet"/>
      <w:lvlText w:val="•"/>
      <w:lvlJc w:val="left"/>
      <w:pPr>
        <w:ind w:left="2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E5492F0">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BFCEE80">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664E630">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AF097DE">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40E3244">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EB27108">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6C4F55A">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EBCFDC0">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7172A2B"/>
    <w:multiLevelType w:val="hybridMultilevel"/>
    <w:tmpl w:val="C7F47F56"/>
    <w:lvl w:ilvl="0" w:tplc="67FEFD98">
      <w:start w:val="1"/>
      <w:numFmt w:val="bullet"/>
      <w:lvlText w:val="-"/>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A58439C">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AB66A2A">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5544CD2">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87EC83C">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C2E3488">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77A968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9266A36">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38AAA2C">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073E060E"/>
    <w:multiLevelType w:val="hybridMultilevel"/>
    <w:tmpl w:val="0C3A85FC"/>
    <w:lvl w:ilvl="0" w:tplc="92FC5BC4">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6410A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8D602C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210CF0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3543ED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FEA52A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8B4FF7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F1A1B9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78A51A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073E7A0D"/>
    <w:multiLevelType w:val="hybridMultilevel"/>
    <w:tmpl w:val="13CE31DA"/>
    <w:lvl w:ilvl="0" w:tplc="CE2AE19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D50CD2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F0A7D8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04E5CC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08A30C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1B06E2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52BD1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376E43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166912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078C3A03"/>
    <w:multiLevelType w:val="hybridMultilevel"/>
    <w:tmpl w:val="9AC02DAA"/>
    <w:lvl w:ilvl="0" w:tplc="1E143E54">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782EAF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AB0B92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CFEFBE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5EA1C0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80E7B5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60966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468EE0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9E8B54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08240018"/>
    <w:multiLevelType w:val="hybridMultilevel"/>
    <w:tmpl w:val="A0E0421E"/>
    <w:lvl w:ilvl="0" w:tplc="060EC33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2B8B27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54AEC5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3ACEFA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A9A4A8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4EE02A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702529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AAA28E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33E34D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08850E36"/>
    <w:multiLevelType w:val="hybridMultilevel"/>
    <w:tmpl w:val="B02C3E2E"/>
    <w:lvl w:ilvl="0" w:tplc="BBE0F684">
      <w:start w:val="1"/>
      <w:numFmt w:val="bullet"/>
      <w:lvlText w:val="-"/>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810EB8A">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658D728">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0845DF8">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5029E1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5044D7C">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B3C25C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BD89232">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0F4EE92">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08B35B82"/>
    <w:multiLevelType w:val="hybridMultilevel"/>
    <w:tmpl w:val="8D1C12FA"/>
    <w:lvl w:ilvl="0" w:tplc="5798E46A">
      <w:start w:val="1"/>
      <w:numFmt w:val="decimal"/>
      <w:lvlText w:val="%1."/>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C3C99E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3F62A2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5686F6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3CEB94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D927B1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0C427B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CF8A41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FD691E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08C1762B"/>
    <w:multiLevelType w:val="hybridMultilevel"/>
    <w:tmpl w:val="32A69ADE"/>
    <w:lvl w:ilvl="0" w:tplc="E10C41A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A8B1D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7242B7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E4F2D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AD8665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DA494D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986DB3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F90FD4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14E1BC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08FE1DD9"/>
    <w:multiLevelType w:val="hybridMultilevel"/>
    <w:tmpl w:val="6554AAFA"/>
    <w:lvl w:ilvl="0" w:tplc="E7C06E52">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E869B3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4F2EEB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94638C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3DA2ED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472230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8E0647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376138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516148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0A8305DC"/>
    <w:multiLevelType w:val="hybridMultilevel"/>
    <w:tmpl w:val="DB1EA8C4"/>
    <w:lvl w:ilvl="0" w:tplc="EA48919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FC22FC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BF81C9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9D8B6E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F68332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8709B0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262370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6460EA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2D0D65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0A9E7E7E"/>
    <w:multiLevelType w:val="hybridMultilevel"/>
    <w:tmpl w:val="EA24F508"/>
    <w:lvl w:ilvl="0" w:tplc="C2EC713A">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36E655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BEEE0F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796797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664E15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5E85A8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628202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42ED61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3C27E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0ADB1873"/>
    <w:multiLevelType w:val="hybridMultilevel"/>
    <w:tmpl w:val="75FC9E98"/>
    <w:lvl w:ilvl="0" w:tplc="D2A46E22">
      <w:start w:val="1"/>
      <w:numFmt w:val="bullet"/>
      <w:lvlText w:val="–"/>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D9CAD06">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F1AB6F8">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43A0662">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72E8922">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88C9116">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782C312">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26AC54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2C2A80">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0AEC39C1"/>
    <w:multiLevelType w:val="hybridMultilevel"/>
    <w:tmpl w:val="E12CEFD6"/>
    <w:lvl w:ilvl="0" w:tplc="A9DAB656">
      <w:start w:val="1"/>
      <w:numFmt w:val="decimal"/>
      <w:lvlText w:val="%1."/>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0C25E0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7E8197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A586D0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4B249A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A823E7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732CC9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BE89FE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C7041E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0BBF4E58"/>
    <w:multiLevelType w:val="hybridMultilevel"/>
    <w:tmpl w:val="B298281E"/>
    <w:lvl w:ilvl="0" w:tplc="67440D82">
      <w:start w:val="1"/>
      <w:numFmt w:val="decimal"/>
      <w:lvlText w:val="%1"/>
      <w:lvlJc w:val="left"/>
      <w:pPr>
        <w:ind w:left="9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B0CA4B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DD8DDC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744942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AD41A4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566A78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142F2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E6638C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33C879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0CDD1D70"/>
    <w:multiLevelType w:val="hybridMultilevel"/>
    <w:tmpl w:val="F47E3214"/>
    <w:lvl w:ilvl="0" w:tplc="7938C6DC">
      <w:start w:val="1"/>
      <w:numFmt w:val="bullet"/>
      <w:lvlText w:val="•"/>
      <w:lvlJc w:val="left"/>
      <w:pPr>
        <w:ind w:left="155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92C27F3A">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4D01FF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7A6CAFA">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6E5C4D36">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3FC17A0">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AA7E16C6">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E24B76C">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51DCDC1E">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2" w15:restartNumberingAfterBreak="0">
    <w:nsid w:val="0D6A4BB9"/>
    <w:multiLevelType w:val="hybridMultilevel"/>
    <w:tmpl w:val="7A96586C"/>
    <w:lvl w:ilvl="0" w:tplc="BCF476A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6F03A6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096D5F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5EE9A4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542B7D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DA20D8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2602C0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18C189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9D0212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0D911888"/>
    <w:multiLevelType w:val="hybridMultilevel"/>
    <w:tmpl w:val="BB00998C"/>
    <w:lvl w:ilvl="0" w:tplc="3F981372">
      <w:start w:val="3"/>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2ACAF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E50F67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0A8EA6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03E935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6C021B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79E79A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2D0A8D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C46DA4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0DA369C8"/>
    <w:multiLevelType w:val="hybridMultilevel"/>
    <w:tmpl w:val="BCD0055E"/>
    <w:lvl w:ilvl="0" w:tplc="64E8995E">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8A489A0">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BB4B7C4">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0989968">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0B828E2">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48033AA">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266758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6F2B4D6">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6613F8">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0E5E61B4"/>
    <w:multiLevelType w:val="hybridMultilevel"/>
    <w:tmpl w:val="E5A47F9C"/>
    <w:lvl w:ilvl="0" w:tplc="0F822DD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CD67B8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D0EA45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F6C963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412868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150AA1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376DD7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3E3E0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EF61C5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0FCB13AF"/>
    <w:multiLevelType w:val="hybridMultilevel"/>
    <w:tmpl w:val="8C04131A"/>
    <w:lvl w:ilvl="0" w:tplc="094CF16E">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9B8A7D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DCBEA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68A954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92AB4D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D5205D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6644C5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7CCD13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DE8C77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101F1641"/>
    <w:multiLevelType w:val="hybridMultilevel"/>
    <w:tmpl w:val="04069404"/>
    <w:lvl w:ilvl="0" w:tplc="D944A6BC">
      <w:start w:val="1"/>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93E8FF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334987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BB00A7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360CE7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54A6FA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420821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FD80FE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0C6FAA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8" w15:restartNumberingAfterBreak="0">
    <w:nsid w:val="10AB23FE"/>
    <w:multiLevelType w:val="hybridMultilevel"/>
    <w:tmpl w:val="1DAA69A8"/>
    <w:lvl w:ilvl="0" w:tplc="E04ED17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A18725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292A2D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6F6EDC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C444D7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A06A78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DD6692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40A3EA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D82201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9" w15:restartNumberingAfterBreak="0">
    <w:nsid w:val="10AF3792"/>
    <w:multiLevelType w:val="hybridMultilevel"/>
    <w:tmpl w:val="1A26670E"/>
    <w:lvl w:ilvl="0" w:tplc="1398EE04">
      <w:start w:val="1"/>
      <w:numFmt w:val="bullet"/>
      <w:lvlText w:val="-"/>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0A03DA4">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A6037A4">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0CEDD3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4CEA15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4840F98">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3A3ED0">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D1A642C">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508BE9C">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0" w15:restartNumberingAfterBreak="0">
    <w:nsid w:val="10C75D7F"/>
    <w:multiLevelType w:val="hybridMultilevel"/>
    <w:tmpl w:val="472245DC"/>
    <w:lvl w:ilvl="0" w:tplc="5FE0A5E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1BC64D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AD8D5A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E6819F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9D4420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32F7A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4DA2B2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70EAD7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68A021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11471090"/>
    <w:multiLevelType w:val="hybridMultilevel"/>
    <w:tmpl w:val="24AACFA0"/>
    <w:lvl w:ilvl="0" w:tplc="C62C3214">
      <w:start w:val="1"/>
      <w:numFmt w:val="decimal"/>
      <w:lvlText w:val="%1."/>
      <w:lvlJc w:val="left"/>
      <w:pPr>
        <w:ind w:left="1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707AB8">
      <w:start w:val="1"/>
      <w:numFmt w:val="lowerLetter"/>
      <w:lvlText w:val="%2"/>
      <w:lvlJc w:val="left"/>
      <w:pPr>
        <w:ind w:left="1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6C3E46">
      <w:start w:val="1"/>
      <w:numFmt w:val="lowerRoman"/>
      <w:lvlText w:val="%3"/>
      <w:lvlJc w:val="left"/>
      <w:pPr>
        <w:ind w:left="2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36667C">
      <w:start w:val="1"/>
      <w:numFmt w:val="decimal"/>
      <w:lvlText w:val="%4"/>
      <w:lvlJc w:val="left"/>
      <w:pPr>
        <w:ind w:left="3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6827D6">
      <w:start w:val="1"/>
      <w:numFmt w:val="lowerLetter"/>
      <w:lvlText w:val="%5"/>
      <w:lvlJc w:val="left"/>
      <w:pPr>
        <w:ind w:left="3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8889AC">
      <w:start w:val="1"/>
      <w:numFmt w:val="lowerRoman"/>
      <w:lvlText w:val="%6"/>
      <w:lvlJc w:val="left"/>
      <w:pPr>
        <w:ind w:left="4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D28B82">
      <w:start w:val="1"/>
      <w:numFmt w:val="decimal"/>
      <w:lvlText w:val="%7"/>
      <w:lvlJc w:val="left"/>
      <w:pPr>
        <w:ind w:left="5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3BC7D04">
      <w:start w:val="1"/>
      <w:numFmt w:val="lowerLetter"/>
      <w:lvlText w:val="%8"/>
      <w:lvlJc w:val="left"/>
      <w:pPr>
        <w:ind w:left="5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388FA4">
      <w:start w:val="1"/>
      <w:numFmt w:val="lowerRoman"/>
      <w:lvlText w:val="%9"/>
      <w:lvlJc w:val="left"/>
      <w:pPr>
        <w:ind w:left="6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11C43DE5"/>
    <w:multiLevelType w:val="hybridMultilevel"/>
    <w:tmpl w:val="5EDA2920"/>
    <w:lvl w:ilvl="0" w:tplc="0D7CC1FE">
      <w:start w:val="1"/>
      <w:numFmt w:val="bullet"/>
      <w:lvlText w:val=""/>
      <w:lvlJc w:val="left"/>
      <w:pPr>
        <w:ind w:left="99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C7C6B34E">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5332162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223A92B8">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F048B3C">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DD14D318">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ED58FC24">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106EA0A">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3E64DB52">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43" w15:restartNumberingAfterBreak="0">
    <w:nsid w:val="11E35681"/>
    <w:multiLevelType w:val="hybridMultilevel"/>
    <w:tmpl w:val="BFD4E3D8"/>
    <w:lvl w:ilvl="0" w:tplc="6AA83A7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8D2332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C08B3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036BFC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5B4FBB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2AE81C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5C4E73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C38A2E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0CC3C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4" w15:restartNumberingAfterBreak="0">
    <w:nsid w:val="122A77FE"/>
    <w:multiLevelType w:val="hybridMultilevel"/>
    <w:tmpl w:val="294CA4C0"/>
    <w:lvl w:ilvl="0" w:tplc="CD8CEB7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A0E7C7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3B457D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B92808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CE0B00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844DCB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E68038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3EE573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2D0101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5" w15:restartNumberingAfterBreak="0">
    <w:nsid w:val="127848DE"/>
    <w:multiLevelType w:val="hybridMultilevel"/>
    <w:tmpl w:val="6B260820"/>
    <w:lvl w:ilvl="0" w:tplc="EE12D41A">
      <w:start w:val="1"/>
      <w:numFmt w:val="bullet"/>
      <w:lvlText w:val="-"/>
      <w:lvlJc w:val="left"/>
      <w:pPr>
        <w:ind w:left="15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6816C6">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8EEA1FE">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17C1C1C">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1C4463E">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3A2751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20BA6C">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34AD52E">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BEC6E3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13C106CA"/>
    <w:multiLevelType w:val="hybridMultilevel"/>
    <w:tmpl w:val="2E1C5BAE"/>
    <w:lvl w:ilvl="0" w:tplc="985A2BE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C1637D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BA6821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834862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102EA0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1CAB3E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2785D7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8B859E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B2273E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7" w15:restartNumberingAfterBreak="0">
    <w:nsid w:val="144140F9"/>
    <w:multiLevelType w:val="hybridMultilevel"/>
    <w:tmpl w:val="8ECCCFDC"/>
    <w:lvl w:ilvl="0" w:tplc="C6A4195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C96EF5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FE0FD0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B0CA7A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858C08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A6ED17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F06BBE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FD098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4BE5A0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8" w15:restartNumberingAfterBreak="0">
    <w:nsid w:val="148B45D1"/>
    <w:multiLevelType w:val="hybridMultilevel"/>
    <w:tmpl w:val="6680BE3A"/>
    <w:lvl w:ilvl="0" w:tplc="6CB4C096">
      <w:start w:val="1"/>
      <w:numFmt w:val="bullet"/>
      <w:lvlText w:val="-"/>
      <w:lvlJc w:val="left"/>
      <w:pPr>
        <w:ind w:left="994"/>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1" w:tplc="CAD00072">
      <w:start w:val="1"/>
      <w:numFmt w:val="bullet"/>
      <w:lvlText w:val="o"/>
      <w:lvlJc w:val="left"/>
      <w:pPr>
        <w:ind w:left="164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2" w:tplc="8AEC2486">
      <w:start w:val="1"/>
      <w:numFmt w:val="bullet"/>
      <w:lvlText w:val="▪"/>
      <w:lvlJc w:val="left"/>
      <w:pPr>
        <w:ind w:left="236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3" w:tplc="B0DA2B24">
      <w:start w:val="1"/>
      <w:numFmt w:val="bullet"/>
      <w:lvlText w:val="•"/>
      <w:lvlJc w:val="left"/>
      <w:pPr>
        <w:ind w:left="308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4" w:tplc="7E24B878">
      <w:start w:val="1"/>
      <w:numFmt w:val="bullet"/>
      <w:lvlText w:val="o"/>
      <w:lvlJc w:val="left"/>
      <w:pPr>
        <w:ind w:left="380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5" w:tplc="4A364BC8">
      <w:start w:val="1"/>
      <w:numFmt w:val="bullet"/>
      <w:lvlText w:val="▪"/>
      <w:lvlJc w:val="left"/>
      <w:pPr>
        <w:ind w:left="452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6" w:tplc="C128C1C0">
      <w:start w:val="1"/>
      <w:numFmt w:val="bullet"/>
      <w:lvlText w:val="•"/>
      <w:lvlJc w:val="left"/>
      <w:pPr>
        <w:ind w:left="524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7" w:tplc="761C9374">
      <w:start w:val="1"/>
      <w:numFmt w:val="bullet"/>
      <w:lvlText w:val="o"/>
      <w:lvlJc w:val="left"/>
      <w:pPr>
        <w:ind w:left="596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lvl w:ilvl="8" w:tplc="75CED638">
      <w:start w:val="1"/>
      <w:numFmt w:val="bullet"/>
      <w:lvlText w:val="▪"/>
      <w:lvlJc w:val="left"/>
      <w:pPr>
        <w:ind w:left="6680"/>
      </w:pPr>
      <w:rPr>
        <w:rFonts w:ascii="Book Antiqua" w:eastAsia="Book Antiqua" w:hAnsi="Book Antiqua" w:cs="Book Antiqua"/>
        <w:b w:val="0"/>
        <w:i w:val="0"/>
        <w:strike w:val="0"/>
        <w:dstrike w:val="0"/>
        <w:color w:val="000000"/>
        <w:sz w:val="17"/>
        <w:szCs w:val="17"/>
        <w:u w:val="none" w:color="000000"/>
        <w:bdr w:val="none" w:sz="0" w:space="0" w:color="auto"/>
        <w:shd w:val="clear" w:color="auto" w:fill="auto"/>
        <w:vertAlign w:val="baseline"/>
      </w:rPr>
    </w:lvl>
  </w:abstractNum>
  <w:abstractNum w:abstractNumId="49" w15:restartNumberingAfterBreak="0">
    <w:nsid w:val="15DF4B73"/>
    <w:multiLevelType w:val="hybridMultilevel"/>
    <w:tmpl w:val="86A847EE"/>
    <w:lvl w:ilvl="0" w:tplc="DF44D88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1504F0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268817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D2C6F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2143E8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6FE820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C9A43A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E40B76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10840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0" w15:restartNumberingAfterBreak="0">
    <w:nsid w:val="15EA6D82"/>
    <w:multiLevelType w:val="hybridMultilevel"/>
    <w:tmpl w:val="C8C24750"/>
    <w:lvl w:ilvl="0" w:tplc="3FDC41B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BC068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1708B8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A4CEBE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4CF79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2084D0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6FCBFA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782F2D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8A82BE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15F87B73"/>
    <w:multiLevelType w:val="hybridMultilevel"/>
    <w:tmpl w:val="84FE889A"/>
    <w:lvl w:ilvl="0" w:tplc="EF040A22">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940CC6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7D46EB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BE0BCC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6C8E26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03E6E8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A8302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898389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C2E049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16461E01"/>
    <w:multiLevelType w:val="hybridMultilevel"/>
    <w:tmpl w:val="790672D4"/>
    <w:lvl w:ilvl="0" w:tplc="CA34BDFE">
      <w:start w:val="1"/>
      <w:numFmt w:val="decimal"/>
      <w:lvlText w:val="%1."/>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EE6DB5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D4ADF3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B968AB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636717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58707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4B258C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EBABFC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0FC018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17222AF8"/>
    <w:multiLevelType w:val="hybridMultilevel"/>
    <w:tmpl w:val="3866042C"/>
    <w:lvl w:ilvl="0" w:tplc="7A8005E8">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B58141C">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8C608CE">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984D3F0">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7B23E40">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39AD9B2">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36C63E6">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7A2390A">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D96EE4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4" w15:restartNumberingAfterBreak="0">
    <w:nsid w:val="191C0B58"/>
    <w:multiLevelType w:val="hybridMultilevel"/>
    <w:tmpl w:val="A1CA6B9E"/>
    <w:lvl w:ilvl="0" w:tplc="F4108D00">
      <w:start w:val="2"/>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20478D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76689B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0941EF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9BEAC7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544433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BAC8B3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77C037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4CC791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5" w15:restartNumberingAfterBreak="0">
    <w:nsid w:val="192274A8"/>
    <w:multiLevelType w:val="hybridMultilevel"/>
    <w:tmpl w:val="5DB8BCB6"/>
    <w:lvl w:ilvl="0" w:tplc="1F5A46AE">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BC8B19C">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2ED88938">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8E968D3E">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E904D424">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18003858">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050AD40C">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6126717A">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B7C1DFE">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56" w15:restartNumberingAfterBreak="0">
    <w:nsid w:val="19296CFF"/>
    <w:multiLevelType w:val="hybridMultilevel"/>
    <w:tmpl w:val="743CBA86"/>
    <w:lvl w:ilvl="0" w:tplc="5D2E3142">
      <w:start w:val="3"/>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4C27EF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B225F2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C7018B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6A2FB3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7004D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9B8302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7D28F5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2EAAD0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7" w15:restartNumberingAfterBreak="0">
    <w:nsid w:val="19517ACF"/>
    <w:multiLevelType w:val="hybridMultilevel"/>
    <w:tmpl w:val="469426FE"/>
    <w:lvl w:ilvl="0" w:tplc="5B8A4516">
      <w:start w:val="1"/>
      <w:numFmt w:val="decimal"/>
      <w:lvlText w:val="%1)"/>
      <w:lvlJc w:val="left"/>
      <w:pPr>
        <w:ind w:left="15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0DC1BA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840902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826DF3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C9A61C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9E086A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C9416D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F2894B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038291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8" w15:restartNumberingAfterBreak="0">
    <w:nsid w:val="195E65E2"/>
    <w:multiLevelType w:val="hybridMultilevel"/>
    <w:tmpl w:val="A35A2FBA"/>
    <w:lvl w:ilvl="0" w:tplc="825C667E">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9A8F132">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250F35C">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690A7E0">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D76257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42AE652">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84E51E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39032C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25AFE3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9" w15:restartNumberingAfterBreak="0">
    <w:nsid w:val="19797D04"/>
    <w:multiLevelType w:val="hybridMultilevel"/>
    <w:tmpl w:val="CEA652AE"/>
    <w:lvl w:ilvl="0" w:tplc="2C729782">
      <w:start w:val="1"/>
      <w:numFmt w:val="bullet"/>
      <w:lvlText w:val="✓"/>
      <w:lvlJc w:val="left"/>
      <w:pPr>
        <w:ind w:left="155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D23E3032">
      <w:start w:val="1"/>
      <w:numFmt w:val="bullet"/>
      <w:lvlText w:val="o"/>
      <w:lvlJc w:val="left"/>
      <w:pPr>
        <w:ind w:left="164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5F6657E2">
      <w:start w:val="1"/>
      <w:numFmt w:val="bullet"/>
      <w:lvlText w:val="▪"/>
      <w:lvlJc w:val="left"/>
      <w:pPr>
        <w:ind w:left="236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E8CC6DD8">
      <w:start w:val="1"/>
      <w:numFmt w:val="bullet"/>
      <w:lvlText w:val="•"/>
      <w:lvlJc w:val="left"/>
      <w:pPr>
        <w:ind w:left="308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4AC1FB4">
      <w:start w:val="1"/>
      <w:numFmt w:val="bullet"/>
      <w:lvlText w:val="o"/>
      <w:lvlJc w:val="left"/>
      <w:pPr>
        <w:ind w:left="380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032C0BC">
      <w:start w:val="1"/>
      <w:numFmt w:val="bullet"/>
      <w:lvlText w:val="▪"/>
      <w:lvlJc w:val="left"/>
      <w:pPr>
        <w:ind w:left="452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8D463C6C">
      <w:start w:val="1"/>
      <w:numFmt w:val="bullet"/>
      <w:lvlText w:val="•"/>
      <w:lvlJc w:val="left"/>
      <w:pPr>
        <w:ind w:left="524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8D5EDCA8">
      <w:start w:val="1"/>
      <w:numFmt w:val="bullet"/>
      <w:lvlText w:val="o"/>
      <w:lvlJc w:val="left"/>
      <w:pPr>
        <w:ind w:left="596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904A9F2">
      <w:start w:val="1"/>
      <w:numFmt w:val="bullet"/>
      <w:lvlText w:val="▪"/>
      <w:lvlJc w:val="left"/>
      <w:pPr>
        <w:ind w:left="668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0" w15:restartNumberingAfterBreak="0">
    <w:nsid w:val="197A1982"/>
    <w:multiLevelType w:val="hybridMultilevel"/>
    <w:tmpl w:val="77324FF2"/>
    <w:lvl w:ilvl="0" w:tplc="6E92428A">
      <w:start w:val="1"/>
      <w:numFmt w:val="bullet"/>
      <w:lvlText w:val=""/>
      <w:lvlJc w:val="left"/>
      <w:pPr>
        <w:ind w:left="184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27E007D2">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88161DC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A19E9506">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85824530">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AF281E6">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DABE3062">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7E1EECA6">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DC6B6DC">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61" w15:restartNumberingAfterBreak="0">
    <w:nsid w:val="198C32F5"/>
    <w:multiLevelType w:val="hybridMultilevel"/>
    <w:tmpl w:val="4418D772"/>
    <w:lvl w:ilvl="0" w:tplc="B75845D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846A79C">
      <w:start w:val="1"/>
      <w:numFmt w:val="lowerLetter"/>
      <w:lvlText w:val="%2"/>
      <w:lvlJc w:val="left"/>
      <w:pPr>
        <w:ind w:left="15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A1CB010">
      <w:start w:val="1"/>
      <w:numFmt w:val="lowerRoman"/>
      <w:lvlText w:val="%3"/>
      <w:lvlJc w:val="left"/>
      <w:pPr>
        <w:ind w:left="22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98CAE4">
      <w:start w:val="1"/>
      <w:numFmt w:val="decimal"/>
      <w:lvlText w:val="%4"/>
      <w:lvlJc w:val="left"/>
      <w:pPr>
        <w:ind w:left="30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626FB8A">
      <w:start w:val="1"/>
      <w:numFmt w:val="lowerLetter"/>
      <w:lvlText w:val="%5"/>
      <w:lvlJc w:val="left"/>
      <w:pPr>
        <w:ind w:left="37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8CE06D8">
      <w:start w:val="1"/>
      <w:numFmt w:val="lowerRoman"/>
      <w:lvlText w:val="%6"/>
      <w:lvlJc w:val="left"/>
      <w:pPr>
        <w:ind w:left="44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0085D30">
      <w:start w:val="1"/>
      <w:numFmt w:val="decimal"/>
      <w:lvlText w:val="%7"/>
      <w:lvlJc w:val="left"/>
      <w:pPr>
        <w:ind w:left="51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14E50DE">
      <w:start w:val="1"/>
      <w:numFmt w:val="lowerLetter"/>
      <w:lvlText w:val="%8"/>
      <w:lvlJc w:val="left"/>
      <w:pPr>
        <w:ind w:left="58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1CE5662">
      <w:start w:val="1"/>
      <w:numFmt w:val="lowerRoman"/>
      <w:lvlText w:val="%9"/>
      <w:lvlJc w:val="left"/>
      <w:pPr>
        <w:ind w:left="66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1A6373B9"/>
    <w:multiLevelType w:val="hybridMultilevel"/>
    <w:tmpl w:val="84CADA80"/>
    <w:lvl w:ilvl="0" w:tplc="F3521AC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12A57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0A243F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9027A2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38493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A809E0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3F24A2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E8C5A4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F3A117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3" w15:restartNumberingAfterBreak="0">
    <w:nsid w:val="1A961A42"/>
    <w:multiLevelType w:val="hybridMultilevel"/>
    <w:tmpl w:val="33384B22"/>
    <w:lvl w:ilvl="0" w:tplc="D528D5F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5E6533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970B71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798DF6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560E73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0D0398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8382F2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090F63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2789D4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1B4C62F7"/>
    <w:multiLevelType w:val="hybridMultilevel"/>
    <w:tmpl w:val="C296878C"/>
    <w:lvl w:ilvl="0" w:tplc="7D1E6B16">
      <w:start w:val="3"/>
      <w:numFmt w:val="decimal"/>
      <w:lvlText w:val="%1."/>
      <w:lvlJc w:val="left"/>
      <w:pPr>
        <w:ind w:left="127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83D4D9E4">
      <w:start w:val="1"/>
      <w:numFmt w:val="lowerLetter"/>
      <w:lvlText w:val="%2"/>
      <w:lvlJc w:val="left"/>
      <w:pPr>
        <w:ind w:left="164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9D58ADC8">
      <w:start w:val="1"/>
      <w:numFmt w:val="lowerRoman"/>
      <w:lvlText w:val="%3"/>
      <w:lvlJc w:val="left"/>
      <w:pPr>
        <w:ind w:left="236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5A62F2F8">
      <w:start w:val="1"/>
      <w:numFmt w:val="decimal"/>
      <w:lvlText w:val="%4"/>
      <w:lvlJc w:val="left"/>
      <w:pPr>
        <w:ind w:left="308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9B6057EE">
      <w:start w:val="1"/>
      <w:numFmt w:val="lowerLetter"/>
      <w:lvlText w:val="%5"/>
      <w:lvlJc w:val="left"/>
      <w:pPr>
        <w:ind w:left="380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AD94AE00">
      <w:start w:val="1"/>
      <w:numFmt w:val="lowerRoman"/>
      <w:lvlText w:val="%6"/>
      <w:lvlJc w:val="left"/>
      <w:pPr>
        <w:ind w:left="452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D542E356">
      <w:start w:val="1"/>
      <w:numFmt w:val="decimal"/>
      <w:lvlText w:val="%7"/>
      <w:lvlJc w:val="left"/>
      <w:pPr>
        <w:ind w:left="524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EFE484EE">
      <w:start w:val="1"/>
      <w:numFmt w:val="lowerLetter"/>
      <w:lvlText w:val="%8"/>
      <w:lvlJc w:val="left"/>
      <w:pPr>
        <w:ind w:left="596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4724861A">
      <w:start w:val="1"/>
      <w:numFmt w:val="lowerRoman"/>
      <w:lvlText w:val="%9"/>
      <w:lvlJc w:val="left"/>
      <w:pPr>
        <w:ind w:left="6684"/>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65" w15:restartNumberingAfterBreak="0">
    <w:nsid w:val="1C4B10B1"/>
    <w:multiLevelType w:val="hybridMultilevel"/>
    <w:tmpl w:val="F4A26DC4"/>
    <w:lvl w:ilvl="0" w:tplc="8C54D982">
      <w:start w:val="3"/>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F44B35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EAE6F3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5B85C0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7C4E13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02A127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54E485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04969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5E293F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6" w15:restartNumberingAfterBreak="0">
    <w:nsid w:val="1C5E67ED"/>
    <w:multiLevelType w:val="hybridMultilevel"/>
    <w:tmpl w:val="7A06A726"/>
    <w:lvl w:ilvl="0" w:tplc="CE3ECA50">
      <w:start w:val="1"/>
      <w:numFmt w:val="decimal"/>
      <w:lvlText w:val="%1."/>
      <w:lvlJc w:val="left"/>
      <w:pPr>
        <w:ind w:left="7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7AF7CC">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0B0C0A4">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5C0892E">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83C0168">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7FCCF20">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632C97C">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3F6055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B9C4F4A">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7" w15:restartNumberingAfterBreak="0">
    <w:nsid w:val="1CFB0A8F"/>
    <w:multiLevelType w:val="hybridMultilevel"/>
    <w:tmpl w:val="A31AA048"/>
    <w:lvl w:ilvl="0" w:tplc="6E3A1CE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6483F5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D262AB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CE6BB7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34CB40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666804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EAA49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1FA062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76EAC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8" w15:restartNumberingAfterBreak="0">
    <w:nsid w:val="1D1B5B3A"/>
    <w:multiLevelType w:val="hybridMultilevel"/>
    <w:tmpl w:val="080ACF6C"/>
    <w:lvl w:ilvl="0" w:tplc="FDE85FD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298184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A10A30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3665F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9923AE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0A2B1B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826B93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B56E0C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B0634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9" w15:restartNumberingAfterBreak="0">
    <w:nsid w:val="1D9805D5"/>
    <w:multiLevelType w:val="hybridMultilevel"/>
    <w:tmpl w:val="B4E664CC"/>
    <w:lvl w:ilvl="0" w:tplc="6C9E6388">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9083442">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5CEA262">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256F016">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E52BA6E">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42EC0D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A8CE0C2">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3CECA92">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408E6C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0" w15:restartNumberingAfterBreak="0">
    <w:nsid w:val="1E375D88"/>
    <w:multiLevelType w:val="hybridMultilevel"/>
    <w:tmpl w:val="E92E3666"/>
    <w:lvl w:ilvl="0" w:tplc="5D4462A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30AB75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32AE7D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90811A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BC4276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AEC11E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35AA70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B90812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428BAC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1" w15:restartNumberingAfterBreak="0">
    <w:nsid w:val="1E677BD1"/>
    <w:multiLevelType w:val="hybridMultilevel"/>
    <w:tmpl w:val="9A6E179C"/>
    <w:lvl w:ilvl="0" w:tplc="F8E4FDCA">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8E2DE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55644F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F501C5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81ECDD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B54974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048E1A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DBA8C4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616E07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2" w15:restartNumberingAfterBreak="0">
    <w:nsid w:val="1EF83ECA"/>
    <w:multiLevelType w:val="hybridMultilevel"/>
    <w:tmpl w:val="297616A4"/>
    <w:lvl w:ilvl="0" w:tplc="EF4E0A4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FB2310E">
      <w:start w:val="1"/>
      <w:numFmt w:val="lowerLetter"/>
      <w:lvlText w:val="%2"/>
      <w:lvlJc w:val="left"/>
      <w:pPr>
        <w:ind w:left="16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DD6A882">
      <w:start w:val="1"/>
      <w:numFmt w:val="lowerRoman"/>
      <w:lvlText w:val="%3"/>
      <w:lvlJc w:val="left"/>
      <w:pPr>
        <w:ind w:left="23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2C4F0C4">
      <w:start w:val="1"/>
      <w:numFmt w:val="decimal"/>
      <w:lvlText w:val="%4"/>
      <w:lvlJc w:val="left"/>
      <w:pPr>
        <w:ind w:left="30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BAA676C">
      <w:start w:val="1"/>
      <w:numFmt w:val="lowerLetter"/>
      <w:lvlText w:val="%5"/>
      <w:lvlJc w:val="left"/>
      <w:pPr>
        <w:ind w:left="3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56F55E">
      <w:start w:val="1"/>
      <w:numFmt w:val="lowerRoman"/>
      <w:lvlText w:val="%6"/>
      <w:lvlJc w:val="left"/>
      <w:pPr>
        <w:ind w:left="45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D264FC">
      <w:start w:val="1"/>
      <w:numFmt w:val="decimal"/>
      <w:lvlText w:val="%7"/>
      <w:lvlJc w:val="left"/>
      <w:pPr>
        <w:ind w:left="52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DEE8360">
      <w:start w:val="1"/>
      <w:numFmt w:val="lowerLetter"/>
      <w:lvlText w:val="%8"/>
      <w:lvlJc w:val="left"/>
      <w:pPr>
        <w:ind w:left="59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F64E87E">
      <w:start w:val="1"/>
      <w:numFmt w:val="lowerRoman"/>
      <w:lvlText w:val="%9"/>
      <w:lvlJc w:val="left"/>
      <w:pPr>
        <w:ind w:left="66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1F5417F8"/>
    <w:multiLevelType w:val="hybridMultilevel"/>
    <w:tmpl w:val="6A966980"/>
    <w:lvl w:ilvl="0" w:tplc="E6BA27D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7EC8D2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8F6C35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D4A24E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022E46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CC0DBE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FEB04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FB4C4C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988E1A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4" w15:restartNumberingAfterBreak="0">
    <w:nsid w:val="1F634BBE"/>
    <w:multiLevelType w:val="hybridMultilevel"/>
    <w:tmpl w:val="EF88D28E"/>
    <w:lvl w:ilvl="0" w:tplc="27729F0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99212C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4626EC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1C8053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1E2E3F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172B84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AB01EC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A08C8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41C1CA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15:restartNumberingAfterBreak="0">
    <w:nsid w:val="1FB77813"/>
    <w:multiLevelType w:val="hybridMultilevel"/>
    <w:tmpl w:val="805A7A0C"/>
    <w:lvl w:ilvl="0" w:tplc="AA18D2BA">
      <w:start w:val="1"/>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CE434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A12C2A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B3AD4C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FAA121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20E76E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C867CC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E56193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2709AE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6" w15:restartNumberingAfterBreak="0">
    <w:nsid w:val="1FDD06C6"/>
    <w:multiLevelType w:val="hybridMultilevel"/>
    <w:tmpl w:val="EF38C484"/>
    <w:lvl w:ilvl="0" w:tplc="8CE80488">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32407D0">
      <w:start w:val="1"/>
      <w:numFmt w:val="lowerLetter"/>
      <w:lvlText w:val="%2"/>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B12DF4E">
      <w:start w:val="1"/>
      <w:numFmt w:val="lowerRoman"/>
      <w:lvlText w:val="%3"/>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A7E495C">
      <w:start w:val="1"/>
      <w:numFmt w:val="decimal"/>
      <w:lvlText w:val="%4"/>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404BA16">
      <w:start w:val="1"/>
      <w:numFmt w:val="lowerLetter"/>
      <w:lvlText w:val="%5"/>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82458A0">
      <w:start w:val="1"/>
      <w:numFmt w:val="lowerRoman"/>
      <w:lvlText w:val="%6"/>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260AD52">
      <w:start w:val="1"/>
      <w:numFmt w:val="decimal"/>
      <w:lvlText w:val="%7"/>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7D8D910">
      <w:start w:val="1"/>
      <w:numFmt w:val="lowerLetter"/>
      <w:lvlText w:val="%8"/>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76483AE">
      <w:start w:val="1"/>
      <w:numFmt w:val="lowerRoman"/>
      <w:lvlText w:val="%9"/>
      <w:lvlJc w:val="left"/>
      <w:pPr>
        <w:ind w:left="66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200F27DD"/>
    <w:multiLevelType w:val="hybridMultilevel"/>
    <w:tmpl w:val="E33AAD54"/>
    <w:lvl w:ilvl="0" w:tplc="E2EABD2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4C2C65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FC45C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D70B54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16DE8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F4B94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A188DB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1E6423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552122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8" w15:restartNumberingAfterBreak="0">
    <w:nsid w:val="20C13323"/>
    <w:multiLevelType w:val="hybridMultilevel"/>
    <w:tmpl w:val="23B8CB00"/>
    <w:lvl w:ilvl="0" w:tplc="4112C07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1D4FBE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FA4E4B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FC6ABF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A64E51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39A91F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3D8597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0EEF19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E96230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9" w15:restartNumberingAfterBreak="0">
    <w:nsid w:val="21FA193C"/>
    <w:multiLevelType w:val="hybridMultilevel"/>
    <w:tmpl w:val="8C82D624"/>
    <w:lvl w:ilvl="0" w:tplc="AC1E684A">
      <w:start w:val="1"/>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7AA5EA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5F43E4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44658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BCC601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904E58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9124BB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924A30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2C87EF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0" w15:restartNumberingAfterBreak="0">
    <w:nsid w:val="22037B8D"/>
    <w:multiLevelType w:val="hybridMultilevel"/>
    <w:tmpl w:val="2A7AE716"/>
    <w:lvl w:ilvl="0" w:tplc="CD026F3C">
      <w:start w:val="7"/>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4C0E09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E44628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EC445B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1CAF42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808AD9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07A928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3366F0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EFABE1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1" w15:restartNumberingAfterBreak="0">
    <w:nsid w:val="221C3426"/>
    <w:multiLevelType w:val="hybridMultilevel"/>
    <w:tmpl w:val="C096BFFE"/>
    <w:lvl w:ilvl="0" w:tplc="10249BF0">
      <w:start w:val="1"/>
      <w:numFmt w:val="bullet"/>
      <w:lvlText w:val="•"/>
      <w:lvlJc w:val="left"/>
      <w:pPr>
        <w:ind w:left="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12A7B70">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8CA1526">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A269340">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E7C22B0">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61831C4">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70295FA">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76C7460">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26254AE">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222C20EE"/>
    <w:multiLevelType w:val="hybridMultilevel"/>
    <w:tmpl w:val="036A374A"/>
    <w:lvl w:ilvl="0" w:tplc="9AE6F39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3A43B4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B47BD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F6E507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2C0A9B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8DA4B3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A18BBE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E7E421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3A2E62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3" w15:restartNumberingAfterBreak="0">
    <w:nsid w:val="222D4EB8"/>
    <w:multiLevelType w:val="hybridMultilevel"/>
    <w:tmpl w:val="4BD24B12"/>
    <w:lvl w:ilvl="0" w:tplc="6DB2D238">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DFE24C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D6469D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03EE24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2362D4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074C0E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D5E462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9AAB59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99CB25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4" w15:restartNumberingAfterBreak="0">
    <w:nsid w:val="22624EF7"/>
    <w:multiLevelType w:val="hybridMultilevel"/>
    <w:tmpl w:val="4DBA6ED2"/>
    <w:lvl w:ilvl="0" w:tplc="C7FA73A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D96A13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6102CD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BAED58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86C860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EF86DC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5981E8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9EEA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D06997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5" w15:restartNumberingAfterBreak="0">
    <w:nsid w:val="251664E4"/>
    <w:multiLevelType w:val="hybridMultilevel"/>
    <w:tmpl w:val="AEA229DE"/>
    <w:lvl w:ilvl="0" w:tplc="8E6C69AA">
      <w:start w:val="1"/>
      <w:numFmt w:val="bullet"/>
      <w:lvlText w:val="•"/>
      <w:lvlJc w:val="left"/>
      <w:pPr>
        <w:ind w:left="2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AAA4B08">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1B23D72">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34628E2">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FA023AE">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630654E">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0B471D6">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C48AE74">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5E02E90">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25696B68"/>
    <w:multiLevelType w:val="hybridMultilevel"/>
    <w:tmpl w:val="6A049056"/>
    <w:lvl w:ilvl="0" w:tplc="DE9CA65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436546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D8E9DB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552D07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FB245F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11A236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E348CB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18728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75CDD9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7" w15:restartNumberingAfterBreak="0">
    <w:nsid w:val="25EA42EF"/>
    <w:multiLevelType w:val="hybridMultilevel"/>
    <w:tmpl w:val="09F8BF16"/>
    <w:lvl w:ilvl="0" w:tplc="67CA27A4">
      <w:start w:val="2"/>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5ACE4F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B162C2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0D4349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FD47FE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2B80BA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AFCA00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4E0E64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D48409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8" w15:restartNumberingAfterBreak="0">
    <w:nsid w:val="262768D6"/>
    <w:multiLevelType w:val="hybridMultilevel"/>
    <w:tmpl w:val="6D28F2BA"/>
    <w:lvl w:ilvl="0" w:tplc="62BAFB22">
      <w:start w:val="1"/>
      <w:numFmt w:val="bullet"/>
      <w:lvlText w:val="-"/>
      <w:lvlJc w:val="left"/>
      <w:pPr>
        <w:ind w:left="17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5502438">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4C4E680">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26638C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918C5F6">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7A53E0">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46071D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53C352E">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F16B4B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9" w15:restartNumberingAfterBreak="0">
    <w:nsid w:val="26ED1BEC"/>
    <w:multiLevelType w:val="hybridMultilevel"/>
    <w:tmpl w:val="B70AAFD8"/>
    <w:lvl w:ilvl="0" w:tplc="A626AE78">
      <w:start w:val="1"/>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D5C6FC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F7A59F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B96923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48CAAB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5D8860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70AF3B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C50824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2AA65E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0" w15:restartNumberingAfterBreak="0">
    <w:nsid w:val="2758101A"/>
    <w:multiLevelType w:val="hybridMultilevel"/>
    <w:tmpl w:val="F3D4ADCC"/>
    <w:lvl w:ilvl="0" w:tplc="D7D8F1F4">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B26C7516">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28743FA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872C58A">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CEB22374">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94EC882">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E78A29E">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1AC4FBE">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C278068E">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91" w15:restartNumberingAfterBreak="0">
    <w:nsid w:val="27C03078"/>
    <w:multiLevelType w:val="hybridMultilevel"/>
    <w:tmpl w:val="598234C2"/>
    <w:lvl w:ilvl="0" w:tplc="538ECCA4">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43883284">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1067A6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71A4BC8">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F9A0A3A">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EBE2DBC">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01D231FE">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3244076">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AE2F670">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92" w15:restartNumberingAfterBreak="0">
    <w:nsid w:val="27EA6503"/>
    <w:multiLevelType w:val="hybridMultilevel"/>
    <w:tmpl w:val="CC4AE3EE"/>
    <w:lvl w:ilvl="0" w:tplc="C3A4E90A">
      <w:start w:val="1"/>
      <w:numFmt w:val="decimal"/>
      <w:lvlText w:val="%1."/>
      <w:lvlJc w:val="left"/>
      <w:pPr>
        <w:ind w:left="19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2E839B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E94BA2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B0805E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F9CE67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F66246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69C357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7C86CF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58062F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3" w15:restartNumberingAfterBreak="0">
    <w:nsid w:val="28090D0E"/>
    <w:multiLevelType w:val="hybridMultilevel"/>
    <w:tmpl w:val="F3A23748"/>
    <w:lvl w:ilvl="0" w:tplc="565EC74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C8CC09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E6C5AB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10C5A5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AEBF3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C5A2F6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2D2469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202D3F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74EFA4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4" w15:restartNumberingAfterBreak="0">
    <w:nsid w:val="28782F4D"/>
    <w:multiLevelType w:val="hybridMultilevel"/>
    <w:tmpl w:val="A4D4F16A"/>
    <w:lvl w:ilvl="0" w:tplc="28325EF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21E5B2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54E047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298089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09C52D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74087D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F4C601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62EF7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794F3E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5" w15:restartNumberingAfterBreak="0">
    <w:nsid w:val="294032E8"/>
    <w:multiLevelType w:val="hybridMultilevel"/>
    <w:tmpl w:val="6E648D58"/>
    <w:lvl w:ilvl="0" w:tplc="E68AE15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02C61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6AE629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FA28FB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47E789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7DEA73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90149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5E345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666E9B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6" w15:restartNumberingAfterBreak="0">
    <w:nsid w:val="29D512E2"/>
    <w:multiLevelType w:val="hybridMultilevel"/>
    <w:tmpl w:val="4CE2FACC"/>
    <w:lvl w:ilvl="0" w:tplc="0700F01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13E210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F26564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0F2A0A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4D464C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CE4B5C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1C6042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5281BD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242734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7" w15:restartNumberingAfterBreak="0">
    <w:nsid w:val="2A9300D9"/>
    <w:multiLevelType w:val="hybridMultilevel"/>
    <w:tmpl w:val="708E5474"/>
    <w:lvl w:ilvl="0" w:tplc="57B2C536">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FB29480">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0884716">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710FABC">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8400A8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A8E320">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872097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4B0FB6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2B24BE8">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8" w15:restartNumberingAfterBreak="0">
    <w:nsid w:val="2AC576C3"/>
    <w:multiLevelType w:val="hybridMultilevel"/>
    <w:tmpl w:val="D68A1AF0"/>
    <w:lvl w:ilvl="0" w:tplc="E2A207C4">
      <w:start w:val="1"/>
      <w:numFmt w:val="bullet"/>
      <w:lvlText w:val="-"/>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650C85C">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ED64100">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226B6E6">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DD2F8BA">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F1801CE">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9C0032">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D5097E6">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738DC2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9" w15:restartNumberingAfterBreak="0">
    <w:nsid w:val="2AE54A0C"/>
    <w:multiLevelType w:val="hybridMultilevel"/>
    <w:tmpl w:val="CA386E20"/>
    <w:lvl w:ilvl="0" w:tplc="62F499BA">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72E0C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B2868E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1121F7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E46910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062796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B9C764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520CE2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7E63DD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0" w15:restartNumberingAfterBreak="0">
    <w:nsid w:val="2B837C54"/>
    <w:multiLevelType w:val="hybridMultilevel"/>
    <w:tmpl w:val="083AE6F4"/>
    <w:lvl w:ilvl="0" w:tplc="B2F275A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3AFDA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0183B5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E900FA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BB88B8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C18F4B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F201C9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B9ACF1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434848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1" w15:restartNumberingAfterBreak="0">
    <w:nsid w:val="2BA1787B"/>
    <w:multiLevelType w:val="hybridMultilevel"/>
    <w:tmpl w:val="A37C67B4"/>
    <w:lvl w:ilvl="0" w:tplc="C838BEC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CACEBE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3C6F34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9BA850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1DCE41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F74975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AD04A1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BD87FD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97A2C7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2" w15:restartNumberingAfterBreak="0">
    <w:nsid w:val="2BAF1EE0"/>
    <w:multiLevelType w:val="hybridMultilevel"/>
    <w:tmpl w:val="7E6085A0"/>
    <w:lvl w:ilvl="0" w:tplc="BF98D9F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F287F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5FA008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1A6028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CBC310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6D8492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B66B4D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B56BD3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8866E6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3" w15:restartNumberingAfterBreak="0">
    <w:nsid w:val="2CF57226"/>
    <w:multiLevelType w:val="hybridMultilevel"/>
    <w:tmpl w:val="D7C095DC"/>
    <w:lvl w:ilvl="0" w:tplc="C7942D16">
      <w:start w:val="1"/>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002822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BB6EFC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C00433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F92FE1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6BE398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20672C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46A93A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F92584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4" w15:restartNumberingAfterBreak="0">
    <w:nsid w:val="2D0F669D"/>
    <w:multiLevelType w:val="hybridMultilevel"/>
    <w:tmpl w:val="AAECCB66"/>
    <w:lvl w:ilvl="0" w:tplc="B2C24F9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EEAFA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3648D3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B64AE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7ACAED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9BA7C9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4A2995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BF09AA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0E1E6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5" w15:restartNumberingAfterBreak="0">
    <w:nsid w:val="2D8F15A8"/>
    <w:multiLevelType w:val="hybridMultilevel"/>
    <w:tmpl w:val="F1A83A56"/>
    <w:lvl w:ilvl="0" w:tplc="87E4D782">
      <w:start w:val="3"/>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368778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5E2BED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3B00D4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A48B01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86621C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880D3E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35028A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27489C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6" w15:restartNumberingAfterBreak="0">
    <w:nsid w:val="2DC34F66"/>
    <w:multiLevelType w:val="hybridMultilevel"/>
    <w:tmpl w:val="A7B8E22A"/>
    <w:lvl w:ilvl="0" w:tplc="032C19A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A10F6E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EAE5C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EE4241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F6E740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B8CA3C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D884C7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9C0847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2080EA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7" w15:restartNumberingAfterBreak="0">
    <w:nsid w:val="2E40771F"/>
    <w:multiLevelType w:val="hybridMultilevel"/>
    <w:tmpl w:val="64DCB83E"/>
    <w:lvl w:ilvl="0" w:tplc="B694FBFA">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5C64C0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FAE9F1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63C127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8C8CAB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B1ABAE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9348A9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D0AB9A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50889B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8" w15:restartNumberingAfterBreak="0">
    <w:nsid w:val="2E5648BC"/>
    <w:multiLevelType w:val="hybridMultilevel"/>
    <w:tmpl w:val="3D763238"/>
    <w:lvl w:ilvl="0" w:tplc="FBFEF1A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F645B78">
      <w:start w:val="1"/>
      <w:numFmt w:val="lowerLetter"/>
      <w:lvlText w:val="%2"/>
      <w:lvlJc w:val="left"/>
      <w:pPr>
        <w:ind w:left="16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B27A6E">
      <w:start w:val="1"/>
      <w:numFmt w:val="lowerRoman"/>
      <w:lvlText w:val="%3"/>
      <w:lvlJc w:val="left"/>
      <w:pPr>
        <w:ind w:left="23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B980A0E">
      <w:start w:val="1"/>
      <w:numFmt w:val="decimal"/>
      <w:lvlText w:val="%4"/>
      <w:lvlJc w:val="left"/>
      <w:pPr>
        <w:ind w:left="3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99C8F70">
      <w:start w:val="1"/>
      <w:numFmt w:val="lowerLetter"/>
      <w:lvlText w:val="%5"/>
      <w:lvlJc w:val="left"/>
      <w:pPr>
        <w:ind w:left="3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742091E">
      <w:start w:val="1"/>
      <w:numFmt w:val="lowerRoman"/>
      <w:lvlText w:val="%6"/>
      <w:lvlJc w:val="left"/>
      <w:pPr>
        <w:ind w:left="4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688FA66">
      <w:start w:val="1"/>
      <w:numFmt w:val="decimal"/>
      <w:lvlText w:val="%7"/>
      <w:lvlJc w:val="left"/>
      <w:pPr>
        <w:ind w:left="5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E961964">
      <w:start w:val="1"/>
      <w:numFmt w:val="lowerLetter"/>
      <w:lvlText w:val="%8"/>
      <w:lvlJc w:val="left"/>
      <w:pPr>
        <w:ind w:left="5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E3075FA">
      <w:start w:val="1"/>
      <w:numFmt w:val="lowerRoman"/>
      <w:lvlText w:val="%9"/>
      <w:lvlJc w:val="left"/>
      <w:pPr>
        <w:ind w:left="6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9" w15:restartNumberingAfterBreak="0">
    <w:nsid w:val="2EEA7062"/>
    <w:multiLevelType w:val="hybridMultilevel"/>
    <w:tmpl w:val="554835F2"/>
    <w:lvl w:ilvl="0" w:tplc="FCA4E364">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AA6F2C">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71C52EE">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CCC6948">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6680C64">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9E0E68E">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C52DC9A">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5EC10D8">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1CAC49C">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0" w15:restartNumberingAfterBreak="0">
    <w:nsid w:val="2F451A85"/>
    <w:multiLevelType w:val="hybridMultilevel"/>
    <w:tmpl w:val="26D2939E"/>
    <w:lvl w:ilvl="0" w:tplc="81483CE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5EEBFE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D341D4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446030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2F4FA8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04896E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DE88DE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710438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7FE6C3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1" w15:restartNumberingAfterBreak="0">
    <w:nsid w:val="2F547092"/>
    <w:multiLevelType w:val="hybridMultilevel"/>
    <w:tmpl w:val="9F04F6D2"/>
    <w:lvl w:ilvl="0" w:tplc="8014F588">
      <w:start w:val="4"/>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C06981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028A17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6CCD0D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338699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B8051E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C04322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348935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A9CF98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2" w15:restartNumberingAfterBreak="0">
    <w:nsid w:val="2F78523E"/>
    <w:multiLevelType w:val="hybridMultilevel"/>
    <w:tmpl w:val="A1305FE4"/>
    <w:lvl w:ilvl="0" w:tplc="00AAE794">
      <w:start w:val="1"/>
      <w:numFmt w:val="bullet"/>
      <w:lvlText w:val="-"/>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092499A">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8B42C7C">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DBC6A12">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BE0296A">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ABE6380">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7C038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E4E604">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B2E4AB6">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3" w15:restartNumberingAfterBreak="0">
    <w:nsid w:val="303070D9"/>
    <w:multiLevelType w:val="hybridMultilevel"/>
    <w:tmpl w:val="15966C26"/>
    <w:lvl w:ilvl="0" w:tplc="72F2517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8BE129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E3CFEF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BAD01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060495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4AEA6C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438069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E7A0B7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1EC3D0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4" w15:restartNumberingAfterBreak="0">
    <w:nsid w:val="30C36959"/>
    <w:multiLevelType w:val="hybridMultilevel"/>
    <w:tmpl w:val="97564C4A"/>
    <w:lvl w:ilvl="0" w:tplc="0C126E64">
      <w:start w:val="1"/>
      <w:numFmt w:val="bullet"/>
      <w:lvlText w:val="–"/>
      <w:lvlJc w:val="left"/>
      <w:pPr>
        <w:ind w:left="9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D1883B6">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9C073F6">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0747E7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97E575E">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DA0709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8E44B76">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54A3C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4400E86">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5" w15:restartNumberingAfterBreak="0">
    <w:nsid w:val="30F27E98"/>
    <w:multiLevelType w:val="hybridMultilevel"/>
    <w:tmpl w:val="DEFC23CA"/>
    <w:lvl w:ilvl="0" w:tplc="8468227E">
      <w:start w:val="1"/>
      <w:numFmt w:val="bullet"/>
      <w:lvlText w:val="➢"/>
      <w:lvlJc w:val="left"/>
      <w:pPr>
        <w:ind w:left="165"/>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C6D8E754">
      <w:start w:val="1"/>
      <w:numFmt w:val="bullet"/>
      <w:lvlText w:val="o"/>
      <w:lvlJc w:val="left"/>
      <w:pPr>
        <w:ind w:left="164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37D2CB50">
      <w:start w:val="1"/>
      <w:numFmt w:val="bullet"/>
      <w:lvlText w:val="▪"/>
      <w:lvlJc w:val="left"/>
      <w:pPr>
        <w:ind w:left="236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535A0C0A">
      <w:start w:val="1"/>
      <w:numFmt w:val="bullet"/>
      <w:lvlText w:val="•"/>
      <w:lvlJc w:val="left"/>
      <w:pPr>
        <w:ind w:left="308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231080B8">
      <w:start w:val="1"/>
      <w:numFmt w:val="bullet"/>
      <w:lvlText w:val="o"/>
      <w:lvlJc w:val="left"/>
      <w:pPr>
        <w:ind w:left="380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A4FCDCCC">
      <w:start w:val="1"/>
      <w:numFmt w:val="bullet"/>
      <w:lvlText w:val="▪"/>
      <w:lvlJc w:val="left"/>
      <w:pPr>
        <w:ind w:left="452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27C88FCC">
      <w:start w:val="1"/>
      <w:numFmt w:val="bullet"/>
      <w:lvlText w:val="•"/>
      <w:lvlJc w:val="left"/>
      <w:pPr>
        <w:ind w:left="524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1166CFC6">
      <w:start w:val="1"/>
      <w:numFmt w:val="bullet"/>
      <w:lvlText w:val="o"/>
      <w:lvlJc w:val="left"/>
      <w:pPr>
        <w:ind w:left="596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BC2E5C8">
      <w:start w:val="1"/>
      <w:numFmt w:val="bullet"/>
      <w:lvlText w:val="▪"/>
      <w:lvlJc w:val="left"/>
      <w:pPr>
        <w:ind w:left="668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16" w15:restartNumberingAfterBreak="0">
    <w:nsid w:val="31362FDE"/>
    <w:multiLevelType w:val="hybridMultilevel"/>
    <w:tmpl w:val="48067AFA"/>
    <w:lvl w:ilvl="0" w:tplc="4550678A">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90626C96">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50926A02">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84A5E5C">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641CF840">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5D6A46F0">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A3A44A2">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86487F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39861526">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17" w15:restartNumberingAfterBreak="0">
    <w:nsid w:val="31F11D2B"/>
    <w:multiLevelType w:val="hybridMultilevel"/>
    <w:tmpl w:val="7D022CBA"/>
    <w:lvl w:ilvl="0" w:tplc="5A76DAA6">
      <w:start w:val="1"/>
      <w:numFmt w:val="decimal"/>
      <w:lvlText w:val="%1)"/>
      <w:lvlJc w:val="left"/>
      <w:pPr>
        <w:ind w:left="12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144238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17AC92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654619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32668A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B7E85E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CE4856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3EC849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6787EF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8" w15:restartNumberingAfterBreak="0">
    <w:nsid w:val="31FF475E"/>
    <w:multiLevelType w:val="hybridMultilevel"/>
    <w:tmpl w:val="3FC61122"/>
    <w:lvl w:ilvl="0" w:tplc="94F88D2C">
      <w:start w:val="1"/>
      <w:numFmt w:val="bullet"/>
      <w:lvlText w:val="•"/>
      <w:lvlJc w:val="left"/>
      <w:pPr>
        <w:ind w:left="7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55C4A7B0">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DEEFF7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00C2674A">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D946D36E">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B0C04D8A">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126EECC">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A9360F32">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77E2BDE0">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19" w15:restartNumberingAfterBreak="0">
    <w:nsid w:val="3249539C"/>
    <w:multiLevelType w:val="hybridMultilevel"/>
    <w:tmpl w:val="B2389212"/>
    <w:lvl w:ilvl="0" w:tplc="4F60753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826634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E2C906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380DF4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4CB58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820AF9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822515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AE2E80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958B9F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0" w15:restartNumberingAfterBreak="0">
    <w:nsid w:val="329A0672"/>
    <w:multiLevelType w:val="hybridMultilevel"/>
    <w:tmpl w:val="D182DD2E"/>
    <w:lvl w:ilvl="0" w:tplc="E47AC28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574215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B32DB7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3C6C5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2585B5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5C12E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A0E45B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161B5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7DC09A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1" w15:restartNumberingAfterBreak="0">
    <w:nsid w:val="32DA02F4"/>
    <w:multiLevelType w:val="hybridMultilevel"/>
    <w:tmpl w:val="0F766E32"/>
    <w:lvl w:ilvl="0" w:tplc="16CAA408">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FB639A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45EF85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A4C6A1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0C667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0145CF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26A788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3FAEE5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4E205F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32F34EB0"/>
    <w:multiLevelType w:val="hybridMultilevel"/>
    <w:tmpl w:val="E27684F8"/>
    <w:lvl w:ilvl="0" w:tplc="B2CA65D4">
      <w:start w:val="1"/>
      <w:numFmt w:val="bullet"/>
      <w:lvlText w:val="•"/>
      <w:lvlJc w:val="left"/>
      <w:pPr>
        <w:ind w:left="170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10EEBDCC">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D696D7C8">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CE925C5C">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0847662">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02F60DAA">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751A02E0">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262DCA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310E3088">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23" w15:restartNumberingAfterBreak="0">
    <w:nsid w:val="32FF311A"/>
    <w:multiLevelType w:val="hybridMultilevel"/>
    <w:tmpl w:val="C19E7BEE"/>
    <w:lvl w:ilvl="0" w:tplc="CA466F10">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7FC7504">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97A171A">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A10B3D4">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920DB8A">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3E846FE">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7FA7906">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94E5188">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7620EF2">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4" w15:restartNumberingAfterBreak="0">
    <w:nsid w:val="331039BE"/>
    <w:multiLevelType w:val="hybridMultilevel"/>
    <w:tmpl w:val="CEC01376"/>
    <w:lvl w:ilvl="0" w:tplc="F952594E">
      <w:start w:val="2"/>
      <w:numFmt w:val="decimal"/>
      <w:lvlText w:val="%1."/>
      <w:lvlJc w:val="left"/>
      <w:pPr>
        <w:ind w:left="10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3A1F2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4BE499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D98A99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AF2272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AC4FB0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AB4AF0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90603F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9F4087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15:restartNumberingAfterBreak="0">
    <w:nsid w:val="33516913"/>
    <w:multiLevelType w:val="hybridMultilevel"/>
    <w:tmpl w:val="BA7470E2"/>
    <w:lvl w:ilvl="0" w:tplc="F082446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75AD2F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D4475E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E0417E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D78F83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C644E9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9AACBF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C5ABB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F0666C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6" w15:restartNumberingAfterBreak="0">
    <w:nsid w:val="34195B46"/>
    <w:multiLevelType w:val="hybridMultilevel"/>
    <w:tmpl w:val="A65C84E2"/>
    <w:lvl w:ilvl="0" w:tplc="6A9E9EB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FC08E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A40751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44E69A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7AE7EC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24C649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76E545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A9ECB1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476112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7" w15:restartNumberingAfterBreak="0">
    <w:nsid w:val="344C0C20"/>
    <w:multiLevelType w:val="hybridMultilevel"/>
    <w:tmpl w:val="8EAA8626"/>
    <w:lvl w:ilvl="0" w:tplc="D1C0696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E56FDFC">
      <w:start w:val="1"/>
      <w:numFmt w:val="lowerLetter"/>
      <w:lvlText w:val="%2"/>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356B0DE">
      <w:start w:val="1"/>
      <w:numFmt w:val="lowerRoman"/>
      <w:lvlText w:val="%3"/>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70C8C6E">
      <w:start w:val="1"/>
      <w:numFmt w:val="decimal"/>
      <w:lvlText w:val="%4"/>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72C55C2">
      <w:start w:val="1"/>
      <w:numFmt w:val="lowerLetter"/>
      <w:lvlText w:val="%5"/>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75674D2">
      <w:start w:val="1"/>
      <w:numFmt w:val="lowerRoman"/>
      <w:lvlText w:val="%6"/>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61A6540">
      <w:start w:val="1"/>
      <w:numFmt w:val="decimal"/>
      <w:lvlText w:val="%7"/>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B0C1852">
      <w:start w:val="1"/>
      <w:numFmt w:val="lowerLetter"/>
      <w:lvlText w:val="%8"/>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C869520">
      <w:start w:val="1"/>
      <w:numFmt w:val="lowerRoman"/>
      <w:lvlText w:val="%9"/>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8" w15:restartNumberingAfterBreak="0">
    <w:nsid w:val="34D50186"/>
    <w:multiLevelType w:val="hybridMultilevel"/>
    <w:tmpl w:val="5E6E0FD6"/>
    <w:lvl w:ilvl="0" w:tplc="EC7013E6">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5727E7A">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4BA404A">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7106ABE">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F16F5F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7B2AE86">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FFAA60C">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340802A">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78ACB3A">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9" w15:restartNumberingAfterBreak="0">
    <w:nsid w:val="35680E99"/>
    <w:multiLevelType w:val="hybridMultilevel"/>
    <w:tmpl w:val="5AACE5F4"/>
    <w:lvl w:ilvl="0" w:tplc="5EFEB24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9B0CAD4">
      <w:start w:val="1"/>
      <w:numFmt w:val="lowerLetter"/>
      <w:lvlText w:val="%2"/>
      <w:lvlJc w:val="left"/>
      <w:pPr>
        <w:ind w:left="16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BA5C76">
      <w:start w:val="1"/>
      <w:numFmt w:val="lowerRoman"/>
      <w:lvlText w:val="%3"/>
      <w:lvlJc w:val="left"/>
      <w:pPr>
        <w:ind w:left="2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76840A8">
      <w:start w:val="1"/>
      <w:numFmt w:val="decimal"/>
      <w:lvlText w:val="%4"/>
      <w:lvlJc w:val="left"/>
      <w:pPr>
        <w:ind w:left="3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948CF56">
      <w:start w:val="1"/>
      <w:numFmt w:val="lowerLetter"/>
      <w:lvlText w:val="%5"/>
      <w:lvlJc w:val="left"/>
      <w:pPr>
        <w:ind w:left="3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8981E5A">
      <w:start w:val="1"/>
      <w:numFmt w:val="lowerRoman"/>
      <w:lvlText w:val="%6"/>
      <w:lvlJc w:val="left"/>
      <w:pPr>
        <w:ind w:left="4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532C2AC">
      <w:start w:val="1"/>
      <w:numFmt w:val="decimal"/>
      <w:lvlText w:val="%7"/>
      <w:lvlJc w:val="left"/>
      <w:pPr>
        <w:ind w:left="5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9CA58C8">
      <w:start w:val="1"/>
      <w:numFmt w:val="lowerLetter"/>
      <w:lvlText w:val="%8"/>
      <w:lvlJc w:val="left"/>
      <w:pPr>
        <w:ind w:left="5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58A429A">
      <w:start w:val="1"/>
      <w:numFmt w:val="lowerRoman"/>
      <w:lvlText w:val="%9"/>
      <w:lvlJc w:val="left"/>
      <w:pPr>
        <w:ind w:left="6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0" w15:restartNumberingAfterBreak="0">
    <w:nsid w:val="35BB027B"/>
    <w:multiLevelType w:val="hybridMultilevel"/>
    <w:tmpl w:val="B6624704"/>
    <w:lvl w:ilvl="0" w:tplc="C0A88678">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2180A6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FB6827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4BAA2D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10CCA0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9D6ABF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8D48AD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E70C82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44E461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1" w15:restartNumberingAfterBreak="0">
    <w:nsid w:val="37625BED"/>
    <w:multiLevelType w:val="hybridMultilevel"/>
    <w:tmpl w:val="A178EC8E"/>
    <w:lvl w:ilvl="0" w:tplc="C09A6BA0">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3220707A">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9B5EE08A">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E547E14">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2A58B4E6">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7C03690">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A36E3FE4">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732E3546">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31305652">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32" w15:restartNumberingAfterBreak="0">
    <w:nsid w:val="39CB534C"/>
    <w:multiLevelType w:val="hybridMultilevel"/>
    <w:tmpl w:val="7EC85410"/>
    <w:lvl w:ilvl="0" w:tplc="602E3DF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49EB55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1EE910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540DEB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F7C186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ECCF06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E0E494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0848E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17E638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3" w15:restartNumberingAfterBreak="0">
    <w:nsid w:val="3A8F4EDC"/>
    <w:multiLevelType w:val="hybridMultilevel"/>
    <w:tmpl w:val="2ACAFAE2"/>
    <w:lvl w:ilvl="0" w:tplc="4CD62D40">
      <w:start w:val="1"/>
      <w:numFmt w:val="bullet"/>
      <w:lvlText w:val="•"/>
      <w:lvlJc w:val="left"/>
      <w:pPr>
        <w:ind w:left="99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7CEFF40">
      <w:start w:val="1"/>
      <w:numFmt w:val="bullet"/>
      <w:lvlText w:val="o"/>
      <w:lvlJc w:val="left"/>
      <w:pPr>
        <w:ind w:left="1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C142F18">
      <w:start w:val="1"/>
      <w:numFmt w:val="bullet"/>
      <w:lvlText w:val="▪"/>
      <w:lvlJc w:val="left"/>
      <w:pPr>
        <w:ind w:left="2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5B006C6">
      <w:start w:val="1"/>
      <w:numFmt w:val="bullet"/>
      <w:lvlText w:val="•"/>
      <w:lvlJc w:val="left"/>
      <w:pPr>
        <w:ind w:left="3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B287A98">
      <w:start w:val="1"/>
      <w:numFmt w:val="bullet"/>
      <w:lvlText w:val="o"/>
      <w:lvlJc w:val="left"/>
      <w:pPr>
        <w:ind w:left="3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89E654A">
      <w:start w:val="1"/>
      <w:numFmt w:val="bullet"/>
      <w:lvlText w:val="▪"/>
      <w:lvlJc w:val="left"/>
      <w:pPr>
        <w:ind w:left="4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75836EA">
      <w:start w:val="1"/>
      <w:numFmt w:val="bullet"/>
      <w:lvlText w:val="•"/>
      <w:lvlJc w:val="left"/>
      <w:pPr>
        <w:ind w:left="524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C2062B2">
      <w:start w:val="1"/>
      <w:numFmt w:val="bullet"/>
      <w:lvlText w:val="o"/>
      <w:lvlJc w:val="left"/>
      <w:pPr>
        <w:ind w:left="59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694B7D4">
      <w:start w:val="1"/>
      <w:numFmt w:val="bullet"/>
      <w:lvlText w:val="▪"/>
      <w:lvlJc w:val="left"/>
      <w:pPr>
        <w:ind w:left="66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4" w15:restartNumberingAfterBreak="0">
    <w:nsid w:val="3AC96667"/>
    <w:multiLevelType w:val="hybridMultilevel"/>
    <w:tmpl w:val="9A1CBEF4"/>
    <w:lvl w:ilvl="0" w:tplc="49548422">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E2A231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DAEED2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C1CCD9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592CAA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29AE3F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C6305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D2935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BAA68C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5" w15:restartNumberingAfterBreak="0">
    <w:nsid w:val="3B06271F"/>
    <w:multiLevelType w:val="hybridMultilevel"/>
    <w:tmpl w:val="276E3222"/>
    <w:lvl w:ilvl="0" w:tplc="93A6E7E2">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6AD284E8">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6852A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41CC79C6">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B5E5422">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267CC0B8">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C5B41354">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B4EF9F0">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31AE3E58">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36" w15:restartNumberingAfterBreak="0">
    <w:nsid w:val="3B3C3B1E"/>
    <w:multiLevelType w:val="hybridMultilevel"/>
    <w:tmpl w:val="521A0A60"/>
    <w:lvl w:ilvl="0" w:tplc="48C6408A">
      <w:start w:val="1"/>
      <w:numFmt w:val="decimal"/>
      <w:lvlText w:val="%1."/>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666F40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AF251B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DE878A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6D6271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1C295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7CCA0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FA0B76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99EC7F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7" w15:restartNumberingAfterBreak="0">
    <w:nsid w:val="3BC070A4"/>
    <w:multiLevelType w:val="hybridMultilevel"/>
    <w:tmpl w:val="07BC09C6"/>
    <w:lvl w:ilvl="0" w:tplc="2BC0A98E">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282EEDB6">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E7A67F52">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08AF010">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F68AE9A">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D7D46256">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D8EC554A">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E6E642A">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FA5C4FD8">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38" w15:restartNumberingAfterBreak="0">
    <w:nsid w:val="3D2B587B"/>
    <w:multiLevelType w:val="hybridMultilevel"/>
    <w:tmpl w:val="4FEEBDA4"/>
    <w:lvl w:ilvl="0" w:tplc="BD7A9826">
      <w:start w:val="5"/>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B32E16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462573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680BF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D8FBA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5FE292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86EC0F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D7EE17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6AE096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9" w15:restartNumberingAfterBreak="0">
    <w:nsid w:val="3D2F6A1B"/>
    <w:multiLevelType w:val="hybridMultilevel"/>
    <w:tmpl w:val="A3242526"/>
    <w:lvl w:ilvl="0" w:tplc="96244C32">
      <w:start w:val="1"/>
      <w:numFmt w:val="decimal"/>
      <w:lvlText w:val="%1."/>
      <w:lvlJc w:val="left"/>
      <w:pPr>
        <w:ind w:left="12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4EC444">
      <w:start w:val="1"/>
      <w:numFmt w:val="lowerLetter"/>
      <w:lvlText w:val="%2"/>
      <w:lvlJc w:val="left"/>
      <w:pPr>
        <w:ind w:left="1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D00A9AC">
      <w:start w:val="1"/>
      <w:numFmt w:val="lowerRoman"/>
      <w:lvlText w:val="%3"/>
      <w:lvlJc w:val="left"/>
      <w:pPr>
        <w:ind w:left="2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94F36C">
      <w:start w:val="1"/>
      <w:numFmt w:val="decimal"/>
      <w:lvlText w:val="%4"/>
      <w:lvlJc w:val="left"/>
      <w:pPr>
        <w:ind w:left="3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5AA9F16">
      <w:start w:val="1"/>
      <w:numFmt w:val="lowerLetter"/>
      <w:lvlText w:val="%5"/>
      <w:lvlJc w:val="left"/>
      <w:pPr>
        <w:ind w:left="3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58BC2A">
      <w:start w:val="1"/>
      <w:numFmt w:val="lowerRoman"/>
      <w:lvlText w:val="%6"/>
      <w:lvlJc w:val="left"/>
      <w:pPr>
        <w:ind w:left="4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50F4D4">
      <w:start w:val="1"/>
      <w:numFmt w:val="decimal"/>
      <w:lvlText w:val="%7"/>
      <w:lvlJc w:val="left"/>
      <w:pPr>
        <w:ind w:left="5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20C2D2">
      <w:start w:val="1"/>
      <w:numFmt w:val="lowerLetter"/>
      <w:lvlText w:val="%8"/>
      <w:lvlJc w:val="left"/>
      <w:pPr>
        <w:ind w:left="5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405538">
      <w:start w:val="1"/>
      <w:numFmt w:val="lowerRoman"/>
      <w:lvlText w:val="%9"/>
      <w:lvlJc w:val="left"/>
      <w:pPr>
        <w:ind w:left="6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3DAF32DC"/>
    <w:multiLevelType w:val="hybridMultilevel"/>
    <w:tmpl w:val="E04C5F10"/>
    <w:lvl w:ilvl="0" w:tplc="70DC2F2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9D284A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DE0047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9C0E8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2CD25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66C732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0FE031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C983C5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6CCBBB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1" w15:restartNumberingAfterBreak="0">
    <w:nsid w:val="3E090D36"/>
    <w:multiLevelType w:val="hybridMultilevel"/>
    <w:tmpl w:val="ECEA736C"/>
    <w:lvl w:ilvl="0" w:tplc="66CE8D8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72B72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8FA378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106011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8E8F10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5EC20E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A52247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7D8A9C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D92B75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2" w15:restartNumberingAfterBreak="0">
    <w:nsid w:val="3E8F45A5"/>
    <w:multiLevelType w:val="hybridMultilevel"/>
    <w:tmpl w:val="325EC1E6"/>
    <w:lvl w:ilvl="0" w:tplc="3D263EE8">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FB076C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054CD3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596DBA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5F803D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AF8244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E0C624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CFAF51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2C2F07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3" w15:restartNumberingAfterBreak="0">
    <w:nsid w:val="3FA845D9"/>
    <w:multiLevelType w:val="hybridMultilevel"/>
    <w:tmpl w:val="C8D64802"/>
    <w:lvl w:ilvl="0" w:tplc="FD2AB942">
      <w:start w:val="4"/>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E3C290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8CD33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D34871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BBA314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4FCFC8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6B0041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5CEE48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1882E5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4" w15:restartNumberingAfterBreak="0">
    <w:nsid w:val="3FAE4410"/>
    <w:multiLevelType w:val="hybridMultilevel"/>
    <w:tmpl w:val="B67A0B10"/>
    <w:lvl w:ilvl="0" w:tplc="A9F00D5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5C03DD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F4099C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C42BA0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C185C3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9FEA27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DB6481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0AA4C3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DCE1CA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5" w15:restartNumberingAfterBreak="0">
    <w:nsid w:val="40321157"/>
    <w:multiLevelType w:val="hybridMultilevel"/>
    <w:tmpl w:val="E490E4EE"/>
    <w:lvl w:ilvl="0" w:tplc="28AE0E1E">
      <w:start w:val="1"/>
      <w:numFmt w:val="bullet"/>
      <w:lvlText w:val="–"/>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3C175A">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769D66">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C484706">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1864B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90EF18">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CE851DC">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76E45F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7CC740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6" w15:restartNumberingAfterBreak="0">
    <w:nsid w:val="407E5439"/>
    <w:multiLevelType w:val="hybridMultilevel"/>
    <w:tmpl w:val="8E7E0048"/>
    <w:lvl w:ilvl="0" w:tplc="1AC2DE7C">
      <w:start w:val="1"/>
      <w:numFmt w:val="bullet"/>
      <w:lvlText w:val="•"/>
      <w:lvlJc w:val="left"/>
      <w:pPr>
        <w:ind w:left="1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5D62C6A">
      <w:start w:val="1"/>
      <w:numFmt w:val="decimal"/>
      <w:lvlText w:val="%2."/>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5D65C84">
      <w:start w:val="1"/>
      <w:numFmt w:val="lowerRoman"/>
      <w:lvlText w:val="%3"/>
      <w:lvlJc w:val="left"/>
      <w:pPr>
        <w:ind w:left="17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38EB50">
      <w:start w:val="1"/>
      <w:numFmt w:val="decimal"/>
      <w:lvlText w:val="%4"/>
      <w:lvlJc w:val="left"/>
      <w:pPr>
        <w:ind w:left="25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00AB5C8">
      <w:start w:val="1"/>
      <w:numFmt w:val="lowerLetter"/>
      <w:lvlText w:val="%5"/>
      <w:lvlJc w:val="left"/>
      <w:pPr>
        <w:ind w:left="32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02422DA">
      <w:start w:val="1"/>
      <w:numFmt w:val="lowerRoman"/>
      <w:lvlText w:val="%6"/>
      <w:lvlJc w:val="left"/>
      <w:pPr>
        <w:ind w:left="39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4C684A2">
      <w:start w:val="1"/>
      <w:numFmt w:val="decimal"/>
      <w:lvlText w:val="%7"/>
      <w:lvlJc w:val="left"/>
      <w:pPr>
        <w:ind w:left="46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6EEA576">
      <w:start w:val="1"/>
      <w:numFmt w:val="lowerLetter"/>
      <w:lvlText w:val="%8"/>
      <w:lvlJc w:val="left"/>
      <w:pPr>
        <w:ind w:left="53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7C6486">
      <w:start w:val="1"/>
      <w:numFmt w:val="lowerRoman"/>
      <w:lvlText w:val="%9"/>
      <w:lvlJc w:val="left"/>
      <w:pPr>
        <w:ind w:left="61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7" w15:restartNumberingAfterBreak="0">
    <w:nsid w:val="40E60956"/>
    <w:multiLevelType w:val="hybridMultilevel"/>
    <w:tmpl w:val="CC382002"/>
    <w:lvl w:ilvl="0" w:tplc="3B242A30">
      <w:start w:val="1"/>
      <w:numFmt w:val="decimal"/>
      <w:lvlText w:val="%1."/>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A7009F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6446BF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4F6AC9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D62441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35056D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3044BB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CB6754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F1A24A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8" w15:restartNumberingAfterBreak="0">
    <w:nsid w:val="41312FB1"/>
    <w:multiLevelType w:val="hybridMultilevel"/>
    <w:tmpl w:val="C3005956"/>
    <w:lvl w:ilvl="0" w:tplc="9252ECF0">
      <w:start w:val="1"/>
      <w:numFmt w:val="bullet"/>
      <w:lvlText w:val=""/>
      <w:lvlJc w:val="left"/>
      <w:pPr>
        <w:ind w:left="99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604A8E32">
      <w:start w:val="1"/>
      <w:numFmt w:val="bullet"/>
      <w:lvlText w:val="o"/>
      <w:lvlJc w:val="left"/>
      <w:pPr>
        <w:ind w:left="164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A5A06DC8">
      <w:start w:val="1"/>
      <w:numFmt w:val="bullet"/>
      <w:lvlText w:val="▪"/>
      <w:lvlJc w:val="left"/>
      <w:pPr>
        <w:ind w:left="236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FF7CC114">
      <w:start w:val="1"/>
      <w:numFmt w:val="bullet"/>
      <w:lvlText w:val="•"/>
      <w:lvlJc w:val="left"/>
      <w:pPr>
        <w:ind w:left="308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CCEE42D0">
      <w:start w:val="1"/>
      <w:numFmt w:val="bullet"/>
      <w:lvlText w:val="o"/>
      <w:lvlJc w:val="left"/>
      <w:pPr>
        <w:ind w:left="380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B12B600">
      <w:start w:val="1"/>
      <w:numFmt w:val="bullet"/>
      <w:lvlText w:val="▪"/>
      <w:lvlJc w:val="left"/>
      <w:pPr>
        <w:ind w:left="452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4CC7F08">
      <w:start w:val="1"/>
      <w:numFmt w:val="bullet"/>
      <w:lvlText w:val="•"/>
      <w:lvlJc w:val="left"/>
      <w:pPr>
        <w:ind w:left="524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A783058">
      <w:start w:val="1"/>
      <w:numFmt w:val="bullet"/>
      <w:lvlText w:val="o"/>
      <w:lvlJc w:val="left"/>
      <w:pPr>
        <w:ind w:left="596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D00E390">
      <w:start w:val="1"/>
      <w:numFmt w:val="bullet"/>
      <w:lvlText w:val="▪"/>
      <w:lvlJc w:val="left"/>
      <w:pPr>
        <w:ind w:left="668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49" w15:restartNumberingAfterBreak="0">
    <w:nsid w:val="41A353D1"/>
    <w:multiLevelType w:val="hybridMultilevel"/>
    <w:tmpl w:val="9962C76A"/>
    <w:lvl w:ilvl="0" w:tplc="A98258D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9E28A6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42C5A3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41436B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37ED2E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8B24E8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26168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AFED4B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8789DB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0" w15:restartNumberingAfterBreak="0">
    <w:nsid w:val="424342C9"/>
    <w:multiLevelType w:val="hybridMultilevel"/>
    <w:tmpl w:val="A8E01C6A"/>
    <w:lvl w:ilvl="0" w:tplc="6DA4AC8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B7EA1D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A5847A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2E097F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660847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E46BF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8A43EA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566F1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1E897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1" w15:restartNumberingAfterBreak="0">
    <w:nsid w:val="42894762"/>
    <w:multiLevelType w:val="hybridMultilevel"/>
    <w:tmpl w:val="5F222B58"/>
    <w:lvl w:ilvl="0" w:tplc="2892D99A">
      <w:start w:val="1"/>
      <w:numFmt w:val="decimal"/>
      <w:lvlText w:val="%1."/>
      <w:lvlJc w:val="left"/>
      <w:pPr>
        <w:ind w:left="15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EF0332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CCCC3A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0062BD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E0A2A8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C46940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08703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0B0372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86C8B6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2" w15:restartNumberingAfterBreak="0">
    <w:nsid w:val="42C415CC"/>
    <w:multiLevelType w:val="hybridMultilevel"/>
    <w:tmpl w:val="B2A012F0"/>
    <w:lvl w:ilvl="0" w:tplc="03A8986C">
      <w:start w:val="1"/>
      <w:numFmt w:val="bullet"/>
      <w:lvlText w:val="•"/>
      <w:lvlJc w:val="left"/>
      <w:pPr>
        <w:ind w:left="155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CBE3EBE">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C9C397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E94A7602">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62AFD3E">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D92AC50E">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2076C18A">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601CA53C">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9A9CF9A8">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53" w15:restartNumberingAfterBreak="0">
    <w:nsid w:val="42F44C89"/>
    <w:multiLevelType w:val="hybridMultilevel"/>
    <w:tmpl w:val="AD482F14"/>
    <w:lvl w:ilvl="0" w:tplc="738A07E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2EC056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09AF82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8E50B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5029F5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968035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3B62B5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99AFBC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B30E5A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4" w15:restartNumberingAfterBreak="0">
    <w:nsid w:val="43AE29FE"/>
    <w:multiLevelType w:val="hybridMultilevel"/>
    <w:tmpl w:val="3EA8380E"/>
    <w:lvl w:ilvl="0" w:tplc="F6EC4D16">
      <w:start w:val="2"/>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56EFC1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61C92E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02660A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AF0472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64E220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D689E1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F7E181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36466C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5" w15:restartNumberingAfterBreak="0">
    <w:nsid w:val="44330B31"/>
    <w:multiLevelType w:val="hybridMultilevel"/>
    <w:tmpl w:val="28D0099E"/>
    <w:lvl w:ilvl="0" w:tplc="4476B8A6">
      <w:start w:val="1"/>
      <w:numFmt w:val="bullet"/>
      <w:lvlText w:val="•"/>
      <w:lvlJc w:val="left"/>
      <w:pPr>
        <w:ind w:left="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65CCA42">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0EC6A5E">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1F208D4">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95889C4">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8B8F11E">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420C4F4">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188517E">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BC26C1A">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56" w15:restartNumberingAfterBreak="0">
    <w:nsid w:val="445E06A9"/>
    <w:multiLevelType w:val="hybridMultilevel"/>
    <w:tmpl w:val="520AB338"/>
    <w:lvl w:ilvl="0" w:tplc="1C3EE954">
      <w:start w:val="2"/>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8CCEF1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24EB97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A22E6E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B987AC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E4AC8B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30C201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AF2A67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FDCEED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7" w15:restartNumberingAfterBreak="0">
    <w:nsid w:val="44AD6958"/>
    <w:multiLevelType w:val="hybridMultilevel"/>
    <w:tmpl w:val="3378D5F6"/>
    <w:lvl w:ilvl="0" w:tplc="C50E2122">
      <w:start w:val="1"/>
      <w:numFmt w:val="bullet"/>
      <w:lvlText w:val="-"/>
      <w:lvlJc w:val="left"/>
      <w:pPr>
        <w:ind w:left="15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F6E9238">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2DC6AEE">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D5A431E">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BBACEAA">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6867C68">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398053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EE243B8">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D30762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8" w15:restartNumberingAfterBreak="0">
    <w:nsid w:val="44D159C1"/>
    <w:multiLevelType w:val="hybridMultilevel"/>
    <w:tmpl w:val="04E41BC8"/>
    <w:lvl w:ilvl="0" w:tplc="387072E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74A8A0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D06695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FC401A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B74687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209E5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4B8E46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B720B4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12E52C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9" w15:restartNumberingAfterBreak="0">
    <w:nsid w:val="452D11CA"/>
    <w:multiLevelType w:val="hybridMultilevel"/>
    <w:tmpl w:val="4672EEE2"/>
    <w:lvl w:ilvl="0" w:tplc="F850C6D0">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E8CE47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E7C34D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7F0174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0540DF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97AF1C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74C2DA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086A2A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886BD3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0" w15:restartNumberingAfterBreak="0">
    <w:nsid w:val="45976960"/>
    <w:multiLevelType w:val="hybridMultilevel"/>
    <w:tmpl w:val="A8C0609C"/>
    <w:lvl w:ilvl="0" w:tplc="CF1AC24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32E216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0724B8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2DE3B6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2026D7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D6076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712AAF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00EF56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1BA21A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15:restartNumberingAfterBreak="0">
    <w:nsid w:val="45EF2EC3"/>
    <w:multiLevelType w:val="hybridMultilevel"/>
    <w:tmpl w:val="6BC036BC"/>
    <w:lvl w:ilvl="0" w:tplc="3724DF16">
      <w:start w:val="1"/>
      <w:numFmt w:val="bullet"/>
      <w:lvlText w:val="-"/>
      <w:lvlJc w:val="left"/>
      <w:pPr>
        <w:ind w:left="7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1" w:tplc="FBE2C5CA">
      <w:start w:val="1"/>
      <w:numFmt w:val="bullet"/>
      <w:lvlText w:val="o"/>
      <w:lvlJc w:val="left"/>
      <w:pPr>
        <w:ind w:left="16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2" w:tplc="6F8E13A4">
      <w:start w:val="1"/>
      <w:numFmt w:val="bullet"/>
      <w:lvlText w:val="▪"/>
      <w:lvlJc w:val="left"/>
      <w:pPr>
        <w:ind w:left="236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3" w:tplc="EAFC5396">
      <w:start w:val="1"/>
      <w:numFmt w:val="bullet"/>
      <w:lvlText w:val="•"/>
      <w:lvlJc w:val="left"/>
      <w:pPr>
        <w:ind w:left="308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4" w:tplc="39E8FA04">
      <w:start w:val="1"/>
      <w:numFmt w:val="bullet"/>
      <w:lvlText w:val="o"/>
      <w:lvlJc w:val="left"/>
      <w:pPr>
        <w:ind w:left="380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5" w:tplc="154EBD30">
      <w:start w:val="1"/>
      <w:numFmt w:val="bullet"/>
      <w:lvlText w:val="▪"/>
      <w:lvlJc w:val="left"/>
      <w:pPr>
        <w:ind w:left="452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6" w:tplc="74D47FB2">
      <w:start w:val="1"/>
      <w:numFmt w:val="bullet"/>
      <w:lvlText w:val="•"/>
      <w:lvlJc w:val="left"/>
      <w:pPr>
        <w:ind w:left="52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7" w:tplc="62D88F9A">
      <w:start w:val="1"/>
      <w:numFmt w:val="bullet"/>
      <w:lvlText w:val="o"/>
      <w:lvlJc w:val="left"/>
      <w:pPr>
        <w:ind w:left="596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8" w:tplc="8D5A476E">
      <w:start w:val="1"/>
      <w:numFmt w:val="bullet"/>
      <w:lvlText w:val="▪"/>
      <w:lvlJc w:val="left"/>
      <w:pPr>
        <w:ind w:left="668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abstractNum>
  <w:abstractNum w:abstractNumId="162" w15:restartNumberingAfterBreak="0">
    <w:nsid w:val="469B620C"/>
    <w:multiLevelType w:val="hybridMultilevel"/>
    <w:tmpl w:val="5CF6D8E6"/>
    <w:lvl w:ilvl="0" w:tplc="A776DAB8">
      <w:start w:val="1"/>
      <w:numFmt w:val="bullet"/>
      <w:lvlText w:val="-"/>
      <w:lvlJc w:val="left"/>
      <w:pPr>
        <w:ind w:left="17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88DA26">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4C2BFE">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E52625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2AAECF4">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036633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FB8878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0CA05C2">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544B1A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3" w15:restartNumberingAfterBreak="0">
    <w:nsid w:val="47A84082"/>
    <w:multiLevelType w:val="hybridMultilevel"/>
    <w:tmpl w:val="06009DBA"/>
    <w:lvl w:ilvl="0" w:tplc="59D4909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18AC9C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FC4C0E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A7AA10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E08B96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5B20A2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CF6B9F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ABE01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FA2693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4" w15:restartNumberingAfterBreak="0">
    <w:nsid w:val="483F6E5E"/>
    <w:multiLevelType w:val="hybridMultilevel"/>
    <w:tmpl w:val="CDDCFCF4"/>
    <w:lvl w:ilvl="0" w:tplc="D486994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EA83A8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760C5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2C231B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070127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F58DB0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464014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35E565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33802C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15:restartNumberingAfterBreak="0">
    <w:nsid w:val="48CA2937"/>
    <w:multiLevelType w:val="hybridMultilevel"/>
    <w:tmpl w:val="D496401E"/>
    <w:lvl w:ilvl="0" w:tplc="22BE320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1F8976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BE8D0A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DE4818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4800AA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E623CD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2A0DD2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A788BB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AF6AB9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6" w15:restartNumberingAfterBreak="0">
    <w:nsid w:val="48E23BA9"/>
    <w:multiLevelType w:val="hybridMultilevel"/>
    <w:tmpl w:val="F3DE3CA2"/>
    <w:lvl w:ilvl="0" w:tplc="A24CC420">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4BE050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F6A7D8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AC8274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A4EA1B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90CAC0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3A82D1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86AE59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594D5D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7" w15:restartNumberingAfterBreak="0">
    <w:nsid w:val="48EA0871"/>
    <w:multiLevelType w:val="hybridMultilevel"/>
    <w:tmpl w:val="1BE46A74"/>
    <w:lvl w:ilvl="0" w:tplc="6900B41A">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DAA68A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110446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172F75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55212E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3925CC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AABB5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87EC65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5D0CEE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8" w15:restartNumberingAfterBreak="0">
    <w:nsid w:val="4B8A41F7"/>
    <w:multiLevelType w:val="hybridMultilevel"/>
    <w:tmpl w:val="AAE6BF12"/>
    <w:lvl w:ilvl="0" w:tplc="B9CEC7EA">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D0A145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53EB8E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922D44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11605A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0C459B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3C4531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A1CE5C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454554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9" w15:restartNumberingAfterBreak="0">
    <w:nsid w:val="4BCE5B23"/>
    <w:multiLevelType w:val="hybridMultilevel"/>
    <w:tmpl w:val="0F3CD2D6"/>
    <w:lvl w:ilvl="0" w:tplc="154A03B6">
      <w:start w:val="2"/>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26A8E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E06FA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50AD5D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4444A4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D16520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76385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0A8DB6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AAACC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0" w15:restartNumberingAfterBreak="0">
    <w:nsid w:val="4BD60CE0"/>
    <w:multiLevelType w:val="hybridMultilevel"/>
    <w:tmpl w:val="343EB9F4"/>
    <w:lvl w:ilvl="0" w:tplc="603409D0">
      <w:start w:val="1"/>
      <w:numFmt w:val="bullet"/>
      <w:lvlText w:val="•"/>
      <w:lvlJc w:val="left"/>
      <w:pPr>
        <w:ind w:left="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9848874">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904A970">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E8AE492">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0DA47BE">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B9CD3C4">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DFE55BA">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98C2598">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E04F8C0">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1" w15:restartNumberingAfterBreak="0">
    <w:nsid w:val="4BE41BD9"/>
    <w:multiLevelType w:val="hybridMultilevel"/>
    <w:tmpl w:val="2F74C214"/>
    <w:lvl w:ilvl="0" w:tplc="29808F1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9C0D60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2046EC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ECC292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C5C2D2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998415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796E30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0F4A7A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100E84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2" w15:restartNumberingAfterBreak="0">
    <w:nsid w:val="4C32608A"/>
    <w:multiLevelType w:val="hybridMultilevel"/>
    <w:tmpl w:val="BF3CEF18"/>
    <w:lvl w:ilvl="0" w:tplc="15969E1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EE2F4D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8181E6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54EEDD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764498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548A9F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1D8E7F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BE480F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88254A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3" w15:restartNumberingAfterBreak="0">
    <w:nsid w:val="4CD25905"/>
    <w:multiLevelType w:val="hybridMultilevel"/>
    <w:tmpl w:val="B5168236"/>
    <w:lvl w:ilvl="0" w:tplc="C68EC29C">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8803E3C">
      <w:start w:val="1"/>
      <w:numFmt w:val="bullet"/>
      <w:lvlText w:val="o"/>
      <w:lvlJc w:val="left"/>
      <w:pPr>
        <w:ind w:left="16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140A970">
      <w:start w:val="1"/>
      <w:numFmt w:val="bullet"/>
      <w:lvlText w:val="▪"/>
      <w:lvlJc w:val="left"/>
      <w:pPr>
        <w:ind w:left="23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94E18F2">
      <w:start w:val="1"/>
      <w:numFmt w:val="bullet"/>
      <w:lvlText w:val="•"/>
      <w:lvlJc w:val="left"/>
      <w:pPr>
        <w:ind w:left="31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5767CCC">
      <w:start w:val="1"/>
      <w:numFmt w:val="bullet"/>
      <w:lvlText w:val="o"/>
      <w:lvlJc w:val="left"/>
      <w:pPr>
        <w:ind w:left="38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D78CC64">
      <w:start w:val="1"/>
      <w:numFmt w:val="bullet"/>
      <w:lvlText w:val="▪"/>
      <w:lvlJc w:val="left"/>
      <w:pPr>
        <w:ind w:left="45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2960BEA">
      <w:start w:val="1"/>
      <w:numFmt w:val="bullet"/>
      <w:lvlText w:val="•"/>
      <w:lvlJc w:val="left"/>
      <w:pPr>
        <w:ind w:left="52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57AACA8">
      <w:start w:val="1"/>
      <w:numFmt w:val="bullet"/>
      <w:lvlText w:val="o"/>
      <w:lvlJc w:val="left"/>
      <w:pPr>
        <w:ind w:left="59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94E8BF8">
      <w:start w:val="1"/>
      <w:numFmt w:val="bullet"/>
      <w:lvlText w:val="▪"/>
      <w:lvlJc w:val="left"/>
      <w:pPr>
        <w:ind w:left="67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4" w15:restartNumberingAfterBreak="0">
    <w:nsid w:val="4D54564C"/>
    <w:multiLevelType w:val="hybridMultilevel"/>
    <w:tmpl w:val="EE9EDC6A"/>
    <w:lvl w:ilvl="0" w:tplc="73C82476">
      <w:start w:val="6"/>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6AA7D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5A6C2F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48E6E0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676AF6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4249CB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484F26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94781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E94BAC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5" w15:restartNumberingAfterBreak="0">
    <w:nsid w:val="4E584EE9"/>
    <w:multiLevelType w:val="hybridMultilevel"/>
    <w:tmpl w:val="10FCF802"/>
    <w:lvl w:ilvl="0" w:tplc="0C6AAE4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238627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40C2D1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FC00D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39E587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0164F5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312D68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4E2E76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E04E8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6" w15:restartNumberingAfterBreak="0">
    <w:nsid w:val="4F234205"/>
    <w:multiLevelType w:val="hybridMultilevel"/>
    <w:tmpl w:val="DF788416"/>
    <w:lvl w:ilvl="0" w:tplc="AA586174">
      <w:start w:val="1"/>
      <w:numFmt w:val="bullet"/>
      <w:lvlText w:val="-"/>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7A0A2EC">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E32191C">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B4C5A30">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E0AD392">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C169CB8">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DAF820">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252FCCE">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C202932">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7" w15:restartNumberingAfterBreak="0">
    <w:nsid w:val="4FC27E60"/>
    <w:multiLevelType w:val="hybridMultilevel"/>
    <w:tmpl w:val="125E2628"/>
    <w:lvl w:ilvl="0" w:tplc="491AF0E6">
      <w:start w:val="1"/>
      <w:numFmt w:val="bullet"/>
      <w:lvlText w:val="•"/>
      <w:lvlJc w:val="left"/>
      <w:pPr>
        <w:ind w:left="155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4D16A104">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8720718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290E9B6">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83B06AB8">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070B3C8">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94B20966">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882746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9C7CE33C">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78" w15:restartNumberingAfterBreak="0">
    <w:nsid w:val="4FD14AEC"/>
    <w:multiLevelType w:val="hybridMultilevel"/>
    <w:tmpl w:val="0404871C"/>
    <w:lvl w:ilvl="0" w:tplc="C9821F2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F4613E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12688F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6661FA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60E95F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676DB3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FA201E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300BE2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B00F04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9" w15:restartNumberingAfterBreak="0">
    <w:nsid w:val="507E40B1"/>
    <w:multiLevelType w:val="hybridMultilevel"/>
    <w:tmpl w:val="0FC6A448"/>
    <w:lvl w:ilvl="0" w:tplc="CEA676B4">
      <w:start w:val="3"/>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D1A317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422F61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C74FD7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D64A3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6402BB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9AE6A4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46081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D1E82D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0" w15:restartNumberingAfterBreak="0">
    <w:nsid w:val="50B4431E"/>
    <w:multiLevelType w:val="hybridMultilevel"/>
    <w:tmpl w:val="3684BFF6"/>
    <w:lvl w:ilvl="0" w:tplc="D096C006">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6FC4AB4">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A503DB4">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8189D74">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9681B30">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7E4A13E">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71C803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A785D6C">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284E17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1" w15:restartNumberingAfterBreak="0">
    <w:nsid w:val="52182F19"/>
    <w:multiLevelType w:val="hybridMultilevel"/>
    <w:tmpl w:val="37C86476"/>
    <w:lvl w:ilvl="0" w:tplc="A2B454B4">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73E1BD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650EA0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3E26EA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82EF9D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BC6BBA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30C025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09CCE7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620255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2" w15:restartNumberingAfterBreak="0">
    <w:nsid w:val="531D53BB"/>
    <w:multiLevelType w:val="hybridMultilevel"/>
    <w:tmpl w:val="D4E85C7A"/>
    <w:lvl w:ilvl="0" w:tplc="1F3CC676">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308A653C">
      <w:start w:val="1"/>
      <w:numFmt w:val="bullet"/>
      <w:lvlText w:val="o"/>
      <w:lvlJc w:val="left"/>
      <w:pPr>
        <w:ind w:left="164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26D631C0">
      <w:start w:val="1"/>
      <w:numFmt w:val="bullet"/>
      <w:lvlText w:val="▪"/>
      <w:lvlJc w:val="left"/>
      <w:pPr>
        <w:ind w:left="236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D8EC91C8">
      <w:start w:val="1"/>
      <w:numFmt w:val="bullet"/>
      <w:lvlText w:val="•"/>
      <w:lvlJc w:val="left"/>
      <w:pPr>
        <w:ind w:left="308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9F69C48">
      <w:start w:val="1"/>
      <w:numFmt w:val="bullet"/>
      <w:lvlText w:val="o"/>
      <w:lvlJc w:val="left"/>
      <w:pPr>
        <w:ind w:left="380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233E7E58">
      <w:start w:val="1"/>
      <w:numFmt w:val="bullet"/>
      <w:lvlText w:val="▪"/>
      <w:lvlJc w:val="left"/>
      <w:pPr>
        <w:ind w:left="452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E4CCC30">
      <w:start w:val="1"/>
      <w:numFmt w:val="bullet"/>
      <w:lvlText w:val="•"/>
      <w:lvlJc w:val="left"/>
      <w:pPr>
        <w:ind w:left="524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5D8F470">
      <w:start w:val="1"/>
      <w:numFmt w:val="bullet"/>
      <w:lvlText w:val="o"/>
      <w:lvlJc w:val="left"/>
      <w:pPr>
        <w:ind w:left="596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488E97E">
      <w:start w:val="1"/>
      <w:numFmt w:val="bullet"/>
      <w:lvlText w:val="▪"/>
      <w:lvlJc w:val="left"/>
      <w:pPr>
        <w:ind w:left="668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83" w15:restartNumberingAfterBreak="0">
    <w:nsid w:val="5324654A"/>
    <w:multiLevelType w:val="hybridMultilevel"/>
    <w:tmpl w:val="1A0A544C"/>
    <w:lvl w:ilvl="0" w:tplc="430EF84E">
      <w:start w:val="1"/>
      <w:numFmt w:val="bullet"/>
      <w:lvlText w:val="-"/>
      <w:lvlJc w:val="left"/>
      <w:pPr>
        <w:ind w:left="165"/>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1" w:tplc="4BC2D906">
      <w:start w:val="1"/>
      <w:numFmt w:val="bullet"/>
      <w:lvlText w:val="o"/>
      <w:lvlJc w:val="left"/>
      <w:pPr>
        <w:ind w:left="16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2" w:tplc="32E6F53A">
      <w:start w:val="1"/>
      <w:numFmt w:val="bullet"/>
      <w:lvlText w:val="▪"/>
      <w:lvlJc w:val="left"/>
      <w:pPr>
        <w:ind w:left="236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3" w:tplc="69A8EC72">
      <w:start w:val="1"/>
      <w:numFmt w:val="bullet"/>
      <w:lvlText w:val="•"/>
      <w:lvlJc w:val="left"/>
      <w:pPr>
        <w:ind w:left="308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4" w:tplc="945276F2">
      <w:start w:val="1"/>
      <w:numFmt w:val="bullet"/>
      <w:lvlText w:val="o"/>
      <w:lvlJc w:val="left"/>
      <w:pPr>
        <w:ind w:left="380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5" w:tplc="7C8ECF9A">
      <w:start w:val="1"/>
      <w:numFmt w:val="bullet"/>
      <w:lvlText w:val="▪"/>
      <w:lvlJc w:val="left"/>
      <w:pPr>
        <w:ind w:left="452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6" w:tplc="FE4E7AEA">
      <w:start w:val="1"/>
      <w:numFmt w:val="bullet"/>
      <w:lvlText w:val="•"/>
      <w:lvlJc w:val="left"/>
      <w:pPr>
        <w:ind w:left="52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7" w:tplc="EFCA9E48">
      <w:start w:val="1"/>
      <w:numFmt w:val="bullet"/>
      <w:lvlText w:val="o"/>
      <w:lvlJc w:val="left"/>
      <w:pPr>
        <w:ind w:left="596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8" w:tplc="D1A2B730">
      <w:start w:val="1"/>
      <w:numFmt w:val="bullet"/>
      <w:lvlText w:val="▪"/>
      <w:lvlJc w:val="left"/>
      <w:pPr>
        <w:ind w:left="668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abstractNum>
  <w:abstractNum w:abstractNumId="184" w15:restartNumberingAfterBreak="0">
    <w:nsid w:val="536768DC"/>
    <w:multiLevelType w:val="hybridMultilevel"/>
    <w:tmpl w:val="3710C488"/>
    <w:lvl w:ilvl="0" w:tplc="26921CF6">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8AA812">
      <w:start w:val="1"/>
      <w:numFmt w:val="lowerLetter"/>
      <w:lvlText w:val="%2"/>
      <w:lvlJc w:val="left"/>
      <w:pPr>
        <w:ind w:left="1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AA439E">
      <w:start w:val="1"/>
      <w:numFmt w:val="lowerRoman"/>
      <w:lvlText w:val="%3"/>
      <w:lvlJc w:val="left"/>
      <w:pPr>
        <w:ind w:left="2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48232BE">
      <w:start w:val="1"/>
      <w:numFmt w:val="decimal"/>
      <w:lvlText w:val="%4"/>
      <w:lvlJc w:val="left"/>
      <w:pPr>
        <w:ind w:left="3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24BDAA">
      <w:start w:val="1"/>
      <w:numFmt w:val="lowerLetter"/>
      <w:lvlText w:val="%5"/>
      <w:lvlJc w:val="left"/>
      <w:pPr>
        <w:ind w:left="3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48735E">
      <w:start w:val="1"/>
      <w:numFmt w:val="lowerRoman"/>
      <w:lvlText w:val="%6"/>
      <w:lvlJc w:val="left"/>
      <w:pPr>
        <w:ind w:left="4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70DF8A">
      <w:start w:val="1"/>
      <w:numFmt w:val="decimal"/>
      <w:lvlText w:val="%7"/>
      <w:lvlJc w:val="left"/>
      <w:pPr>
        <w:ind w:left="5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E44FFE">
      <w:start w:val="1"/>
      <w:numFmt w:val="lowerLetter"/>
      <w:lvlText w:val="%8"/>
      <w:lvlJc w:val="left"/>
      <w:pPr>
        <w:ind w:left="5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F6C88FA">
      <w:start w:val="1"/>
      <w:numFmt w:val="lowerRoman"/>
      <w:lvlText w:val="%9"/>
      <w:lvlJc w:val="left"/>
      <w:pPr>
        <w:ind w:left="6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536C16E5"/>
    <w:multiLevelType w:val="hybridMultilevel"/>
    <w:tmpl w:val="0156B73C"/>
    <w:lvl w:ilvl="0" w:tplc="1F3484C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762575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30E709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7D486E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A18CB0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9B4A44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49C872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EECF0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F36FD5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6" w15:restartNumberingAfterBreak="0">
    <w:nsid w:val="53E94A8F"/>
    <w:multiLevelType w:val="hybridMultilevel"/>
    <w:tmpl w:val="3ACE55CE"/>
    <w:lvl w:ilvl="0" w:tplc="4F62C718">
      <w:start w:val="1"/>
      <w:numFmt w:val="bullet"/>
      <w:lvlText w:val="•"/>
      <w:lvlJc w:val="left"/>
      <w:pPr>
        <w:ind w:left="7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8EB8AD6A">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5D5E652C">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A83EE8E4">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F7DC525A">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A8A28B8">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F1ABB54">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880CC18">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42840C42">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87" w15:restartNumberingAfterBreak="0">
    <w:nsid w:val="53FA5547"/>
    <w:multiLevelType w:val="hybridMultilevel"/>
    <w:tmpl w:val="8DA69FA8"/>
    <w:lvl w:ilvl="0" w:tplc="675CBEA6">
      <w:start w:val="1"/>
      <w:numFmt w:val="bullet"/>
      <w:lvlText w:val=""/>
      <w:lvlJc w:val="left"/>
      <w:pPr>
        <w:ind w:left="99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60562E70">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0C2EA944">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E6E92B2">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616CF618">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CAA9C54">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D0828AC0">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620A8382">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9BA45768">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88" w15:restartNumberingAfterBreak="0">
    <w:nsid w:val="543A7069"/>
    <w:multiLevelType w:val="hybridMultilevel"/>
    <w:tmpl w:val="869451AE"/>
    <w:lvl w:ilvl="0" w:tplc="0A023BDE">
      <w:start w:val="1"/>
      <w:numFmt w:val="bullet"/>
      <w:lvlText w:val="•"/>
      <w:lvlJc w:val="left"/>
      <w:pPr>
        <w:ind w:left="17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A36FE0A">
      <w:start w:val="1"/>
      <w:numFmt w:val="bullet"/>
      <w:lvlText w:val="o"/>
      <w:lvlJc w:val="left"/>
      <w:pPr>
        <w:ind w:left="164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0FA948C">
      <w:start w:val="1"/>
      <w:numFmt w:val="bullet"/>
      <w:lvlText w:val="▪"/>
      <w:lvlJc w:val="left"/>
      <w:pPr>
        <w:ind w:left="236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6103E94">
      <w:start w:val="1"/>
      <w:numFmt w:val="bullet"/>
      <w:lvlText w:val="•"/>
      <w:lvlJc w:val="left"/>
      <w:pPr>
        <w:ind w:left="30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640C82E">
      <w:start w:val="1"/>
      <w:numFmt w:val="bullet"/>
      <w:lvlText w:val="o"/>
      <w:lvlJc w:val="left"/>
      <w:pPr>
        <w:ind w:left="380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9DEADDC">
      <w:start w:val="1"/>
      <w:numFmt w:val="bullet"/>
      <w:lvlText w:val="▪"/>
      <w:lvlJc w:val="left"/>
      <w:pPr>
        <w:ind w:left="452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A446394">
      <w:start w:val="1"/>
      <w:numFmt w:val="bullet"/>
      <w:lvlText w:val="•"/>
      <w:lvlJc w:val="left"/>
      <w:pPr>
        <w:ind w:left="52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3EE8840">
      <w:start w:val="1"/>
      <w:numFmt w:val="bullet"/>
      <w:lvlText w:val="o"/>
      <w:lvlJc w:val="left"/>
      <w:pPr>
        <w:ind w:left="596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45ECB82">
      <w:start w:val="1"/>
      <w:numFmt w:val="bullet"/>
      <w:lvlText w:val="▪"/>
      <w:lvlJc w:val="left"/>
      <w:pPr>
        <w:ind w:left="668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9" w15:restartNumberingAfterBreak="0">
    <w:nsid w:val="546739E9"/>
    <w:multiLevelType w:val="hybridMultilevel"/>
    <w:tmpl w:val="B8CE2A7E"/>
    <w:lvl w:ilvl="0" w:tplc="929AC4C8">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D008A4">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912ABAA">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8B2B2A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C4970E">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1A2D3B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498F296">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9588A82">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0ACFE8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0" w15:restartNumberingAfterBreak="0">
    <w:nsid w:val="551B2E86"/>
    <w:multiLevelType w:val="hybridMultilevel"/>
    <w:tmpl w:val="0A3619E2"/>
    <w:lvl w:ilvl="0" w:tplc="43AA45D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F42E66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7084AD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A80C0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32C737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F28BC3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2E044E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09091F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48A76F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1" w15:restartNumberingAfterBreak="0">
    <w:nsid w:val="555A189F"/>
    <w:multiLevelType w:val="hybridMultilevel"/>
    <w:tmpl w:val="64EC4532"/>
    <w:lvl w:ilvl="0" w:tplc="E94A4ADA">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706243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A0EF2D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25677A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09424F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E7A993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C8EC41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D00FDB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3D285A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2" w15:restartNumberingAfterBreak="0">
    <w:nsid w:val="558B0C3F"/>
    <w:multiLevelType w:val="hybridMultilevel"/>
    <w:tmpl w:val="1952A42C"/>
    <w:lvl w:ilvl="0" w:tplc="A9F82AC2">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31682AA">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DC8A840">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818A09E">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269096">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F2615DC">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92AA7B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2765DDE">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42AA65A">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3" w15:restartNumberingAfterBreak="0">
    <w:nsid w:val="55A14C11"/>
    <w:multiLevelType w:val="hybridMultilevel"/>
    <w:tmpl w:val="E4B82796"/>
    <w:lvl w:ilvl="0" w:tplc="15DC1EC4">
      <w:start w:val="6"/>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F600E2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FAA5C5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918959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24C6D4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D3488A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2ACEE1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BBE3C9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7EE08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4" w15:restartNumberingAfterBreak="0">
    <w:nsid w:val="55E90CF8"/>
    <w:multiLevelType w:val="hybridMultilevel"/>
    <w:tmpl w:val="6456BD7E"/>
    <w:lvl w:ilvl="0" w:tplc="1138CCC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C8C052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05A985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261A7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C6A855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FCD9C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AC0A51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4E07A9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BAA05C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5" w15:restartNumberingAfterBreak="0">
    <w:nsid w:val="57326D69"/>
    <w:multiLevelType w:val="hybridMultilevel"/>
    <w:tmpl w:val="39806CD2"/>
    <w:lvl w:ilvl="0" w:tplc="43AC6AC6">
      <w:start w:val="1"/>
      <w:numFmt w:val="bullet"/>
      <w:lvlText w:val="-"/>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3F2BF3A">
      <w:start w:val="1"/>
      <w:numFmt w:val="bullet"/>
      <w:lvlText w:val="o"/>
      <w:lvlJc w:val="left"/>
      <w:pPr>
        <w:ind w:left="16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434E1CA">
      <w:start w:val="1"/>
      <w:numFmt w:val="bullet"/>
      <w:lvlText w:val="▪"/>
      <w:lvlJc w:val="left"/>
      <w:pPr>
        <w:ind w:left="23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C963D2E">
      <w:start w:val="1"/>
      <w:numFmt w:val="bullet"/>
      <w:lvlText w:val="•"/>
      <w:lvlJc w:val="left"/>
      <w:pPr>
        <w:ind w:left="309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E580760">
      <w:start w:val="1"/>
      <w:numFmt w:val="bullet"/>
      <w:lvlText w:val="o"/>
      <w:lvlJc w:val="left"/>
      <w:pPr>
        <w:ind w:left="381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95AA804">
      <w:start w:val="1"/>
      <w:numFmt w:val="bullet"/>
      <w:lvlText w:val="▪"/>
      <w:lvlJc w:val="left"/>
      <w:pPr>
        <w:ind w:left="453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EDE7C1C">
      <w:start w:val="1"/>
      <w:numFmt w:val="bullet"/>
      <w:lvlText w:val="•"/>
      <w:lvlJc w:val="left"/>
      <w:pPr>
        <w:ind w:left="52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9729E06">
      <w:start w:val="1"/>
      <w:numFmt w:val="bullet"/>
      <w:lvlText w:val="o"/>
      <w:lvlJc w:val="left"/>
      <w:pPr>
        <w:ind w:left="59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0EA5BC8">
      <w:start w:val="1"/>
      <w:numFmt w:val="bullet"/>
      <w:lvlText w:val="▪"/>
      <w:lvlJc w:val="left"/>
      <w:pPr>
        <w:ind w:left="669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6" w15:restartNumberingAfterBreak="0">
    <w:nsid w:val="573730A3"/>
    <w:multiLevelType w:val="hybridMultilevel"/>
    <w:tmpl w:val="48A2C698"/>
    <w:lvl w:ilvl="0" w:tplc="62C0EF3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E96DEA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7E0ED6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636019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DAC108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2E00F8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928659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C24B12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A78E2B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7" w15:restartNumberingAfterBreak="0">
    <w:nsid w:val="57C26A3D"/>
    <w:multiLevelType w:val="hybridMultilevel"/>
    <w:tmpl w:val="C7FA54A2"/>
    <w:lvl w:ilvl="0" w:tplc="569032A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356CE5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2A4345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AFE04D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B6E5F3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258479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7AEE94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A48679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842012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8" w15:restartNumberingAfterBreak="0">
    <w:nsid w:val="58074FEC"/>
    <w:multiLevelType w:val="hybridMultilevel"/>
    <w:tmpl w:val="8F426AC0"/>
    <w:lvl w:ilvl="0" w:tplc="ACB8B7FC">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9F270F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0F27AD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BEE903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F0D74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3F829F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898B50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6346A1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F1A976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9" w15:restartNumberingAfterBreak="0">
    <w:nsid w:val="58660B00"/>
    <w:multiLevelType w:val="hybridMultilevel"/>
    <w:tmpl w:val="3E6ADC84"/>
    <w:lvl w:ilvl="0" w:tplc="5F88621A">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27AEB58">
      <w:start w:val="1"/>
      <w:numFmt w:val="bullet"/>
      <w:lvlText w:val="o"/>
      <w:lvlJc w:val="left"/>
      <w:pPr>
        <w:ind w:left="16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5707088">
      <w:start w:val="1"/>
      <w:numFmt w:val="bullet"/>
      <w:lvlText w:val="▪"/>
      <w:lvlJc w:val="left"/>
      <w:pPr>
        <w:ind w:left="23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AFAAB772">
      <w:start w:val="1"/>
      <w:numFmt w:val="bullet"/>
      <w:lvlText w:val="•"/>
      <w:lvlJc w:val="left"/>
      <w:pPr>
        <w:ind w:left="30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B38E92A">
      <w:start w:val="1"/>
      <w:numFmt w:val="bullet"/>
      <w:lvlText w:val="o"/>
      <w:lvlJc w:val="left"/>
      <w:pPr>
        <w:ind w:left="3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7646B892">
      <w:start w:val="1"/>
      <w:numFmt w:val="bullet"/>
      <w:lvlText w:val="▪"/>
      <w:lvlJc w:val="left"/>
      <w:pPr>
        <w:ind w:left="45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474B628">
      <w:start w:val="1"/>
      <w:numFmt w:val="bullet"/>
      <w:lvlText w:val="•"/>
      <w:lvlJc w:val="left"/>
      <w:pPr>
        <w:ind w:left="52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E601C78">
      <w:start w:val="1"/>
      <w:numFmt w:val="bullet"/>
      <w:lvlText w:val="o"/>
      <w:lvlJc w:val="left"/>
      <w:pPr>
        <w:ind w:left="5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813EB5E0">
      <w:start w:val="1"/>
      <w:numFmt w:val="bullet"/>
      <w:lvlText w:val="▪"/>
      <w:lvlJc w:val="left"/>
      <w:pPr>
        <w:ind w:left="66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00" w15:restartNumberingAfterBreak="0">
    <w:nsid w:val="58835C5D"/>
    <w:multiLevelType w:val="hybridMultilevel"/>
    <w:tmpl w:val="3C5AA10C"/>
    <w:lvl w:ilvl="0" w:tplc="DCEE5290">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448CDB4">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12A16B2">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7AC300C">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548F62E">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A9AF806">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1063A36">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21E1C58">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B028618">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1" w15:restartNumberingAfterBreak="0">
    <w:nsid w:val="58A33527"/>
    <w:multiLevelType w:val="hybridMultilevel"/>
    <w:tmpl w:val="986E560C"/>
    <w:lvl w:ilvl="0" w:tplc="71E6EDEE">
      <w:start w:val="1"/>
      <w:numFmt w:val="bullet"/>
      <w:lvlText w:val="-"/>
      <w:lvlJc w:val="left"/>
      <w:pPr>
        <w:ind w:left="99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1" w:tplc="61F8F7DC">
      <w:start w:val="1"/>
      <w:numFmt w:val="bullet"/>
      <w:lvlText w:val="o"/>
      <w:lvlJc w:val="left"/>
      <w:pPr>
        <w:ind w:left="16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2" w:tplc="3F1C84DA">
      <w:start w:val="1"/>
      <w:numFmt w:val="bullet"/>
      <w:lvlText w:val="▪"/>
      <w:lvlJc w:val="left"/>
      <w:pPr>
        <w:ind w:left="236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3" w:tplc="448C0D38">
      <w:start w:val="1"/>
      <w:numFmt w:val="bullet"/>
      <w:lvlText w:val="•"/>
      <w:lvlJc w:val="left"/>
      <w:pPr>
        <w:ind w:left="308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4" w:tplc="5FA24F56">
      <w:start w:val="1"/>
      <w:numFmt w:val="bullet"/>
      <w:lvlText w:val="o"/>
      <w:lvlJc w:val="left"/>
      <w:pPr>
        <w:ind w:left="380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5" w:tplc="FE28D324">
      <w:start w:val="1"/>
      <w:numFmt w:val="bullet"/>
      <w:lvlText w:val="▪"/>
      <w:lvlJc w:val="left"/>
      <w:pPr>
        <w:ind w:left="452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6" w:tplc="CC509868">
      <w:start w:val="1"/>
      <w:numFmt w:val="bullet"/>
      <w:lvlText w:val="•"/>
      <w:lvlJc w:val="left"/>
      <w:pPr>
        <w:ind w:left="524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7" w:tplc="6EAA0FB2">
      <w:start w:val="1"/>
      <w:numFmt w:val="bullet"/>
      <w:lvlText w:val="o"/>
      <w:lvlJc w:val="left"/>
      <w:pPr>
        <w:ind w:left="596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lvl w:ilvl="8" w:tplc="9548812E">
      <w:start w:val="1"/>
      <w:numFmt w:val="bullet"/>
      <w:lvlText w:val="▪"/>
      <w:lvlJc w:val="left"/>
      <w:pPr>
        <w:ind w:left="6684"/>
      </w:pPr>
      <w:rPr>
        <w:rFonts w:ascii="Courier New" w:eastAsia="Courier New" w:hAnsi="Courier New" w:cs="Courier New"/>
        <w:b w:val="0"/>
        <w:i w:val="0"/>
        <w:strike w:val="0"/>
        <w:dstrike w:val="0"/>
        <w:color w:val="000000"/>
        <w:sz w:val="28"/>
        <w:szCs w:val="28"/>
        <w:u w:val="none" w:color="000000"/>
        <w:bdr w:val="none" w:sz="0" w:space="0" w:color="auto"/>
        <w:shd w:val="clear" w:color="auto" w:fill="auto"/>
        <w:vertAlign w:val="baseline"/>
      </w:rPr>
    </w:lvl>
  </w:abstractNum>
  <w:abstractNum w:abstractNumId="202" w15:restartNumberingAfterBreak="0">
    <w:nsid w:val="59847012"/>
    <w:multiLevelType w:val="hybridMultilevel"/>
    <w:tmpl w:val="7CE25888"/>
    <w:lvl w:ilvl="0" w:tplc="EF20242C">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561C2C">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A545784">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BCCA31A">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3E6DA86">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05C1B66">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CA03BD6">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344C63E">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220C43C">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3" w15:restartNumberingAfterBreak="0">
    <w:nsid w:val="5AD61CED"/>
    <w:multiLevelType w:val="hybridMultilevel"/>
    <w:tmpl w:val="A9468BF0"/>
    <w:lvl w:ilvl="0" w:tplc="0846DFD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A609A7C">
      <w:start w:val="1"/>
      <w:numFmt w:val="lowerLetter"/>
      <w:lvlText w:val="%2"/>
      <w:lvlJc w:val="left"/>
      <w:pPr>
        <w:ind w:left="16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A6E1D60">
      <w:start w:val="1"/>
      <w:numFmt w:val="lowerRoman"/>
      <w:lvlText w:val="%3"/>
      <w:lvlJc w:val="left"/>
      <w:pPr>
        <w:ind w:left="24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548EE9E">
      <w:start w:val="1"/>
      <w:numFmt w:val="decimal"/>
      <w:lvlText w:val="%4"/>
      <w:lvlJc w:val="left"/>
      <w:pPr>
        <w:ind w:left="31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89847B8">
      <w:start w:val="1"/>
      <w:numFmt w:val="lowerLetter"/>
      <w:lvlText w:val="%5"/>
      <w:lvlJc w:val="left"/>
      <w:pPr>
        <w:ind w:left="38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ECA121C">
      <w:start w:val="1"/>
      <w:numFmt w:val="lowerRoman"/>
      <w:lvlText w:val="%6"/>
      <w:lvlJc w:val="left"/>
      <w:pPr>
        <w:ind w:left="45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C08AD0C">
      <w:start w:val="1"/>
      <w:numFmt w:val="decimal"/>
      <w:lvlText w:val="%7"/>
      <w:lvlJc w:val="left"/>
      <w:pPr>
        <w:ind w:left="52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56C762">
      <w:start w:val="1"/>
      <w:numFmt w:val="lowerLetter"/>
      <w:lvlText w:val="%8"/>
      <w:lvlJc w:val="left"/>
      <w:pPr>
        <w:ind w:left="60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42E6440">
      <w:start w:val="1"/>
      <w:numFmt w:val="lowerRoman"/>
      <w:lvlText w:val="%9"/>
      <w:lvlJc w:val="left"/>
      <w:pPr>
        <w:ind w:left="67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4" w15:restartNumberingAfterBreak="0">
    <w:nsid w:val="5B882994"/>
    <w:multiLevelType w:val="hybridMultilevel"/>
    <w:tmpl w:val="98E61C1A"/>
    <w:lvl w:ilvl="0" w:tplc="8B4432C2">
      <w:start w:val="6"/>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56E181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500410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D68B0F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1CA373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7AEB97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A2E4EB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1407F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0F8612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5" w15:restartNumberingAfterBreak="0">
    <w:nsid w:val="5BDB185C"/>
    <w:multiLevelType w:val="hybridMultilevel"/>
    <w:tmpl w:val="4864A286"/>
    <w:lvl w:ilvl="0" w:tplc="8A4CE94E">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38276A">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2A6B03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6746D54">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892CE130">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B28C3C3E">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86C266B0">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4121410">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DAC8D4E">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06" w15:restartNumberingAfterBreak="0">
    <w:nsid w:val="5C346F30"/>
    <w:multiLevelType w:val="hybridMultilevel"/>
    <w:tmpl w:val="9808E0E0"/>
    <w:lvl w:ilvl="0" w:tplc="6EDC4A0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1E8232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96E5D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F52971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76623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9B4406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FE4F7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954AAA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2EA6C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7" w15:restartNumberingAfterBreak="0">
    <w:nsid w:val="5C4058F8"/>
    <w:multiLevelType w:val="hybridMultilevel"/>
    <w:tmpl w:val="FC04AFA0"/>
    <w:lvl w:ilvl="0" w:tplc="02166D0C">
      <w:start w:val="1"/>
      <w:numFmt w:val="bullet"/>
      <w:lvlText w:val="•"/>
      <w:lvlJc w:val="left"/>
      <w:pPr>
        <w:ind w:left="99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3EE80A0">
      <w:start w:val="1"/>
      <w:numFmt w:val="bullet"/>
      <w:lvlText w:val="o"/>
      <w:lvlJc w:val="left"/>
      <w:pPr>
        <w:ind w:left="1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ED42EEA">
      <w:start w:val="1"/>
      <w:numFmt w:val="bullet"/>
      <w:lvlText w:val="▪"/>
      <w:lvlJc w:val="left"/>
      <w:pPr>
        <w:ind w:left="2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C4E2D9E">
      <w:start w:val="1"/>
      <w:numFmt w:val="bullet"/>
      <w:lvlText w:val="•"/>
      <w:lvlJc w:val="left"/>
      <w:pPr>
        <w:ind w:left="3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0F62790">
      <w:start w:val="1"/>
      <w:numFmt w:val="bullet"/>
      <w:lvlText w:val="o"/>
      <w:lvlJc w:val="left"/>
      <w:pPr>
        <w:ind w:left="3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FCEAAF4">
      <w:start w:val="1"/>
      <w:numFmt w:val="bullet"/>
      <w:lvlText w:val="▪"/>
      <w:lvlJc w:val="left"/>
      <w:pPr>
        <w:ind w:left="4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B685968">
      <w:start w:val="1"/>
      <w:numFmt w:val="bullet"/>
      <w:lvlText w:val="•"/>
      <w:lvlJc w:val="left"/>
      <w:pPr>
        <w:ind w:left="524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E80C6C6">
      <w:start w:val="1"/>
      <w:numFmt w:val="bullet"/>
      <w:lvlText w:val="o"/>
      <w:lvlJc w:val="left"/>
      <w:pPr>
        <w:ind w:left="59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00620A0">
      <w:start w:val="1"/>
      <w:numFmt w:val="bullet"/>
      <w:lvlText w:val="▪"/>
      <w:lvlJc w:val="left"/>
      <w:pPr>
        <w:ind w:left="66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8" w15:restartNumberingAfterBreak="0">
    <w:nsid w:val="5C65490F"/>
    <w:multiLevelType w:val="hybridMultilevel"/>
    <w:tmpl w:val="0C268308"/>
    <w:lvl w:ilvl="0" w:tplc="424A99CE">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8FC7602">
      <w:start w:val="1"/>
      <w:numFmt w:val="lowerLetter"/>
      <w:lvlText w:val="%2"/>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5F28C86">
      <w:start w:val="1"/>
      <w:numFmt w:val="lowerRoman"/>
      <w:lvlText w:val="%3"/>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81EA14E">
      <w:start w:val="1"/>
      <w:numFmt w:val="decimal"/>
      <w:lvlText w:val="%4"/>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A0E2064">
      <w:start w:val="1"/>
      <w:numFmt w:val="lowerLetter"/>
      <w:lvlText w:val="%5"/>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EFEFA52">
      <w:start w:val="1"/>
      <w:numFmt w:val="lowerRoman"/>
      <w:lvlText w:val="%6"/>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68EFEBC">
      <w:start w:val="1"/>
      <w:numFmt w:val="decimal"/>
      <w:lvlText w:val="%7"/>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CDE751C">
      <w:start w:val="1"/>
      <w:numFmt w:val="lowerLetter"/>
      <w:lvlText w:val="%8"/>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CD2F9F2">
      <w:start w:val="1"/>
      <w:numFmt w:val="lowerRoman"/>
      <w:lvlText w:val="%9"/>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9" w15:restartNumberingAfterBreak="0">
    <w:nsid w:val="5C864389"/>
    <w:multiLevelType w:val="hybridMultilevel"/>
    <w:tmpl w:val="424E1636"/>
    <w:lvl w:ilvl="0" w:tplc="83D284AE">
      <w:start w:val="1"/>
      <w:numFmt w:val="bullet"/>
      <w:lvlText w:val="•"/>
      <w:lvlJc w:val="left"/>
      <w:pPr>
        <w:ind w:left="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58E178A">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AFCB30E">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2F0001A">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5EAF2C8">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72C803A">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7106F50">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A4E01A4">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2467C26">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0" w15:restartNumberingAfterBreak="0">
    <w:nsid w:val="5DB70E07"/>
    <w:multiLevelType w:val="hybridMultilevel"/>
    <w:tmpl w:val="C448B0DC"/>
    <w:lvl w:ilvl="0" w:tplc="6C7AF004">
      <w:start w:val="1"/>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624CDC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7401C7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FC0238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030BA5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982CB8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1F8C88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1667F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100B6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1" w15:restartNumberingAfterBreak="0">
    <w:nsid w:val="5E704742"/>
    <w:multiLevelType w:val="hybridMultilevel"/>
    <w:tmpl w:val="CB04E8C8"/>
    <w:lvl w:ilvl="0" w:tplc="DCDEB6FC">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E8A5A84">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006E260">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C3AE8C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2E65B7E">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88AD352">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FC0795A">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CCAB5C6">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E20B3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2" w15:restartNumberingAfterBreak="0">
    <w:nsid w:val="5ECC04ED"/>
    <w:multiLevelType w:val="hybridMultilevel"/>
    <w:tmpl w:val="6F8CE682"/>
    <w:lvl w:ilvl="0" w:tplc="B936EF58">
      <w:start w:val="2"/>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27CA78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8483F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B4C3A7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CFADBF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1C24F7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0FE819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BF0239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B0E635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3" w15:restartNumberingAfterBreak="0">
    <w:nsid w:val="60166B32"/>
    <w:multiLevelType w:val="hybridMultilevel"/>
    <w:tmpl w:val="6324EDE6"/>
    <w:lvl w:ilvl="0" w:tplc="441C4AB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D6C9D9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FD2944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4DA69D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686A8F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63427B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BF4573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CCB27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803AB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4" w15:restartNumberingAfterBreak="0">
    <w:nsid w:val="60822B06"/>
    <w:multiLevelType w:val="hybridMultilevel"/>
    <w:tmpl w:val="7D908004"/>
    <w:lvl w:ilvl="0" w:tplc="931402C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4EC2B6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22E7FF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8BE1E1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490F61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FF03A4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1A2D67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75E552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0D61BF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5" w15:restartNumberingAfterBreak="0">
    <w:nsid w:val="609F026F"/>
    <w:multiLevelType w:val="hybridMultilevel"/>
    <w:tmpl w:val="FDAC6BC2"/>
    <w:lvl w:ilvl="0" w:tplc="798C6856">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5ECA6B6">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BB65116">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1C9E00">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588F63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7E4F6A0">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ACD584">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40CB7A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948F9C2">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6" w15:restartNumberingAfterBreak="0">
    <w:nsid w:val="610E2216"/>
    <w:multiLevelType w:val="hybridMultilevel"/>
    <w:tmpl w:val="CA1C40D2"/>
    <w:lvl w:ilvl="0" w:tplc="1DF838F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5B400D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8092A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684A5D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5266A2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421AC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7848DD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626067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FE01B2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7" w15:restartNumberingAfterBreak="0">
    <w:nsid w:val="61D8562A"/>
    <w:multiLevelType w:val="hybridMultilevel"/>
    <w:tmpl w:val="87400B6E"/>
    <w:lvl w:ilvl="0" w:tplc="DA0CB1C4">
      <w:start w:val="3"/>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B031F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0AA822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988CE5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214C52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894E4B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FDA61F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60A943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13062A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8" w15:restartNumberingAfterBreak="0">
    <w:nsid w:val="61F24B1E"/>
    <w:multiLevelType w:val="hybridMultilevel"/>
    <w:tmpl w:val="0E2ADE26"/>
    <w:lvl w:ilvl="0" w:tplc="DBD29CA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BA4E28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EDA680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EACF2A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934011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086027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E2AC8B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6C478C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9A49204">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9" w15:restartNumberingAfterBreak="0">
    <w:nsid w:val="62A8055F"/>
    <w:multiLevelType w:val="hybridMultilevel"/>
    <w:tmpl w:val="6C00C7C0"/>
    <w:lvl w:ilvl="0" w:tplc="C472DBA2">
      <w:start w:val="1"/>
      <w:numFmt w:val="bullet"/>
      <w:lvlText w:val="–"/>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4007318">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202E4DC">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B909C0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378A2D0">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454FF02">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2A7058">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CE0915A">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D8876E2">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0" w15:restartNumberingAfterBreak="0">
    <w:nsid w:val="62FA5352"/>
    <w:multiLevelType w:val="hybridMultilevel"/>
    <w:tmpl w:val="9384BB62"/>
    <w:lvl w:ilvl="0" w:tplc="2E64F974">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79A7FB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1B2517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40ECE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540D37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B54E85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714E16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389AE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612810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1" w15:restartNumberingAfterBreak="0">
    <w:nsid w:val="63B25D28"/>
    <w:multiLevelType w:val="hybridMultilevel"/>
    <w:tmpl w:val="3344409E"/>
    <w:lvl w:ilvl="0" w:tplc="73E45830">
      <w:start w:val="1"/>
      <w:numFmt w:val="bullet"/>
      <w:lvlText w:val="•"/>
      <w:lvlJc w:val="left"/>
      <w:pPr>
        <w:ind w:left="17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889C65A2">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A04870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0E8B546">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ACE0DAA">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D3A5E1A">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8B4EA7B2">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DA84973C">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5128039C">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22" w15:restartNumberingAfterBreak="0">
    <w:nsid w:val="64B84671"/>
    <w:multiLevelType w:val="hybridMultilevel"/>
    <w:tmpl w:val="3FBC8360"/>
    <w:lvl w:ilvl="0" w:tplc="79B814E0">
      <w:start w:val="1"/>
      <w:numFmt w:val="bullet"/>
      <w:lvlText w:val="•"/>
      <w:lvlJc w:val="left"/>
      <w:pPr>
        <w:ind w:left="155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141CD410">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08DA0374">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CAE430C4">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162636E4">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1592F65A">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99422752">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A14258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9818646A">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23" w15:restartNumberingAfterBreak="0">
    <w:nsid w:val="64BC412F"/>
    <w:multiLevelType w:val="hybridMultilevel"/>
    <w:tmpl w:val="C24ECB8A"/>
    <w:lvl w:ilvl="0" w:tplc="27C2B3C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E32790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758A32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844E80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C36A6F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02292B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9DCDB1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0B688E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B7A4A2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4" w15:restartNumberingAfterBreak="0">
    <w:nsid w:val="64D4775C"/>
    <w:multiLevelType w:val="hybridMultilevel"/>
    <w:tmpl w:val="CBA4E09C"/>
    <w:lvl w:ilvl="0" w:tplc="6E74F548">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2E02C6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11E76E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0D2CE3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876247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07E593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06CB86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A9EE90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432E5A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5" w15:restartNumberingAfterBreak="0">
    <w:nsid w:val="655408D2"/>
    <w:multiLevelType w:val="hybridMultilevel"/>
    <w:tmpl w:val="0B24E562"/>
    <w:lvl w:ilvl="0" w:tplc="96608EA4">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C34533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EC6118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E7A02E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9B298D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5A81D1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202721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B843B1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C06160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6" w15:restartNumberingAfterBreak="0">
    <w:nsid w:val="65AF3619"/>
    <w:multiLevelType w:val="hybridMultilevel"/>
    <w:tmpl w:val="5374E608"/>
    <w:lvl w:ilvl="0" w:tplc="4D983766">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288F00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EBA013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1C781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2F6BEE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FA323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FC335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7F2CBC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0E02D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7" w15:restartNumberingAfterBreak="0">
    <w:nsid w:val="661B640E"/>
    <w:multiLevelType w:val="hybridMultilevel"/>
    <w:tmpl w:val="8108741A"/>
    <w:lvl w:ilvl="0" w:tplc="8564F04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DEEAD4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B9ABF8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E2C17E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ADA456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986A45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BAA5D4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2EC87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0C6756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8" w15:restartNumberingAfterBreak="0">
    <w:nsid w:val="665F138B"/>
    <w:multiLevelType w:val="hybridMultilevel"/>
    <w:tmpl w:val="FD8C7C4C"/>
    <w:lvl w:ilvl="0" w:tplc="03C29104">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3B601B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F7C2AD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54EB2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808C33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5C4765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5CC5D6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72801B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ED4FB8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9" w15:restartNumberingAfterBreak="0">
    <w:nsid w:val="667D2684"/>
    <w:multiLevelType w:val="hybridMultilevel"/>
    <w:tmpl w:val="B81EE0FE"/>
    <w:lvl w:ilvl="0" w:tplc="13ECB24A">
      <w:start w:val="1"/>
      <w:numFmt w:val="bullet"/>
      <w:lvlText w:val="•"/>
      <w:lvlJc w:val="left"/>
      <w:pPr>
        <w:ind w:left="8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36F8290E">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716E718">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475E3BE8">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91AE4FE">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7B12C30C">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1C008762">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4DC3046">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15C94F6">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0" w15:restartNumberingAfterBreak="0">
    <w:nsid w:val="669D69D9"/>
    <w:multiLevelType w:val="hybridMultilevel"/>
    <w:tmpl w:val="003A2C9E"/>
    <w:lvl w:ilvl="0" w:tplc="1208FAF6">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4F201118">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31F4C9A0">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D1A9E3E">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401CF694">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1C14A8E4">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E0B8705E">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E621BF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CA3619DC">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1" w15:restartNumberingAfterBreak="0">
    <w:nsid w:val="670A39CF"/>
    <w:multiLevelType w:val="hybridMultilevel"/>
    <w:tmpl w:val="D776767C"/>
    <w:lvl w:ilvl="0" w:tplc="D6B0CFE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A48128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6B22A0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3E247B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E0274A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98F06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370380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B94F84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86AE7D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2" w15:restartNumberingAfterBreak="0">
    <w:nsid w:val="67811F9B"/>
    <w:multiLevelType w:val="hybridMultilevel"/>
    <w:tmpl w:val="5AD40FEC"/>
    <w:lvl w:ilvl="0" w:tplc="126057F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EA45E7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EE4553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840580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E96759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55A997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4DA2A0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33A5FD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F54BA7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3" w15:restartNumberingAfterBreak="0">
    <w:nsid w:val="67B66B97"/>
    <w:multiLevelType w:val="hybridMultilevel"/>
    <w:tmpl w:val="A038EF34"/>
    <w:lvl w:ilvl="0" w:tplc="6374C7F2">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ECFD9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A84E21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F6A4D8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AD44EF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564C64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9AADDB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266D26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E427F0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4" w15:restartNumberingAfterBreak="0">
    <w:nsid w:val="67E92726"/>
    <w:multiLevelType w:val="hybridMultilevel"/>
    <w:tmpl w:val="08ECA5B8"/>
    <w:lvl w:ilvl="0" w:tplc="FDBCCA20">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4546E58">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C725286">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D9E5686">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8A6AA2">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8EAC67C">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158A41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18A54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32854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5" w15:restartNumberingAfterBreak="0">
    <w:nsid w:val="68805111"/>
    <w:multiLevelType w:val="hybridMultilevel"/>
    <w:tmpl w:val="8EEA4684"/>
    <w:lvl w:ilvl="0" w:tplc="C73246E6">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EACA438">
      <w:start w:val="1"/>
      <w:numFmt w:val="lowerLetter"/>
      <w:lvlText w:val="%2"/>
      <w:lvlJc w:val="left"/>
      <w:pPr>
        <w:ind w:left="26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3A4E774">
      <w:start w:val="1"/>
      <w:numFmt w:val="lowerRoman"/>
      <w:lvlText w:val="%3"/>
      <w:lvlJc w:val="left"/>
      <w:pPr>
        <w:ind w:left="33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B18E492">
      <w:start w:val="1"/>
      <w:numFmt w:val="decimal"/>
      <w:lvlText w:val="%4"/>
      <w:lvlJc w:val="left"/>
      <w:pPr>
        <w:ind w:left="40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288EC06">
      <w:start w:val="1"/>
      <w:numFmt w:val="lowerLetter"/>
      <w:lvlText w:val="%5"/>
      <w:lvlJc w:val="left"/>
      <w:pPr>
        <w:ind w:left="47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82C6A0">
      <w:start w:val="1"/>
      <w:numFmt w:val="lowerRoman"/>
      <w:lvlText w:val="%6"/>
      <w:lvlJc w:val="left"/>
      <w:pPr>
        <w:ind w:left="55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F44370C">
      <w:start w:val="1"/>
      <w:numFmt w:val="decimal"/>
      <w:lvlText w:val="%7"/>
      <w:lvlJc w:val="left"/>
      <w:pPr>
        <w:ind w:left="62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AAA12DE">
      <w:start w:val="1"/>
      <w:numFmt w:val="lowerLetter"/>
      <w:lvlText w:val="%8"/>
      <w:lvlJc w:val="left"/>
      <w:pPr>
        <w:ind w:left="69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5928CA4">
      <w:start w:val="1"/>
      <w:numFmt w:val="lowerRoman"/>
      <w:lvlText w:val="%9"/>
      <w:lvlJc w:val="left"/>
      <w:pPr>
        <w:ind w:left="76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6" w15:restartNumberingAfterBreak="0">
    <w:nsid w:val="69982774"/>
    <w:multiLevelType w:val="hybridMultilevel"/>
    <w:tmpl w:val="9154D3DC"/>
    <w:lvl w:ilvl="0" w:tplc="48C4D356">
      <w:start w:val="1"/>
      <w:numFmt w:val="bullet"/>
      <w:lvlText w:val="•"/>
      <w:lvlJc w:val="left"/>
      <w:pPr>
        <w:ind w:left="165"/>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2990F772">
      <w:start w:val="1"/>
      <w:numFmt w:val="bullet"/>
      <w:lvlText w:val="o"/>
      <w:lvlJc w:val="left"/>
      <w:pPr>
        <w:ind w:left="16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993AE678">
      <w:start w:val="1"/>
      <w:numFmt w:val="bullet"/>
      <w:lvlText w:val="▪"/>
      <w:lvlJc w:val="left"/>
      <w:pPr>
        <w:ind w:left="23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66EC4BA">
      <w:start w:val="1"/>
      <w:numFmt w:val="bullet"/>
      <w:lvlText w:val="•"/>
      <w:lvlJc w:val="left"/>
      <w:pPr>
        <w:ind w:left="30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B5EC40A">
      <w:start w:val="1"/>
      <w:numFmt w:val="bullet"/>
      <w:lvlText w:val="o"/>
      <w:lvlJc w:val="left"/>
      <w:pPr>
        <w:ind w:left="3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9C630E6">
      <w:start w:val="1"/>
      <w:numFmt w:val="bullet"/>
      <w:lvlText w:val="▪"/>
      <w:lvlJc w:val="left"/>
      <w:pPr>
        <w:ind w:left="45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406028C">
      <w:start w:val="1"/>
      <w:numFmt w:val="bullet"/>
      <w:lvlText w:val="•"/>
      <w:lvlJc w:val="left"/>
      <w:pPr>
        <w:ind w:left="52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03F66292">
      <w:start w:val="1"/>
      <w:numFmt w:val="bullet"/>
      <w:lvlText w:val="o"/>
      <w:lvlJc w:val="left"/>
      <w:pPr>
        <w:ind w:left="5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0FC1F2E">
      <w:start w:val="1"/>
      <w:numFmt w:val="bullet"/>
      <w:lvlText w:val="▪"/>
      <w:lvlJc w:val="left"/>
      <w:pPr>
        <w:ind w:left="66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7" w15:restartNumberingAfterBreak="0">
    <w:nsid w:val="6A6E3CD5"/>
    <w:multiLevelType w:val="hybridMultilevel"/>
    <w:tmpl w:val="11C2B1E0"/>
    <w:lvl w:ilvl="0" w:tplc="730AC9B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568213C">
      <w:start w:val="1"/>
      <w:numFmt w:val="lowerLetter"/>
      <w:lvlText w:val="%2"/>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480663C">
      <w:start w:val="1"/>
      <w:numFmt w:val="lowerRoman"/>
      <w:lvlText w:val="%3"/>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F6C8B90">
      <w:start w:val="1"/>
      <w:numFmt w:val="decimal"/>
      <w:lvlText w:val="%4"/>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F00719E">
      <w:start w:val="1"/>
      <w:numFmt w:val="lowerLetter"/>
      <w:lvlText w:val="%5"/>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D101FF4">
      <w:start w:val="1"/>
      <w:numFmt w:val="lowerRoman"/>
      <w:lvlText w:val="%6"/>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18615BA">
      <w:start w:val="1"/>
      <w:numFmt w:val="decimal"/>
      <w:lvlText w:val="%7"/>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DF8DC1E">
      <w:start w:val="1"/>
      <w:numFmt w:val="lowerLetter"/>
      <w:lvlText w:val="%8"/>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408E348">
      <w:start w:val="1"/>
      <w:numFmt w:val="lowerRoman"/>
      <w:lvlText w:val="%9"/>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8" w15:restartNumberingAfterBreak="0">
    <w:nsid w:val="6B125097"/>
    <w:multiLevelType w:val="hybridMultilevel"/>
    <w:tmpl w:val="1410ECFE"/>
    <w:lvl w:ilvl="0" w:tplc="55ECC4CA">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A988182">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262CF68">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2167A14">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8B055C0">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258AF14">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9766732">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50C6124">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36993C">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9" w15:restartNumberingAfterBreak="0">
    <w:nsid w:val="6B8E7E43"/>
    <w:multiLevelType w:val="hybridMultilevel"/>
    <w:tmpl w:val="3F46D510"/>
    <w:lvl w:ilvl="0" w:tplc="7172AEC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28AFAB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7B63A1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D647DA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7622B2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B528A6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3DC166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AF8294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BE0462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0" w15:restartNumberingAfterBreak="0">
    <w:nsid w:val="6BC948A7"/>
    <w:multiLevelType w:val="hybridMultilevel"/>
    <w:tmpl w:val="C302D22A"/>
    <w:lvl w:ilvl="0" w:tplc="570024C6">
      <w:start w:val="1"/>
      <w:numFmt w:val="bullet"/>
      <w:lvlText w:val="•"/>
      <w:lvlJc w:val="left"/>
      <w:pPr>
        <w:ind w:left="16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F7C1950">
      <w:start w:val="1"/>
      <w:numFmt w:val="bullet"/>
      <w:lvlText w:val="o"/>
      <w:lvlJc w:val="left"/>
      <w:pPr>
        <w:ind w:left="1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9DA546A">
      <w:start w:val="1"/>
      <w:numFmt w:val="bullet"/>
      <w:lvlText w:val="▪"/>
      <w:lvlJc w:val="left"/>
      <w:pPr>
        <w:ind w:left="2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BC46702">
      <w:start w:val="1"/>
      <w:numFmt w:val="bullet"/>
      <w:lvlText w:val="•"/>
      <w:lvlJc w:val="left"/>
      <w:pPr>
        <w:ind w:left="3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7369632">
      <w:start w:val="1"/>
      <w:numFmt w:val="bullet"/>
      <w:lvlText w:val="o"/>
      <w:lvlJc w:val="left"/>
      <w:pPr>
        <w:ind w:left="3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AD56E">
      <w:start w:val="1"/>
      <w:numFmt w:val="bullet"/>
      <w:lvlText w:val="▪"/>
      <w:lvlJc w:val="left"/>
      <w:pPr>
        <w:ind w:left="4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5F0D748">
      <w:start w:val="1"/>
      <w:numFmt w:val="bullet"/>
      <w:lvlText w:val="•"/>
      <w:lvlJc w:val="left"/>
      <w:pPr>
        <w:ind w:left="524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DC819C0">
      <w:start w:val="1"/>
      <w:numFmt w:val="bullet"/>
      <w:lvlText w:val="o"/>
      <w:lvlJc w:val="left"/>
      <w:pPr>
        <w:ind w:left="59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A2E8108">
      <w:start w:val="1"/>
      <w:numFmt w:val="bullet"/>
      <w:lvlText w:val="▪"/>
      <w:lvlJc w:val="left"/>
      <w:pPr>
        <w:ind w:left="66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1" w15:restartNumberingAfterBreak="0">
    <w:nsid w:val="6C2F1DE1"/>
    <w:multiLevelType w:val="hybridMultilevel"/>
    <w:tmpl w:val="01989594"/>
    <w:lvl w:ilvl="0" w:tplc="BA94377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D1E1C3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A327E3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D8ADD3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7BC296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BA0846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718EF9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D925E2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3D86AF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2" w15:restartNumberingAfterBreak="0">
    <w:nsid w:val="6CFE1F84"/>
    <w:multiLevelType w:val="hybridMultilevel"/>
    <w:tmpl w:val="61989ED4"/>
    <w:lvl w:ilvl="0" w:tplc="A836B272">
      <w:start w:val="1"/>
      <w:numFmt w:val="decimal"/>
      <w:lvlText w:val="%1."/>
      <w:lvlJc w:val="left"/>
      <w:pPr>
        <w:ind w:left="4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312397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730A0D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652EC6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2E2122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2DE5EF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D8760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2FE277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C40311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3" w15:restartNumberingAfterBreak="0">
    <w:nsid w:val="6DA9456D"/>
    <w:multiLevelType w:val="hybridMultilevel"/>
    <w:tmpl w:val="740C5CDA"/>
    <w:lvl w:ilvl="0" w:tplc="B2EEDCCE">
      <w:start w:val="1"/>
      <w:numFmt w:val="bullet"/>
      <w:lvlText w:val=""/>
      <w:lvlJc w:val="left"/>
      <w:pPr>
        <w:ind w:left="16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770C9F84">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FF32DD5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AF4AA60">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DC4C1E6">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2FAC4364">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D2885F94">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34A05F30">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48240304">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44" w15:restartNumberingAfterBreak="0">
    <w:nsid w:val="6E7F5412"/>
    <w:multiLevelType w:val="hybridMultilevel"/>
    <w:tmpl w:val="02AA8B62"/>
    <w:lvl w:ilvl="0" w:tplc="C4209CEE">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EB092D8">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E204242">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DC0DA0C">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0FE87B6">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EC8A3A">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7E0374">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3FC126A">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1B6B324">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5" w15:restartNumberingAfterBreak="0">
    <w:nsid w:val="6F265C71"/>
    <w:multiLevelType w:val="hybridMultilevel"/>
    <w:tmpl w:val="6A98A266"/>
    <w:lvl w:ilvl="0" w:tplc="8CAAF432">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D8644DC">
      <w:start w:val="1"/>
      <w:numFmt w:val="bullet"/>
      <w:lvlText w:val="o"/>
      <w:lvlJc w:val="left"/>
      <w:pPr>
        <w:ind w:left="1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B3C23FA">
      <w:start w:val="1"/>
      <w:numFmt w:val="bullet"/>
      <w:lvlText w:val="▪"/>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2F00E9C">
      <w:start w:val="1"/>
      <w:numFmt w:val="bullet"/>
      <w:lvlText w:val="•"/>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B883ED2">
      <w:start w:val="1"/>
      <w:numFmt w:val="bullet"/>
      <w:lvlText w:val="o"/>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94C7068">
      <w:start w:val="1"/>
      <w:numFmt w:val="bullet"/>
      <w:lvlText w:val="▪"/>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64E4C98">
      <w:start w:val="1"/>
      <w:numFmt w:val="bullet"/>
      <w:lvlText w:val="•"/>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F6AF570">
      <w:start w:val="1"/>
      <w:numFmt w:val="bullet"/>
      <w:lvlText w:val="o"/>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978EA60">
      <w:start w:val="1"/>
      <w:numFmt w:val="bullet"/>
      <w:lvlText w:val="▪"/>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6" w15:restartNumberingAfterBreak="0">
    <w:nsid w:val="6FF317E0"/>
    <w:multiLevelType w:val="hybridMultilevel"/>
    <w:tmpl w:val="20C6A5F0"/>
    <w:lvl w:ilvl="0" w:tplc="9AB46F52">
      <w:start w:val="1"/>
      <w:numFmt w:val="decimal"/>
      <w:lvlText w:val="%1."/>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D44B49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EB424A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09AD3E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C9A634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E40D5A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C3E6DA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CEBD6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32AF91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7" w15:restartNumberingAfterBreak="0">
    <w:nsid w:val="6FF97074"/>
    <w:multiLevelType w:val="hybridMultilevel"/>
    <w:tmpl w:val="B7446408"/>
    <w:lvl w:ilvl="0" w:tplc="E9227A08">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458953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AA8BDD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78A14E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B3E062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8B001C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B327E6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DF67FB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C781B7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8" w15:restartNumberingAfterBreak="0">
    <w:nsid w:val="703B55E0"/>
    <w:multiLevelType w:val="hybridMultilevel"/>
    <w:tmpl w:val="91CA617E"/>
    <w:lvl w:ilvl="0" w:tplc="B6E4C76E">
      <w:start w:val="1"/>
      <w:numFmt w:val="decimal"/>
      <w:lvlText w:val="%1."/>
      <w:lvlJc w:val="left"/>
      <w:pPr>
        <w:ind w:left="18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1B2B60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F24A6B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D7455E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F60176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BCA997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69E57C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1CE790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05C3B0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9" w15:restartNumberingAfterBreak="0">
    <w:nsid w:val="70BC2696"/>
    <w:multiLevelType w:val="hybridMultilevel"/>
    <w:tmpl w:val="26DAE8A2"/>
    <w:lvl w:ilvl="0" w:tplc="2A66178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B90050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B481F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15C3B9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280623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718A7C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168748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0B83DA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0DE264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0" w15:restartNumberingAfterBreak="0">
    <w:nsid w:val="71243939"/>
    <w:multiLevelType w:val="hybridMultilevel"/>
    <w:tmpl w:val="0BD087E4"/>
    <w:lvl w:ilvl="0" w:tplc="D642549E">
      <w:start w:val="1"/>
      <w:numFmt w:val="bullet"/>
      <w:lvlText w:val="•"/>
      <w:lvlJc w:val="left"/>
      <w:pPr>
        <w:ind w:left="7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A22E6DC0">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6B6128E">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CC8372E">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33B0541E">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7F66F964">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0400B8CE">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A0E79AC">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5600A95E">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51" w15:restartNumberingAfterBreak="0">
    <w:nsid w:val="71581913"/>
    <w:multiLevelType w:val="hybridMultilevel"/>
    <w:tmpl w:val="5A0AC8BC"/>
    <w:lvl w:ilvl="0" w:tplc="4900D79C">
      <w:start w:val="4"/>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D78B5D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ED01BB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2DCD78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4308FA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250A15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458E8B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F36580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E7EF69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2" w15:restartNumberingAfterBreak="0">
    <w:nsid w:val="71726F27"/>
    <w:multiLevelType w:val="hybridMultilevel"/>
    <w:tmpl w:val="F57C4CF6"/>
    <w:lvl w:ilvl="0" w:tplc="0E02E78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B806BE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A4416F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9DEF02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E2AFC5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1D00F2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B008FA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DAA439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DA28F1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3" w15:restartNumberingAfterBreak="0">
    <w:nsid w:val="71FC2F9B"/>
    <w:multiLevelType w:val="hybridMultilevel"/>
    <w:tmpl w:val="229CFF88"/>
    <w:lvl w:ilvl="0" w:tplc="CC1A88AA">
      <w:start w:val="1"/>
      <w:numFmt w:val="bullet"/>
      <w:lvlText w:val="•"/>
      <w:lvlJc w:val="left"/>
      <w:pPr>
        <w:ind w:left="2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2766842">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90018C8">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CB8C608">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0D8C2B4">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C2E5F24">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436F9D4">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498EDDC">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F0ADBE6">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4" w15:restartNumberingAfterBreak="0">
    <w:nsid w:val="72602B56"/>
    <w:multiLevelType w:val="hybridMultilevel"/>
    <w:tmpl w:val="54FA756C"/>
    <w:lvl w:ilvl="0" w:tplc="3F4CD98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CE393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83E68F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144CDF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A9C1FF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F48C6F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144F30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13C742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B644B9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5" w15:restartNumberingAfterBreak="0">
    <w:nsid w:val="72D07885"/>
    <w:multiLevelType w:val="hybridMultilevel"/>
    <w:tmpl w:val="90BAD7BA"/>
    <w:lvl w:ilvl="0" w:tplc="B204F7F0">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07276F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CCA668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F90D7D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CF63C4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960DA7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1C6F7E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EF6BD0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E7CA77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6" w15:restartNumberingAfterBreak="0">
    <w:nsid w:val="733D4D36"/>
    <w:multiLevelType w:val="hybridMultilevel"/>
    <w:tmpl w:val="98F6BA64"/>
    <w:lvl w:ilvl="0" w:tplc="24DA395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8B8E86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5CE752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2FC66A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802284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9DA319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A7E133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68E209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54C703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7" w15:restartNumberingAfterBreak="0">
    <w:nsid w:val="735C4E4F"/>
    <w:multiLevelType w:val="hybridMultilevel"/>
    <w:tmpl w:val="D284C8E0"/>
    <w:lvl w:ilvl="0" w:tplc="EC4CA1E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5EA54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19C25B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822E55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404854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7DC9DE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BD4B590">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FE6006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42A965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8" w15:restartNumberingAfterBreak="0">
    <w:nsid w:val="735D14F0"/>
    <w:multiLevelType w:val="hybridMultilevel"/>
    <w:tmpl w:val="C668FADE"/>
    <w:lvl w:ilvl="0" w:tplc="9F063072">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80EE38E">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5DD41BDC">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0BF035CC">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3728461C">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F53EDFCC">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2CF07752">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B662D3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80B62BE6">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59" w15:restartNumberingAfterBreak="0">
    <w:nsid w:val="740B0998"/>
    <w:multiLevelType w:val="hybridMultilevel"/>
    <w:tmpl w:val="5C2EDE92"/>
    <w:lvl w:ilvl="0" w:tplc="474A536A">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C66BA34">
      <w:start w:val="1"/>
      <w:numFmt w:val="lowerLetter"/>
      <w:lvlText w:val="%2"/>
      <w:lvlJc w:val="left"/>
      <w:pPr>
        <w:ind w:left="16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61413DA">
      <w:start w:val="1"/>
      <w:numFmt w:val="lowerRoman"/>
      <w:lvlText w:val="%3"/>
      <w:lvlJc w:val="left"/>
      <w:pPr>
        <w:ind w:left="23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F3A2D8E">
      <w:start w:val="1"/>
      <w:numFmt w:val="decimal"/>
      <w:lvlText w:val="%4"/>
      <w:lvlJc w:val="left"/>
      <w:pPr>
        <w:ind w:left="30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DC2AF0A">
      <w:start w:val="1"/>
      <w:numFmt w:val="lowerLetter"/>
      <w:lvlText w:val="%5"/>
      <w:lvlJc w:val="left"/>
      <w:pPr>
        <w:ind w:left="3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C464440">
      <w:start w:val="1"/>
      <w:numFmt w:val="lowerRoman"/>
      <w:lvlText w:val="%6"/>
      <w:lvlJc w:val="left"/>
      <w:pPr>
        <w:ind w:left="45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A121A14">
      <w:start w:val="1"/>
      <w:numFmt w:val="decimal"/>
      <w:lvlText w:val="%7"/>
      <w:lvlJc w:val="left"/>
      <w:pPr>
        <w:ind w:left="52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B606188">
      <w:start w:val="1"/>
      <w:numFmt w:val="lowerLetter"/>
      <w:lvlText w:val="%8"/>
      <w:lvlJc w:val="left"/>
      <w:pPr>
        <w:ind w:left="59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D521686">
      <w:start w:val="1"/>
      <w:numFmt w:val="lowerRoman"/>
      <w:lvlText w:val="%9"/>
      <w:lvlJc w:val="left"/>
      <w:pPr>
        <w:ind w:left="66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0" w15:restartNumberingAfterBreak="0">
    <w:nsid w:val="74412076"/>
    <w:multiLevelType w:val="hybridMultilevel"/>
    <w:tmpl w:val="269C932A"/>
    <w:lvl w:ilvl="0" w:tplc="1A241948">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5B075F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8F2541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74AF05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4B08D0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93A572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A2BEE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26AD4C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04062C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1" w15:restartNumberingAfterBreak="0">
    <w:nsid w:val="745E1A77"/>
    <w:multiLevelType w:val="hybridMultilevel"/>
    <w:tmpl w:val="F1969D96"/>
    <w:lvl w:ilvl="0" w:tplc="09904020">
      <w:start w:val="1"/>
      <w:numFmt w:val="decimal"/>
      <w:lvlText w:val="%1."/>
      <w:lvlJc w:val="left"/>
      <w:pPr>
        <w:ind w:left="7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000CBF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C22A63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F18C57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2A929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D7206F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80A3A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16435A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582C17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2" w15:restartNumberingAfterBreak="0">
    <w:nsid w:val="74FA5C60"/>
    <w:multiLevelType w:val="hybridMultilevel"/>
    <w:tmpl w:val="4170CCAE"/>
    <w:lvl w:ilvl="0" w:tplc="D6980132">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CCCEFA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45622A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B8C7AF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176A0D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32A5DB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B34FFD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9A0D54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712208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3" w15:restartNumberingAfterBreak="0">
    <w:nsid w:val="755D4267"/>
    <w:multiLevelType w:val="hybridMultilevel"/>
    <w:tmpl w:val="630402AA"/>
    <w:lvl w:ilvl="0" w:tplc="6C847CC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0CBF2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890C94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514D15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C58ED2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6F48C6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A76765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084DD9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7CEDC7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4" w15:restartNumberingAfterBreak="0">
    <w:nsid w:val="759350B8"/>
    <w:multiLevelType w:val="hybridMultilevel"/>
    <w:tmpl w:val="E9F2A934"/>
    <w:lvl w:ilvl="0" w:tplc="B06CAE3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13C39F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30CD69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2EED83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F2631F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F84E0D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6C0990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BA6A13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46E36E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5" w15:restartNumberingAfterBreak="0">
    <w:nsid w:val="7608589B"/>
    <w:multiLevelType w:val="hybridMultilevel"/>
    <w:tmpl w:val="F2E4AB10"/>
    <w:lvl w:ilvl="0" w:tplc="109EC1E2">
      <w:start w:val="1"/>
      <w:numFmt w:val="decimal"/>
      <w:lvlText w:val="%1."/>
      <w:lvlJc w:val="left"/>
      <w:pPr>
        <w:ind w:left="11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72C125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A8C893C">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B847F0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A32810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C74112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0A419A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A2F0D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5524F7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6" w15:restartNumberingAfterBreak="0">
    <w:nsid w:val="761F4DB2"/>
    <w:multiLevelType w:val="hybridMultilevel"/>
    <w:tmpl w:val="F1CE02C0"/>
    <w:lvl w:ilvl="0" w:tplc="ECF4F31E">
      <w:start w:val="2"/>
      <w:numFmt w:val="decimal"/>
      <w:lvlText w:val="%1."/>
      <w:lvlJc w:val="left"/>
      <w:pPr>
        <w:ind w:left="18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372C6D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C2190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034F00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B561D7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68D6E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E6E34D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CAA094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9219E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7" w15:restartNumberingAfterBreak="0">
    <w:nsid w:val="767F3892"/>
    <w:multiLevelType w:val="hybridMultilevel"/>
    <w:tmpl w:val="CB44A552"/>
    <w:lvl w:ilvl="0" w:tplc="AE34B690">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26C485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972214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BA042B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522637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AC8D47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EED1F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AF4954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9CBBE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8" w15:restartNumberingAfterBreak="0">
    <w:nsid w:val="76D34C49"/>
    <w:multiLevelType w:val="hybridMultilevel"/>
    <w:tmpl w:val="BEC069BC"/>
    <w:lvl w:ilvl="0" w:tplc="BD9EFC6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356E068">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32E3A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17CF32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50C90B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832080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C641FC6">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C4AC92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234D3D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9" w15:restartNumberingAfterBreak="0">
    <w:nsid w:val="775B3957"/>
    <w:multiLevelType w:val="hybridMultilevel"/>
    <w:tmpl w:val="0A0A90FE"/>
    <w:lvl w:ilvl="0" w:tplc="0D5831A0">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14E3F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92AE75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D2A033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161EB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38641B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A7C3F3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34BA0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03A24E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0" w15:restartNumberingAfterBreak="0">
    <w:nsid w:val="777C1EA4"/>
    <w:multiLevelType w:val="hybridMultilevel"/>
    <w:tmpl w:val="6074B0DA"/>
    <w:lvl w:ilvl="0" w:tplc="2C02AF8E">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14EF0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13EBC1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B7AE19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4908B06">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206D43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BEAD2BC">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6E6937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9AC295A">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1" w15:restartNumberingAfterBreak="0">
    <w:nsid w:val="786B73BD"/>
    <w:multiLevelType w:val="hybridMultilevel"/>
    <w:tmpl w:val="E0F0D470"/>
    <w:lvl w:ilvl="0" w:tplc="4E72EFE6">
      <w:start w:val="1"/>
      <w:numFmt w:val="decimal"/>
      <w:lvlText w:val="%1."/>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864DAE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69855E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52226D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3F811F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E1A662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C3A837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C8E15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3BC5EC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2" w15:restartNumberingAfterBreak="0">
    <w:nsid w:val="79225023"/>
    <w:multiLevelType w:val="hybridMultilevel"/>
    <w:tmpl w:val="2938C182"/>
    <w:lvl w:ilvl="0" w:tplc="1426377A">
      <w:start w:val="1"/>
      <w:numFmt w:val="decimal"/>
      <w:lvlText w:val="%1."/>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6C2F6D0">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C3EA2F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C6E9476">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3D68262">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A1610CC">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2102DD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0B46E48">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53690B6">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3" w15:restartNumberingAfterBreak="0">
    <w:nsid w:val="792C576C"/>
    <w:multiLevelType w:val="hybridMultilevel"/>
    <w:tmpl w:val="046AA0C2"/>
    <w:lvl w:ilvl="0" w:tplc="D33ADAA2">
      <w:start w:val="1"/>
      <w:numFmt w:val="bullet"/>
      <w:lvlText w:val="-"/>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F1CC15E">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EE39B0">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D78ADD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104D7C8">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E0EEBBE">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5FEAECE">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BEA0950">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19A580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4" w15:restartNumberingAfterBreak="0">
    <w:nsid w:val="792D18F6"/>
    <w:multiLevelType w:val="hybridMultilevel"/>
    <w:tmpl w:val="89C00F0E"/>
    <w:lvl w:ilvl="0" w:tplc="00CCF77C">
      <w:start w:val="2"/>
      <w:numFmt w:val="decimal"/>
      <w:lvlText w:val="%1."/>
      <w:lvlJc w:val="left"/>
      <w:pPr>
        <w:ind w:left="4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20ABD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3FA085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DECA9B0">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ED29AA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4FAAE0E">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D80B68A">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F80EE2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3E9BF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5" w15:restartNumberingAfterBreak="0">
    <w:nsid w:val="7A0557D7"/>
    <w:multiLevelType w:val="hybridMultilevel"/>
    <w:tmpl w:val="175469AC"/>
    <w:lvl w:ilvl="0" w:tplc="57EC5348">
      <w:start w:val="1"/>
      <w:numFmt w:val="bullet"/>
      <w:lvlText w:val="•"/>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3A05740">
      <w:start w:val="1"/>
      <w:numFmt w:val="bullet"/>
      <w:lvlText w:val="o"/>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C9E99A8">
      <w:start w:val="1"/>
      <w:numFmt w:val="bullet"/>
      <w:lvlText w:val="▪"/>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92E179A">
      <w:start w:val="1"/>
      <w:numFmt w:val="bullet"/>
      <w:lvlText w:val="•"/>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3FCB80A">
      <w:start w:val="1"/>
      <w:numFmt w:val="bullet"/>
      <w:lvlText w:val="o"/>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2CB1C0">
      <w:start w:val="1"/>
      <w:numFmt w:val="bullet"/>
      <w:lvlText w:val="▪"/>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E78FFC2">
      <w:start w:val="1"/>
      <w:numFmt w:val="bullet"/>
      <w:lvlText w:val="•"/>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383BAC">
      <w:start w:val="1"/>
      <w:numFmt w:val="bullet"/>
      <w:lvlText w:val="o"/>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8562BAE">
      <w:start w:val="1"/>
      <w:numFmt w:val="bullet"/>
      <w:lvlText w:val="▪"/>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6" w15:restartNumberingAfterBreak="0">
    <w:nsid w:val="7B4857DB"/>
    <w:multiLevelType w:val="hybridMultilevel"/>
    <w:tmpl w:val="730E42B6"/>
    <w:lvl w:ilvl="0" w:tplc="A58ECCB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7C9ED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7E204C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E1CF81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E3A635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4E2B6F4">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8FC81A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2EFD2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2F2046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7" w15:restartNumberingAfterBreak="0">
    <w:nsid w:val="7BB176ED"/>
    <w:multiLevelType w:val="hybridMultilevel"/>
    <w:tmpl w:val="70888AA0"/>
    <w:lvl w:ilvl="0" w:tplc="9682A650">
      <w:start w:val="1"/>
      <w:numFmt w:val="decimal"/>
      <w:lvlText w:val="%1."/>
      <w:lvlJc w:val="left"/>
      <w:pPr>
        <w:ind w:left="10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34CE134">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9ECA532">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12C215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42E1D7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E62BE40">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384B76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692228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100B30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8" w15:restartNumberingAfterBreak="0">
    <w:nsid w:val="7C1A41A8"/>
    <w:multiLevelType w:val="hybridMultilevel"/>
    <w:tmpl w:val="2E88801E"/>
    <w:lvl w:ilvl="0" w:tplc="8A58C6F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4D4CCF6">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5405DE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3A6AA94">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561BC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1D83452">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A16AF9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A260B9C">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7C0B97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9" w15:restartNumberingAfterBreak="0">
    <w:nsid w:val="7C290550"/>
    <w:multiLevelType w:val="hybridMultilevel"/>
    <w:tmpl w:val="1F6E1474"/>
    <w:lvl w:ilvl="0" w:tplc="0BE21C2C">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FE04B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0A8241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EE2909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C2E253C">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E7AAE6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262B2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F60E050">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208C4D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0" w15:restartNumberingAfterBreak="0">
    <w:nsid w:val="7CEE0C88"/>
    <w:multiLevelType w:val="hybridMultilevel"/>
    <w:tmpl w:val="BEC8A6E6"/>
    <w:lvl w:ilvl="0" w:tplc="54247BAC">
      <w:start w:val="1"/>
      <w:numFmt w:val="decimal"/>
      <w:lvlText w:val="%1."/>
      <w:lvlJc w:val="left"/>
      <w:pPr>
        <w:ind w:left="12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7B250BC">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7C66E4A">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6E27D98">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E88B668">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6EC204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A3E402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29291E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8EEBA2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1" w15:restartNumberingAfterBreak="0">
    <w:nsid w:val="7D6A16AD"/>
    <w:multiLevelType w:val="hybridMultilevel"/>
    <w:tmpl w:val="1A22EEE8"/>
    <w:lvl w:ilvl="0" w:tplc="D9342B46">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D427F5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71E2858">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C1CDFDE">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5A9434">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FD8E88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FCEE08">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CB862CE">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2827608">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2" w15:restartNumberingAfterBreak="0">
    <w:nsid w:val="7DBE3DDA"/>
    <w:multiLevelType w:val="hybridMultilevel"/>
    <w:tmpl w:val="2392E196"/>
    <w:lvl w:ilvl="0" w:tplc="DAE4F4E0">
      <w:start w:val="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71058DA">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612AB86">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D1C804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5ACF000">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A1C32AA">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A80B3A4">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7BCA964">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FE0830">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3" w15:restartNumberingAfterBreak="0">
    <w:nsid w:val="7E013DCF"/>
    <w:multiLevelType w:val="hybridMultilevel"/>
    <w:tmpl w:val="FBACA92C"/>
    <w:lvl w:ilvl="0" w:tplc="A1747F2E">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B5E8892">
      <w:start w:val="1"/>
      <w:numFmt w:val="lowerLetter"/>
      <w:lvlText w:val="%2"/>
      <w:lvlJc w:val="left"/>
      <w:pPr>
        <w:ind w:left="16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10AD560">
      <w:start w:val="1"/>
      <w:numFmt w:val="lowerRoman"/>
      <w:lvlText w:val="%3"/>
      <w:lvlJc w:val="left"/>
      <w:pPr>
        <w:ind w:left="23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8DECB88">
      <w:start w:val="1"/>
      <w:numFmt w:val="decimal"/>
      <w:lvlText w:val="%4"/>
      <w:lvlJc w:val="left"/>
      <w:pPr>
        <w:ind w:left="30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A7CE59C">
      <w:start w:val="1"/>
      <w:numFmt w:val="lowerLetter"/>
      <w:lvlText w:val="%5"/>
      <w:lvlJc w:val="left"/>
      <w:pPr>
        <w:ind w:left="3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FEE74DC">
      <w:start w:val="1"/>
      <w:numFmt w:val="lowerRoman"/>
      <w:lvlText w:val="%6"/>
      <w:lvlJc w:val="left"/>
      <w:pPr>
        <w:ind w:left="45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2057CE">
      <w:start w:val="1"/>
      <w:numFmt w:val="decimal"/>
      <w:lvlText w:val="%7"/>
      <w:lvlJc w:val="left"/>
      <w:pPr>
        <w:ind w:left="52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7705A7E">
      <w:start w:val="1"/>
      <w:numFmt w:val="lowerLetter"/>
      <w:lvlText w:val="%8"/>
      <w:lvlJc w:val="left"/>
      <w:pPr>
        <w:ind w:left="59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ED4E9D0">
      <w:start w:val="1"/>
      <w:numFmt w:val="lowerRoman"/>
      <w:lvlText w:val="%9"/>
      <w:lvlJc w:val="left"/>
      <w:pPr>
        <w:ind w:left="66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4" w15:restartNumberingAfterBreak="0">
    <w:nsid w:val="7E7060C6"/>
    <w:multiLevelType w:val="hybridMultilevel"/>
    <w:tmpl w:val="8DECFCE0"/>
    <w:lvl w:ilvl="0" w:tplc="B7DAC2AE">
      <w:start w:val="11"/>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DE4418E">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3DA34B0">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A7CC05C">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DE8650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044938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C50185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06C3E36">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4434AC">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5" w15:restartNumberingAfterBreak="0">
    <w:nsid w:val="7EE0361F"/>
    <w:multiLevelType w:val="hybridMultilevel"/>
    <w:tmpl w:val="F0488C7C"/>
    <w:lvl w:ilvl="0" w:tplc="F466B304">
      <w:start w:val="1"/>
      <w:numFmt w:val="decimal"/>
      <w:lvlText w:val="%1."/>
      <w:lvlJc w:val="left"/>
      <w:pPr>
        <w:ind w:left="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54AE4A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6A5B2E">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574B96A">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AFCCC2E">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E6E9F96">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89CA84E">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B3A9BAA">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484CB82">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6" w15:restartNumberingAfterBreak="0">
    <w:nsid w:val="7EEE4B07"/>
    <w:multiLevelType w:val="hybridMultilevel"/>
    <w:tmpl w:val="0C7E8774"/>
    <w:lvl w:ilvl="0" w:tplc="D79615B4">
      <w:start w:val="1"/>
      <w:numFmt w:val="bullet"/>
      <w:lvlText w:val="•"/>
      <w:lvlJc w:val="left"/>
      <w:pPr>
        <w:ind w:left="170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C1CCC62">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3B02076">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CDD04212">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3782FD3C">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DE2E764">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74A0C28E">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3E7A5240">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D062D2DE">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87" w15:restartNumberingAfterBreak="0">
    <w:nsid w:val="7F5D5906"/>
    <w:multiLevelType w:val="hybridMultilevel"/>
    <w:tmpl w:val="1AFEFD32"/>
    <w:lvl w:ilvl="0" w:tplc="F8020684">
      <w:start w:val="4"/>
      <w:numFmt w:val="decimal"/>
      <w:lvlText w:val="%1."/>
      <w:lvlJc w:val="left"/>
      <w:pPr>
        <w:ind w:left="1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92850B2">
      <w:start w:val="1"/>
      <w:numFmt w:val="lowerLetter"/>
      <w:lvlText w:val="%2"/>
      <w:lvlJc w:val="left"/>
      <w:pPr>
        <w:ind w:left="16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F0E364">
      <w:start w:val="1"/>
      <w:numFmt w:val="lowerRoman"/>
      <w:lvlText w:val="%3"/>
      <w:lvlJc w:val="left"/>
      <w:pPr>
        <w:ind w:left="23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AC69B92">
      <w:start w:val="1"/>
      <w:numFmt w:val="decimal"/>
      <w:lvlText w:val="%4"/>
      <w:lvlJc w:val="left"/>
      <w:pPr>
        <w:ind w:left="30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71EE23A">
      <w:start w:val="1"/>
      <w:numFmt w:val="lowerLetter"/>
      <w:lvlText w:val="%5"/>
      <w:lvlJc w:val="left"/>
      <w:pPr>
        <w:ind w:left="38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DB62EE8">
      <w:start w:val="1"/>
      <w:numFmt w:val="lowerRoman"/>
      <w:lvlText w:val="%6"/>
      <w:lvlJc w:val="left"/>
      <w:pPr>
        <w:ind w:left="45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90E7A72">
      <w:start w:val="1"/>
      <w:numFmt w:val="decimal"/>
      <w:lvlText w:val="%7"/>
      <w:lvlJc w:val="left"/>
      <w:pPr>
        <w:ind w:left="52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E88BDB2">
      <w:start w:val="1"/>
      <w:numFmt w:val="lowerLetter"/>
      <w:lvlText w:val="%8"/>
      <w:lvlJc w:val="left"/>
      <w:pPr>
        <w:ind w:left="59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B5CBB0E">
      <w:start w:val="1"/>
      <w:numFmt w:val="lowerRoman"/>
      <w:lvlText w:val="%9"/>
      <w:lvlJc w:val="left"/>
      <w:pPr>
        <w:ind w:left="66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8" w15:restartNumberingAfterBreak="0">
    <w:nsid w:val="7F8E4688"/>
    <w:multiLevelType w:val="hybridMultilevel"/>
    <w:tmpl w:val="44DC12B6"/>
    <w:lvl w:ilvl="0" w:tplc="3E466590">
      <w:start w:val="1"/>
      <w:numFmt w:val="bullet"/>
      <w:lvlText w:val="•"/>
      <w:lvlJc w:val="left"/>
      <w:pPr>
        <w:ind w:left="99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36E710C">
      <w:start w:val="1"/>
      <w:numFmt w:val="bullet"/>
      <w:lvlText w:val="o"/>
      <w:lvlJc w:val="left"/>
      <w:pPr>
        <w:ind w:left="164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3CDE6524">
      <w:start w:val="1"/>
      <w:numFmt w:val="bullet"/>
      <w:lvlText w:val="▪"/>
      <w:lvlJc w:val="left"/>
      <w:pPr>
        <w:ind w:left="23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E44C44E">
      <w:start w:val="1"/>
      <w:numFmt w:val="bullet"/>
      <w:lvlText w:val="•"/>
      <w:lvlJc w:val="left"/>
      <w:pPr>
        <w:ind w:left="308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8ECE151E">
      <w:start w:val="1"/>
      <w:numFmt w:val="bullet"/>
      <w:lvlText w:val="o"/>
      <w:lvlJc w:val="left"/>
      <w:pPr>
        <w:ind w:left="380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48E5BF8">
      <w:start w:val="1"/>
      <w:numFmt w:val="bullet"/>
      <w:lvlText w:val="▪"/>
      <w:lvlJc w:val="left"/>
      <w:pPr>
        <w:ind w:left="452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D39A617C">
      <w:start w:val="1"/>
      <w:numFmt w:val="bullet"/>
      <w:lvlText w:val="•"/>
      <w:lvlJc w:val="left"/>
      <w:pPr>
        <w:ind w:left="524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358A5A54">
      <w:start w:val="1"/>
      <w:numFmt w:val="bullet"/>
      <w:lvlText w:val="o"/>
      <w:lvlJc w:val="left"/>
      <w:pPr>
        <w:ind w:left="596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D5BC1CB0">
      <w:start w:val="1"/>
      <w:numFmt w:val="bullet"/>
      <w:lvlText w:val="▪"/>
      <w:lvlJc w:val="left"/>
      <w:pPr>
        <w:ind w:left="668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num w:numId="1">
    <w:abstractNumId w:val="214"/>
  </w:num>
  <w:num w:numId="2">
    <w:abstractNumId w:val="4"/>
  </w:num>
  <w:num w:numId="3">
    <w:abstractNumId w:val="89"/>
  </w:num>
  <w:num w:numId="4">
    <w:abstractNumId w:val="112"/>
  </w:num>
  <w:num w:numId="5">
    <w:abstractNumId w:val="159"/>
  </w:num>
  <w:num w:numId="6">
    <w:abstractNumId w:val="34"/>
  </w:num>
  <w:num w:numId="7">
    <w:abstractNumId w:val="142"/>
  </w:num>
  <w:num w:numId="8">
    <w:abstractNumId w:val="79"/>
  </w:num>
  <w:num w:numId="9">
    <w:abstractNumId w:val="277"/>
  </w:num>
  <w:num w:numId="10">
    <w:abstractNumId w:val="265"/>
  </w:num>
  <w:num w:numId="11">
    <w:abstractNumId w:val="25"/>
  </w:num>
  <w:num w:numId="12">
    <w:abstractNumId w:val="247"/>
  </w:num>
  <w:num w:numId="13">
    <w:abstractNumId w:val="233"/>
  </w:num>
  <w:num w:numId="14">
    <w:abstractNumId w:val="126"/>
  </w:num>
  <w:num w:numId="15">
    <w:abstractNumId w:val="56"/>
  </w:num>
  <w:num w:numId="16">
    <w:abstractNumId w:val="145"/>
  </w:num>
  <w:num w:numId="17">
    <w:abstractNumId w:val="54"/>
  </w:num>
  <w:num w:numId="18">
    <w:abstractNumId w:val="238"/>
  </w:num>
  <w:num w:numId="19">
    <w:abstractNumId w:val="26"/>
  </w:num>
  <w:num w:numId="20">
    <w:abstractNumId w:val="229"/>
  </w:num>
  <w:num w:numId="21">
    <w:abstractNumId w:val="63"/>
  </w:num>
  <w:num w:numId="22">
    <w:abstractNumId w:val="99"/>
  </w:num>
  <w:num w:numId="23">
    <w:abstractNumId w:val="130"/>
  </w:num>
  <w:num w:numId="24">
    <w:abstractNumId w:val="103"/>
  </w:num>
  <w:num w:numId="25">
    <w:abstractNumId w:val="24"/>
  </w:num>
  <w:num w:numId="26">
    <w:abstractNumId w:val="255"/>
  </w:num>
  <w:num w:numId="27">
    <w:abstractNumId w:val="14"/>
  </w:num>
  <w:num w:numId="28">
    <w:abstractNumId w:val="267"/>
  </w:num>
  <w:num w:numId="29">
    <w:abstractNumId w:val="120"/>
  </w:num>
  <w:num w:numId="30">
    <w:abstractNumId w:val="241"/>
  </w:num>
  <w:num w:numId="31">
    <w:abstractNumId w:val="239"/>
  </w:num>
  <w:num w:numId="32">
    <w:abstractNumId w:val="281"/>
  </w:num>
  <w:num w:numId="33">
    <w:abstractNumId w:val="134"/>
  </w:num>
  <w:num w:numId="34">
    <w:abstractNumId w:val="174"/>
  </w:num>
  <w:num w:numId="35">
    <w:abstractNumId w:val="227"/>
  </w:num>
  <w:num w:numId="36">
    <w:abstractNumId w:val="185"/>
  </w:num>
  <w:num w:numId="37">
    <w:abstractNumId w:val="173"/>
  </w:num>
  <w:num w:numId="38">
    <w:abstractNumId w:val="68"/>
  </w:num>
  <w:num w:numId="39">
    <w:abstractNumId w:val="83"/>
  </w:num>
  <w:num w:numId="40">
    <w:abstractNumId w:val="128"/>
  </w:num>
  <w:num w:numId="41">
    <w:abstractNumId w:val="270"/>
  </w:num>
  <w:num w:numId="42">
    <w:abstractNumId w:val="271"/>
  </w:num>
  <w:num w:numId="43">
    <w:abstractNumId w:val="47"/>
  </w:num>
  <w:num w:numId="44">
    <w:abstractNumId w:val="116"/>
  </w:num>
  <w:num w:numId="45">
    <w:abstractNumId w:val="198"/>
  </w:num>
  <w:num w:numId="46">
    <w:abstractNumId w:val="41"/>
  </w:num>
  <w:num w:numId="47">
    <w:abstractNumId w:val="2"/>
  </w:num>
  <w:num w:numId="48">
    <w:abstractNumId w:val="127"/>
  </w:num>
  <w:num w:numId="49">
    <w:abstractNumId w:val="158"/>
  </w:num>
  <w:num w:numId="50">
    <w:abstractNumId w:val="15"/>
  </w:num>
  <w:num w:numId="51">
    <w:abstractNumId w:val="18"/>
  </w:num>
  <w:num w:numId="52">
    <w:abstractNumId w:val="282"/>
  </w:num>
  <w:num w:numId="53">
    <w:abstractNumId w:val="115"/>
  </w:num>
  <w:num w:numId="54">
    <w:abstractNumId w:val="186"/>
  </w:num>
  <w:num w:numId="55">
    <w:abstractNumId w:val="166"/>
  </w:num>
  <w:num w:numId="56">
    <w:abstractNumId w:val="257"/>
  </w:num>
  <w:num w:numId="57">
    <w:abstractNumId w:val="245"/>
  </w:num>
  <w:num w:numId="58">
    <w:abstractNumId w:val="33"/>
  </w:num>
  <w:num w:numId="59">
    <w:abstractNumId w:val="168"/>
  </w:num>
  <w:num w:numId="60">
    <w:abstractNumId w:val="260"/>
  </w:num>
  <w:num w:numId="61">
    <w:abstractNumId w:val="117"/>
  </w:num>
  <w:num w:numId="62">
    <w:abstractNumId w:val="102"/>
  </w:num>
  <w:num w:numId="63">
    <w:abstractNumId w:val="67"/>
  </w:num>
  <w:num w:numId="64">
    <w:abstractNumId w:val="161"/>
  </w:num>
  <w:num w:numId="65">
    <w:abstractNumId w:val="217"/>
  </w:num>
  <w:num w:numId="66">
    <w:abstractNumId w:val="5"/>
  </w:num>
  <w:num w:numId="67">
    <w:abstractNumId w:val="219"/>
  </w:num>
  <w:num w:numId="68">
    <w:abstractNumId w:val="104"/>
  </w:num>
  <w:num w:numId="69">
    <w:abstractNumId w:val="192"/>
  </w:num>
  <w:num w:numId="70">
    <w:abstractNumId w:val="69"/>
  </w:num>
  <w:num w:numId="71">
    <w:abstractNumId w:val="44"/>
  </w:num>
  <w:num w:numId="72">
    <w:abstractNumId w:val="91"/>
  </w:num>
  <w:num w:numId="73">
    <w:abstractNumId w:val="197"/>
  </w:num>
  <w:num w:numId="74">
    <w:abstractNumId w:val="75"/>
  </w:num>
  <w:num w:numId="75">
    <w:abstractNumId w:val="50"/>
  </w:num>
  <w:num w:numId="76">
    <w:abstractNumId w:val="275"/>
  </w:num>
  <w:num w:numId="77">
    <w:abstractNumId w:val="19"/>
  </w:num>
  <w:num w:numId="78">
    <w:abstractNumId w:val="80"/>
  </w:num>
  <w:num w:numId="79">
    <w:abstractNumId w:val="284"/>
  </w:num>
  <w:num w:numId="80">
    <w:abstractNumId w:val="12"/>
  </w:num>
  <w:num w:numId="81">
    <w:abstractNumId w:val="73"/>
  </w:num>
  <w:num w:numId="82">
    <w:abstractNumId w:val="100"/>
  </w:num>
  <w:num w:numId="83">
    <w:abstractNumId w:val="287"/>
  </w:num>
  <w:num w:numId="84">
    <w:abstractNumId w:val="176"/>
  </w:num>
  <w:num w:numId="85">
    <w:abstractNumId w:val="230"/>
  </w:num>
  <w:num w:numId="86">
    <w:abstractNumId w:val="160"/>
  </w:num>
  <w:num w:numId="87">
    <w:abstractNumId w:val="118"/>
  </w:num>
  <w:num w:numId="88">
    <w:abstractNumId w:val="246"/>
  </w:num>
  <w:num w:numId="89">
    <w:abstractNumId w:val="261"/>
  </w:num>
  <w:num w:numId="90">
    <w:abstractNumId w:val="183"/>
  </w:num>
  <w:num w:numId="91">
    <w:abstractNumId w:val="36"/>
  </w:num>
  <w:num w:numId="92">
    <w:abstractNumId w:val="154"/>
  </w:num>
  <w:num w:numId="93">
    <w:abstractNumId w:val="153"/>
  </w:num>
  <w:num w:numId="94">
    <w:abstractNumId w:val="243"/>
  </w:num>
  <w:num w:numId="95">
    <w:abstractNumId w:val="49"/>
  </w:num>
  <w:num w:numId="96">
    <w:abstractNumId w:val="250"/>
  </w:num>
  <w:num w:numId="97">
    <w:abstractNumId w:val="37"/>
  </w:num>
  <w:num w:numId="98">
    <w:abstractNumId w:val="76"/>
  </w:num>
  <w:num w:numId="99">
    <w:abstractNumId w:val="30"/>
  </w:num>
  <w:num w:numId="100">
    <w:abstractNumId w:val="232"/>
  </w:num>
  <w:num w:numId="101">
    <w:abstractNumId w:val="58"/>
  </w:num>
  <w:num w:numId="102">
    <w:abstractNumId w:val="226"/>
  </w:num>
  <w:num w:numId="103">
    <w:abstractNumId w:val="179"/>
  </w:num>
  <w:num w:numId="104">
    <w:abstractNumId w:val="101"/>
  </w:num>
  <w:num w:numId="105">
    <w:abstractNumId w:val="94"/>
  </w:num>
  <w:num w:numId="106">
    <w:abstractNumId w:val="276"/>
  </w:num>
  <w:num w:numId="107">
    <w:abstractNumId w:val="32"/>
  </w:num>
  <w:num w:numId="108">
    <w:abstractNumId w:val="121"/>
  </w:num>
  <w:num w:numId="109">
    <w:abstractNumId w:val="124"/>
  </w:num>
  <w:num w:numId="110">
    <w:abstractNumId w:val="97"/>
  </w:num>
  <w:num w:numId="111">
    <w:abstractNumId w:val="138"/>
  </w:num>
  <w:num w:numId="112">
    <w:abstractNumId w:val="274"/>
  </w:num>
  <w:num w:numId="113">
    <w:abstractNumId w:val="199"/>
  </w:num>
  <w:num w:numId="114">
    <w:abstractNumId w:val="236"/>
  </w:num>
  <w:num w:numId="115">
    <w:abstractNumId w:val="182"/>
  </w:num>
  <w:num w:numId="116">
    <w:abstractNumId w:val="66"/>
  </w:num>
  <w:num w:numId="117">
    <w:abstractNumId w:val="55"/>
  </w:num>
  <w:num w:numId="118">
    <w:abstractNumId w:val="29"/>
  </w:num>
  <w:num w:numId="119">
    <w:abstractNumId w:val="93"/>
  </w:num>
  <w:num w:numId="120">
    <w:abstractNumId w:val="98"/>
  </w:num>
  <w:num w:numId="121">
    <w:abstractNumId w:val="22"/>
  </w:num>
  <w:num w:numId="122">
    <w:abstractNumId w:val="8"/>
  </w:num>
  <w:num w:numId="123">
    <w:abstractNumId w:val="51"/>
  </w:num>
  <w:num w:numId="124">
    <w:abstractNumId w:val="21"/>
  </w:num>
  <w:num w:numId="125">
    <w:abstractNumId w:val="35"/>
  </w:num>
  <w:num w:numId="126">
    <w:abstractNumId w:val="144"/>
  </w:num>
  <w:num w:numId="127">
    <w:abstractNumId w:val="220"/>
  </w:num>
  <w:num w:numId="128">
    <w:abstractNumId w:val="180"/>
  </w:num>
  <w:num w:numId="129">
    <w:abstractNumId w:val="210"/>
  </w:num>
  <w:num w:numId="130">
    <w:abstractNumId w:val="240"/>
  </w:num>
  <w:num w:numId="131">
    <w:abstractNumId w:val="208"/>
  </w:num>
  <w:num w:numId="132">
    <w:abstractNumId w:val="114"/>
  </w:num>
  <w:num w:numId="133">
    <w:abstractNumId w:val="163"/>
  </w:num>
  <w:num w:numId="134">
    <w:abstractNumId w:val="7"/>
  </w:num>
  <w:num w:numId="135">
    <w:abstractNumId w:val="215"/>
  </w:num>
  <w:num w:numId="136">
    <w:abstractNumId w:val="10"/>
  </w:num>
  <w:num w:numId="137">
    <w:abstractNumId w:val="46"/>
  </w:num>
  <w:num w:numId="138">
    <w:abstractNumId w:val="169"/>
  </w:num>
  <w:num w:numId="139">
    <w:abstractNumId w:val="190"/>
  </w:num>
  <w:num w:numId="140">
    <w:abstractNumId w:val="204"/>
  </w:num>
  <w:num w:numId="141">
    <w:abstractNumId w:val="146"/>
  </w:num>
  <w:num w:numId="142">
    <w:abstractNumId w:val="0"/>
  </w:num>
  <w:num w:numId="143">
    <w:abstractNumId w:val="147"/>
  </w:num>
  <w:num w:numId="144">
    <w:abstractNumId w:val="234"/>
  </w:num>
  <w:num w:numId="145">
    <w:abstractNumId w:val="123"/>
  </w:num>
  <w:num w:numId="146">
    <w:abstractNumId w:val="191"/>
  </w:num>
  <w:num w:numId="147">
    <w:abstractNumId w:val="251"/>
  </w:num>
  <w:num w:numId="148">
    <w:abstractNumId w:val="211"/>
  </w:num>
  <w:num w:numId="149">
    <w:abstractNumId w:val="149"/>
  </w:num>
  <w:num w:numId="150">
    <w:abstractNumId w:val="62"/>
  </w:num>
  <w:num w:numId="151">
    <w:abstractNumId w:val="262"/>
  </w:num>
  <w:num w:numId="152">
    <w:abstractNumId w:val="64"/>
  </w:num>
  <w:num w:numId="153">
    <w:abstractNumId w:val="65"/>
  </w:num>
  <w:num w:numId="154">
    <w:abstractNumId w:val="131"/>
  </w:num>
  <w:num w:numId="155">
    <w:abstractNumId w:val="288"/>
  </w:num>
  <w:num w:numId="156">
    <w:abstractNumId w:val="263"/>
  </w:num>
  <w:num w:numId="157">
    <w:abstractNumId w:val="86"/>
  </w:num>
  <w:num w:numId="158">
    <w:abstractNumId w:val="285"/>
  </w:num>
  <w:num w:numId="159">
    <w:abstractNumId w:val="279"/>
  </w:num>
  <w:num w:numId="160">
    <w:abstractNumId w:val="45"/>
  </w:num>
  <w:num w:numId="161">
    <w:abstractNumId w:val="40"/>
  </w:num>
  <w:num w:numId="162">
    <w:abstractNumId w:val="151"/>
  </w:num>
  <w:num w:numId="163">
    <w:abstractNumId w:val="42"/>
  </w:num>
  <w:num w:numId="164">
    <w:abstractNumId w:val="129"/>
  </w:num>
  <w:num w:numId="165">
    <w:abstractNumId w:val="125"/>
  </w:num>
  <w:num w:numId="166">
    <w:abstractNumId w:val="52"/>
  </w:num>
  <w:num w:numId="167">
    <w:abstractNumId w:val="224"/>
  </w:num>
  <w:num w:numId="168">
    <w:abstractNumId w:val="162"/>
  </w:num>
  <w:num w:numId="169">
    <w:abstractNumId w:val="256"/>
  </w:num>
  <w:num w:numId="170">
    <w:abstractNumId w:val="268"/>
  </w:num>
  <w:num w:numId="171">
    <w:abstractNumId w:val="187"/>
  </w:num>
  <w:num w:numId="172">
    <w:abstractNumId w:val="206"/>
  </w:num>
  <w:num w:numId="173">
    <w:abstractNumId w:val="143"/>
  </w:num>
  <w:num w:numId="174">
    <w:abstractNumId w:val="23"/>
  </w:num>
  <w:num w:numId="175">
    <w:abstractNumId w:val="111"/>
  </w:num>
  <w:num w:numId="176">
    <w:abstractNumId w:val="20"/>
  </w:num>
  <w:num w:numId="177">
    <w:abstractNumId w:val="222"/>
  </w:num>
  <w:num w:numId="178">
    <w:abstractNumId w:val="205"/>
  </w:num>
  <w:num w:numId="179">
    <w:abstractNumId w:val="105"/>
  </w:num>
  <w:num w:numId="180">
    <w:abstractNumId w:val="90"/>
  </w:num>
  <w:num w:numId="181">
    <w:abstractNumId w:val="252"/>
  </w:num>
  <w:num w:numId="182">
    <w:abstractNumId w:val="264"/>
  </w:num>
  <w:num w:numId="183">
    <w:abstractNumId w:val="61"/>
  </w:num>
  <w:num w:numId="184">
    <w:abstractNumId w:val="108"/>
  </w:num>
  <w:num w:numId="185">
    <w:abstractNumId w:val="107"/>
  </w:num>
  <w:num w:numId="186">
    <w:abstractNumId w:val="167"/>
  </w:num>
  <w:num w:numId="187">
    <w:abstractNumId w:val="140"/>
  </w:num>
  <w:num w:numId="188">
    <w:abstractNumId w:val="196"/>
  </w:num>
  <w:num w:numId="189">
    <w:abstractNumId w:val="136"/>
  </w:num>
  <w:num w:numId="190">
    <w:abstractNumId w:val="6"/>
  </w:num>
  <w:num w:numId="191">
    <w:abstractNumId w:val="269"/>
  </w:num>
  <w:num w:numId="192">
    <w:abstractNumId w:val="283"/>
  </w:num>
  <w:num w:numId="193">
    <w:abstractNumId w:val="133"/>
  </w:num>
  <w:num w:numId="194">
    <w:abstractNumId w:val="207"/>
  </w:num>
  <w:num w:numId="195">
    <w:abstractNumId w:val="39"/>
  </w:num>
  <w:num w:numId="196">
    <w:abstractNumId w:val="13"/>
  </w:num>
  <w:num w:numId="197">
    <w:abstractNumId w:val="178"/>
  </w:num>
  <w:num w:numId="198">
    <w:abstractNumId w:val="106"/>
  </w:num>
  <w:num w:numId="199">
    <w:abstractNumId w:val="84"/>
  </w:num>
  <w:num w:numId="200">
    <w:abstractNumId w:val="135"/>
  </w:num>
  <w:num w:numId="201">
    <w:abstractNumId w:val="57"/>
  </w:num>
  <w:num w:numId="202">
    <w:abstractNumId w:val="11"/>
  </w:num>
  <w:num w:numId="203">
    <w:abstractNumId w:val="53"/>
  </w:num>
  <w:num w:numId="204">
    <w:abstractNumId w:val="96"/>
  </w:num>
  <w:num w:numId="205">
    <w:abstractNumId w:val="244"/>
  </w:num>
  <w:num w:numId="206">
    <w:abstractNumId w:val="28"/>
  </w:num>
  <w:num w:numId="207">
    <w:abstractNumId w:val="203"/>
  </w:num>
  <w:num w:numId="208">
    <w:abstractNumId w:val="152"/>
  </w:num>
  <w:num w:numId="209">
    <w:abstractNumId w:val="110"/>
  </w:num>
  <w:num w:numId="210">
    <w:abstractNumId w:val="3"/>
  </w:num>
  <w:num w:numId="211">
    <w:abstractNumId w:val="248"/>
  </w:num>
  <w:num w:numId="212">
    <w:abstractNumId w:val="221"/>
  </w:num>
  <w:num w:numId="213">
    <w:abstractNumId w:val="258"/>
  </w:num>
  <w:num w:numId="214">
    <w:abstractNumId w:val="132"/>
  </w:num>
  <w:num w:numId="215">
    <w:abstractNumId w:val="280"/>
  </w:num>
  <w:num w:numId="216">
    <w:abstractNumId w:val="88"/>
  </w:num>
  <w:num w:numId="217">
    <w:abstractNumId w:val="109"/>
  </w:num>
  <w:num w:numId="218">
    <w:abstractNumId w:val="72"/>
  </w:num>
  <w:num w:numId="219">
    <w:abstractNumId w:val="195"/>
  </w:num>
  <w:num w:numId="220">
    <w:abstractNumId w:val="157"/>
  </w:num>
  <w:num w:numId="221">
    <w:abstractNumId w:val="184"/>
  </w:num>
  <w:num w:numId="222">
    <w:abstractNumId w:val="156"/>
  </w:num>
  <w:num w:numId="223">
    <w:abstractNumId w:val="48"/>
  </w:num>
  <w:num w:numId="224">
    <w:abstractNumId w:val="194"/>
  </w:num>
  <w:num w:numId="225">
    <w:abstractNumId w:val="74"/>
  </w:num>
  <w:num w:numId="226">
    <w:abstractNumId w:val="122"/>
  </w:num>
  <w:num w:numId="227">
    <w:abstractNumId w:val="31"/>
  </w:num>
  <w:num w:numId="228">
    <w:abstractNumId w:val="286"/>
  </w:num>
  <w:num w:numId="229">
    <w:abstractNumId w:val="78"/>
  </w:num>
  <w:num w:numId="230">
    <w:abstractNumId w:val="200"/>
  </w:num>
  <w:num w:numId="231">
    <w:abstractNumId w:val="259"/>
  </w:num>
  <w:num w:numId="232">
    <w:abstractNumId w:val="171"/>
  </w:num>
  <w:num w:numId="233">
    <w:abstractNumId w:val="266"/>
  </w:num>
  <w:num w:numId="234">
    <w:abstractNumId w:val="82"/>
  </w:num>
  <w:num w:numId="235">
    <w:abstractNumId w:val="175"/>
  </w:num>
  <w:num w:numId="236">
    <w:abstractNumId w:val="1"/>
  </w:num>
  <w:num w:numId="237">
    <w:abstractNumId w:val="165"/>
  </w:num>
  <w:num w:numId="238">
    <w:abstractNumId w:val="216"/>
  </w:num>
  <w:num w:numId="239">
    <w:abstractNumId w:val="17"/>
  </w:num>
  <w:num w:numId="240">
    <w:abstractNumId w:val="272"/>
  </w:num>
  <w:num w:numId="241">
    <w:abstractNumId w:val="71"/>
  </w:num>
  <w:num w:numId="242">
    <w:abstractNumId w:val="193"/>
  </w:num>
  <w:num w:numId="243">
    <w:abstractNumId w:val="148"/>
  </w:num>
  <w:num w:numId="244">
    <w:abstractNumId w:val="202"/>
  </w:num>
  <w:num w:numId="245">
    <w:abstractNumId w:val="237"/>
  </w:num>
  <w:num w:numId="246">
    <w:abstractNumId w:val="225"/>
  </w:num>
  <w:num w:numId="247">
    <w:abstractNumId w:val="87"/>
  </w:num>
  <w:num w:numId="248">
    <w:abstractNumId w:val="59"/>
  </w:num>
  <w:num w:numId="249">
    <w:abstractNumId w:val="43"/>
  </w:num>
  <w:num w:numId="250">
    <w:abstractNumId w:val="9"/>
  </w:num>
  <w:num w:numId="251">
    <w:abstractNumId w:val="150"/>
  </w:num>
  <w:num w:numId="252">
    <w:abstractNumId w:val="223"/>
  </w:num>
  <w:num w:numId="253">
    <w:abstractNumId w:val="278"/>
  </w:num>
  <w:num w:numId="254">
    <w:abstractNumId w:val="231"/>
  </w:num>
  <w:num w:numId="255">
    <w:abstractNumId w:val="188"/>
  </w:num>
  <w:num w:numId="256">
    <w:abstractNumId w:val="249"/>
  </w:num>
  <w:num w:numId="257">
    <w:abstractNumId w:val="213"/>
  </w:num>
  <w:num w:numId="258">
    <w:abstractNumId w:val="27"/>
  </w:num>
  <w:num w:numId="259">
    <w:abstractNumId w:val="139"/>
  </w:num>
  <w:num w:numId="260">
    <w:abstractNumId w:val="201"/>
  </w:num>
  <w:num w:numId="261">
    <w:abstractNumId w:val="113"/>
  </w:num>
  <w:num w:numId="262">
    <w:abstractNumId w:val="164"/>
  </w:num>
  <w:num w:numId="263">
    <w:abstractNumId w:val="228"/>
  </w:num>
  <w:num w:numId="264">
    <w:abstractNumId w:val="38"/>
  </w:num>
  <w:num w:numId="265">
    <w:abstractNumId w:val="177"/>
  </w:num>
  <w:num w:numId="266">
    <w:abstractNumId w:val="273"/>
  </w:num>
  <w:num w:numId="267">
    <w:abstractNumId w:val="119"/>
  </w:num>
  <w:num w:numId="268">
    <w:abstractNumId w:val="242"/>
  </w:num>
  <w:num w:numId="269">
    <w:abstractNumId w:val="70"/>
  </w:num>
  <w:num w:numId="270">
    <w:abstractNumId w:val="218"/>
  </w:num>
  <w:num w:numId="271">
    <w:abstractNumId w:val="92"/>
  </w:num>
  <w:num w:numId="272">
    <w:abstractNumId w:val="95"/>
  </w:num>
  <w:num w:numId="273">
    <w:abstractNumId w:val="77"/>
  </w:num>
  <w:num w:numId="274">
    <w:abstractNumId w:val="189"/>
  </w:num>
  <w:num w:numId="275">
    <w:abstractNumId w:val="172"/>
  </w:num>
  <w:num w:numId="276">
    <w:abstractNumId w:val="254"/>
  </w:num>
  <w:num w:numId="277">
    <w:abstractNumId w:val="137"/>
  </w:num>
  <w:num w:numId="278">
    <w:abstractNumId w:val="181"/>
  </w:num>
  <w:num w:numId="279">
    <w:abstractNumId w:val="141"/>
  </w:num>
  <w:num w:numId="280">
    <w:abstractNumId w:val="60"/>
  </w:num>
  <w:num w:numId="281">
    <w:abstractNumId w:val="212"/>
  </w:num>
  <w:num w:numId="282">
    <w:abstractNumId w:val="235"/>
  </w:num>
  <w:num w:numId="283">
    <w:abstractNumId w:val="253"/>
  </w:num>
  <w:num w:numId="284">
    <w:abstractNumId w:val="155"/>
  </w:num>
  <w:num w:numId="285">
    <w:abstractNumId w:val="209"/>
  </w:num>
  <w:num w:numId="286">
    <w:abstractNumId w:val="81"/>
  </w:num>
  <w:num w:numId="287">
    <w:abstractNumId w:val="16"/>
  </w:num>
  <w:num w:numId="288">
    <w:abstractNumId w:val="85"/>
  </w:num>
  <w:num w:numId="289">
    <w:abstractNumId w:val="170"/>
  </w:num>
  <w:numIdMacAtCleanup w:val="2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F56"/>
    <w:rsid w:val="00087CE5"/>
    <w:rsid w:val="002C0F56"/>
    <w:rsid w:val="00E67C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D6E231"/>
  <w15:docId w15:val="{C24711CA-399F-4EF4-A7EB-61BCE7463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36" w:line="249" w:lineRule="auto"/>
      <w:ind w:left="14" w:firstLine="557"/>
      <w:jc w:val="both"/>
    </w:pPr>
    <w:rPr>
      <w:rFonts w:ascii="Times New Roman" w:eastAsia="Times New Roman" w:hAnsi="Times New Roman" w:cs="Times New Roman"/>
      <w:color w:val="000000"/>
      <w:sz w:val="28"/>
    </w:rPr>
  </w:style>
  <w:style w:type="paragraph" w:styleId="1">
    <w:name w:val="heading 1"/>
    <w:next w:val="a"/>
    <w:link w:val="10"/>
    <w:uiPriority w:val="9"/>
    <w:unhideWhenUsed/>
    <w:qFormat/>
    <w:pPr>
      <w:keepNext/>
      <w:keepLines/>
      <w:spacing w:after="5" w:line="270" w:lineRule="auto"/>
      <w:ind w:left="10" w:right="46" w:hanging="10"/>
      <w:jc w:val="center"/>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pPr>
      <w:keepNext/>
      <w:keepLines/>
      <w:spacing w:after="15" w:line="271" w:lineRule="auto"/>
      <w:ind w:left="10" w:right="46" w:hanging="10"/>
      <w:outlineLvl w:val="1"/>
    </w:pPr>
    <w:rPr>
      <w:rFonts w:ascii="Times New Roman" w:eastAsia="Times New Roman" w:hAnsi="Times New Roman" w:cs="Times New Roman"/>
      <w:b/>
      <w:color w:val="000000"/>
      <w:sz w:val="28"/>
    </w:rPr>
  </w:style>
  <w:style w:type="paragraph" w:styleId="3">
    <w:name w:val="heading 3"/>
    <w:next w:val="a"/>
    <w:link w:val="30"/>
    <w:uiPriority w:val="9"/>
    <w:unhideWhenUsed/>
    <w:qFormat/>
    <w:pPr>
      <w:keepNext/>
      <w:keepLines/>
      <w:spacing w:after="5" w:line="270" w:lineRule="auto"/>
      <w:ind w:left="10" w:right="46" w:hanging="10"/>
      <w:jc w:val="center"/>
      <w:outlineLvl w:val="2"/>
    </w:pPr>
    <w:rPr>
      <w:rFonts w:ascii="Times New Roman" w:eastAsia="Times New Roman" w:hAnsi="Times New Roman" w:cs="Times New Roman"/>
      <w:b/>
      <w:color w:val="000000"/>
      <w:sz w:val="28"/>
    </w:rPr>
  </w:style>
  <w:style w:type="paragraph" w:styleId="4">
    <w:name w:val="heading 4"/>
    <w:next w:val="a"/>
    <w:link w:val="40"/>
    <w:uiPriority w:val="9"/>
    <w:unhideWhenUsed/>
    <w:qFormat/>
    <w:pPr>
      <w:keepNext/>
      <w:keepLines/>
      <w:spacing w:after="5" w:line="270" w:lineRule="auto"/>
      <w:ind w:left="10" w:right="965" w:hanging="10"/>
      <w:jc w:val="center"/>
      <w:outlineLvl w:val="3"/>
    </w:pPr>
    <w:rPr>
      <w:rFonts w:ascii="Times New Roman" w:eastAsia="Times New Roman" w:hAnsi="Times New Roman" w:cs="Times New Roman"/>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rPr>
      <w:rFonts w:ascii="Times New Roman" w:eastAsia="Times New Roman" w:hAnsi="Times New Roman" w:cs="Times New Roman"/>
      <w:b/>
      <w:color w:val="000000"/>
      <w:sz w:val="24"/>
    </w:rPr>
  </w:style>
  <w:style w:type="character" w:customStyle="1" w:styleId="30">
    <w:name w:val="Заголовок 3 Знак"/>
    <w:link w:val="3"/>
    <w:rPr>
      <w:rFonts w:ascii="Times New Roman" w:eastAsia="Times New Roman" w:hAnsi="Times New Roman" w:cs="Times New Roman"/>
      <w:b/>
      <w:color w:val="000000"/>
      <w:sz w:val="28"/>
    </w:rPr>
  </w:style>
  <w:style w:type="character" w:customStyle="1" w:styleId="10">
    <w:name w:val="Заголовок 1 Знак"/>
    <w:link w:val="1"/>
    <w:rPr>
      <w:rFonts w:ascii="Times New Roman" w:eastAsia="Times New Roman" w:hAnsi="Times New Roman" w:cs="Times New Roman"/>
      <w:b/>
      <w:color w:val="000000"/>
      <w:sz w:val="28"/>
    </w:rPr>
  </w:style>
  <w:style w:type="character" w:customStyle="1" w:styleId="20">
    <w:name w:val="Заголовок 2 Знак"/>
    <w:link w:val="2"/>
    <w:rPr>
      <w:rFonts w:ascii="Times New Roman" w:eastAsia="Times New Roman" w:hAnsi="Times New Roman" w:cs="Times New Roman"/>
      <w:b/>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hyperlink" Target="http://vedkuzbass.ru/" TargetMode="External"/><Relationship Id="rId671" Type="http://schemas.openxmlformats.org/officeDocument/2006/relationships/hyperlink" Target="https://myfin.by/wiki/term/posobie-po-bezrabotice" TargetMode="External"/><Relationship Id="rId769" Type="http://schemas.openxmlformats.org/officeDocument/2006/relationships/hyperlink" Target="https://thenextweb.com/insider/2017/03/14/5-ways-voice-search-will-affect-seo-2017/" TargetMode="External"/><Relationship Id="rId976" Type="http://schemas.openxmlformats.org/officeDocument/2006/relationships/hyperlink" Target="http://www.popmech.ru/science/327552-roboty-pchely-i-neobychnyy-gel-smogut-li-drony-zamenit-nasekomykh/" TargetMode="External"/><Relationship Id="rId1399" Type="http://schemas.openxmlformats.org/officeDocument/2006/relationships/image" Target="media/image91.png"/><Relationship Id="rId324" Type="http://schemas.openxmlformats.org/officeDocument/2006/relationships/hyperlink" Target="https://vk.com/away.php?to=http%3A%2F%2Fwww.nalog.gov.by%2Fru%2Fnalog-nagruzka-economica-ru%2F&amp;cc_key=" TargetMode="External"/><Relationship Id="rId531" Type="http://schemas.openxmlformats.org/officeDocument/2006/relationships/hyperlink" Target="http://zeus.sai.msu.ru:7000/cfin/prcorpsys/index.shtml" TargetMode="External"/><Relationship Id="rId629" Type="http://schemas.openxmlformats.org/officeDocument/2006/relationships/image" Target="media/image45.png"/><Relationship Id="rId1161" Type="http://schemas.openxmlformats.org/officeDocument/2006/relationships/hyperlink" Target="http://efsol.ru/solutions/hrm-automation.html" TargetMode="External"/><Relationship Id="rId1259" Type="http://schemas.openxmlformats.org/officeDocument/2006/relationships/hyperlink" Target="http://www.grandars.ru/college/ekonomika-firmy/oplata-truda.html" TargetMode="External"/><Relationship Id="rId170" Type="http://schemas.openxmlformats.org/officeDocument/2006/relationships/hyperlink" Target="http://www.belstat.gov.by/ofitsialnaya-statistika/solialnaya-sfera/obrazovanie/godovye-dannye_5/osnovnye-pokazateli-obrazovaniya/" TargetMode="External"/><Relationship Id="rId836" Type="http://schemas.openxmlformats.org/officeDocument/2006/relationships/hyperlink" Target="http://vegetarianskij.ru/kak-dobyvayut-mex-dlya-shub-iz-norki-lisicy-i-pesca/" TargetMode="External"/><Relationship Id="rId1021" Type="http://schemas.openxmlformats.org/officeDocument/2006/relationships/image" Target="media/image60.jpg"/><Relationship Id="rId1119" Type="http://schemas.openxmlformats.org/officeDocument/2006/relationships/hyperlink" Target="http://heaclub.ru/pravilnoe-pitanie-dlya-zhenskoj-krasoty-poleznye-produkty-dlya-krasoty-i-zdorovya-kozhi-i-volos" TargetMode="External"/><Relationship Id="rId268" Type="http://schemas.openxmlformats.org/officeDocument/2006/relationships/image" Target="media/image19.jpg"/><Relationship Id="rId475" Type="http://schemas.openxmlformats.org/officeDocument/2006/relationships/hyperlink" Target="http://zarplatyinfo.ru/v_mire/zarplata-v-belarusi-v-dollarax-i-rossijskix-rublyax-srednyaya-v-2015-2016-godu.html.%20&#8211;%20&#1044;&#1072;&#1090;&#1072;%20&#1076;&#1086;&#1089;&#1090;&#1091;&#1087;&#1072;%2014.04.2017" TargetMode="External"/><Relationship Id="rId682"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03" Type="http://schemas.openxmlformats.org/officeDocument/2006/relationships/hyperlink" Target="http://government.ru/" TargetMode="External"/><Relationship Id="rId1326" Type="http://schemas.openxmlformats.org/officeDocument/2006/relationships/hyperlink" Target="http://old.dnr-online.ru/wp-content/uploads/2016/05/PrikazMinTSP_N4_2_04022015.pdf" TargetMode="External"/><Relationship Id="rId32" Type="http://schemas.openxmlformats.org/officeDocument/2006/relationships/footer" Target="footer1.xml"/><Relationship Id="rId128" Type="http://schemas.openxmlformats.org/officeDocument/2006/relationships/hyperlink" Target="http://vedkuzbass.ru/index.php/mezhdunarodnoe-i-mezhregionalnoe-sotrudnichestvo/itogived" TargetMode="External"/><Relationship Id="rId335" Type="http://schemas.openxmlformats.org/officeDocument/2006/relationships/hyperlink" Target="https://vk.com/away.php?to=http%3A%2F%2Fwww.nalog.gov.by%2Fru%2Fkrupnie-platelschiki%2Fview%2Fob-uchastii-krupnyx-platelschikov-v-formirovanii-doxodov-bjudzheta-za-2015-god-21637%2F&amp;cc_key=" TargetMode="External"/><Relationship Id="rId542" Type="http://schemas.openxmlformats.org/officeDocument/2006/relationships/image" Target="media/image44.jpg"/><Relationship Id="rId987" Type="http://schemas.openxmlformats.org/officeDocument/2006/relationships/hyperlink" Target="https://hi-news.ru/eto-interesno/video-roboty-pomogayushhie-uchyonym-nablyudat-za-dikoj-prirodoj.html%20-%20Hi-news.ru" TargetMode="External"/><Relationship Id="rId1172" Type="http://schemas.openxmlformats.org/officeDocument/2006/relationships/hyperlink" Target="http://www.hr-portal.ru/article/trendy-razvitiya-hrm-tehnologiy-2014" TargetMode="External"/><Relationship Id="rId181" Type="http://schemas.openxmlformats.org/officeDocument/2006/relationships/hyperlink" Target="http://www.belstat.gov.by/ofitsialnaya-statistika/solialnaya-sfera/obrazovanie/godovye-dannye_5/osnovnye-pokazateli-obrazovaniya/" TargetMode="External"/><Relationship Id="rId402" Type="http://schemas.openxmlformats.org/officeDocument/2006/relationships/hyperlink" Target="https://myfin.by/wiki/term/indeks-potrebitelskih-cen" TargetMode="External"/><Relationship Id="rId847" Type="http://schemas.openxmlformats.org/officeDocument/2006/relationships/hyperlink" Target="http://vegetarianskij.ru/kak-dobyvayut-mex-dlya-shub-iz-norki-lisicy-i-pesca/" TargetMode="External"/><Relationship Id="rId1032" Type="http://schemas.openxmlformats.org/officeDocument/2006/relationships/hyperlink" Target="http://72.mchs.gov.ru/" TargetMode="External"/><Relationship Id="rId279"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86" Type="http://schemas.openxmlformats.org/officeDocument/2006/relationships/hyperlink" Target="http://zarplatyinfo.ru/v_mire/zarplata-v-belarusi-v-dollarax-i-rossijskix-rublyax-srednyaya-v-2015-2016-godu.html.%20&#8211;%20&#1044;&#1072;&#1090;&#1072;%20&#1076;&#1086;&#1089;&#1090;&#1091;&#1087;&#1072;%2014.04.2017" TargetMode="External"/><Relationship Id="rId693"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07"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4" Type="http://schemas.openxmlformats.org/officeDocument/2006/relationships/hyperlink" Target="http://www.grandars.ru/college/pravovedenie/bankrot.html" TargetMode="External"/><Relationship Id="rId1337" Type="http://schemas.openxmlformats.org/officeDocument/2006/relationships/image" Target="media/image82.jpg"/><Relationship Id="rId43" Type="http://schemas.openxmlformats.org/officeDocument/2006/relationships/hyperlink" Target="https://psibook.com/religion/demograficheskiy-potentsial-respubliki-belarus-osnovnye-tendentsii-razvitiya.html" TargetMode="External"/><Relationship Id="rId139" Type="http://schemas.openxmlformats.org/officeDocument/2006/relationships/hyperlink" Target="http://www.customs.ru/index.php?option=com_content&amp;view=article&amp;id=24772:-------2016-&amp;catid=53:2011-01-24-16-29-43" TargetMode="External"/><Relationship Id="rId346" Type="http://schemas.openxmlformats.org/officeDocument/2006/relationships/image" Target="media/image27.png"/><Relationship Id="rId553" Type="http://schemas.openxmlformats.org/officeDocument/2006/relationships/hyperlink" Target="http://cxem.net/arduino/arduino49.php" TargetMode="External"/><Relationship Id="rId760" Type="http://schemas.openxmlformats.org/officeDocument/2006/relationships/hyperlink" Target="http://www.oracle.com/" TargetMode="External"/><Relationship Id="rId998" Type="http://schemas.openxmlformats.org/officeDocument/2006/relationships/hyperlink" Target="https://hi-news.ru/eto-interesno/video-roboty-pomogayushhie-uchyonym-nablyudat-za-dikoj-prirodoj.html%20-%20Hi-news.ru" TargetMode="External"/><Relationship Id="rId1183" Type="http://schemas.openxmlformats.org/officeDocument/2006/relationships/hyperlink" Target="http://government.ru/docs/11912/" TargetMode="External"/><Relationship Id="rId1390" Type="http://schemas.openxmlformats.org/officeDocument/2006/relationships/hyperlink" Target="http://kemerovostat.gks.ru/wps/wcm/connect/rosstat_ts/" TargetMode="External"/><Relationship Id="rId1404" Type="http://schemas.openxmlformats.org/officeDocument/2006/relationships/hyperlink" Target="http://cheloveknauka.com/adaptatsiya-molodyh-spetsialistov-v-sovremennyh-rossiyskih-organizatsiyah" TargetMode="External"/><Relationship Id="rId192" Type="http://schemas.openxmlformats.org/officeDocument/2006/relationships/hyperlink" Target="http://www.belstat.gov.by/ofitsialnaya-statistika/solialnaya-sfera/obrazovanie/godovye-dannye_5/osnovnye-pokazateli-obrazovaniya/" TargetMode="External"/><Relationship Id="rId206" Type="http://schemas.openxmlformats.org/officeDocument/2006/relationships/hyperlink" Target="http://elib.bspu.by/bitstream/doc/5098/1/%D0%9E%D0%B1%D1%80%D0%B0%D0%B7%D0%BE%D0%B2%D0%B0%D0%BD%D0%B8%D0%B5%20%D0%B2%20%D0%B8%D0%BD%D1%82.pdf" TargetMode="External"/><Relationship Id="rId413" Type="http://schemas.openxmlformats.org/officeDocument/2006/relationships/hyperlink" Target="http://www.belstat.gov.by/ofitsialnaya-statistika/ssrd-mvf_2/natsionalnaya-stranitsa-svodnyh-dannyh/zarabotnaya-plata_2/" TargetMode="External"/><Relationship Id="rId858" Type="http://schemas.openxmlformats.org/officeDocument/2006/relationships/hyperlink" Target="http://www.ikirov.ru/news/13425-krasivaya-i-stilnaya-alternativa-naturalnym-meham" TargetMode="External"/><Relationship Id="rId1043" Type="http://schemas.openxmlformats.org/officeDocument/2006/relationships/hyperlink" Target="http://research.cmsmagazine.ru/report-on-communication-policy-of-banks-on-internet-russia/" TargetMode="External"/><Relationship Id="rId497" Type="http://schemas.openxmlformats.org/officeDocument/2006/relationships/hyperlink" Target="https://myfin.by/info/srednyaya-zarplata-v-belarusi" TargetMode="External"/><Relationship Id="rId620" Type="http://schemas.openxmlformats.org/officeDocument/2006/relationships/hyperlink" Target="http://www.energya.by/kak-razvivayutsya-alternativnayia-energetika-v-belarusi/" TargetMode="External"/><Relationship Id="rId718"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25" Type="http://schemas.openxmlformats.org/officeDocument/2006/relationships/hyperlink" Target="http://www.grandars.ru/student/ekonomicheskaya-teoriya/valovyy-vnutrenniy-produkt.html" TargetMode="External"/><Relationship Id="rId1250" Type="http://schemas.openxmlformats.org/officeDocument/2006/relationships/hyperlink" Target="http://press-service.uz/ru/news/5226/" TargetMode="External"/><Relationship Id="rId1348" Type="http://schemas.openxmlformats.org/officeDocument/2006/relationships/hyperlink" Target="http://mintrud.donland.ru/" TargetMode="External"/><Relationship Id="rId357" Type="http://schemas.openxmlformats.org/officeDocument/2006/relationships/hyperlink" Target="http://www.smartmanage.ru/deels-441-1.html" TargetMode="External"/><Relationship Id="rId1110" Type="http://schemas.openxmlformats.org/officeDocument/2006/relationships/hyperlink" Target="http://heaclub.ru/pravilnoe-pitanie-dlya-zhenskoj-krasoty-poleznye-produkty-dlya-krasoty-i-zdorovya-kozhi-i-volos" TargetMode="External"/><Relationship Id="rId1194" Type="http://schemas.openxmlformats.org/officeDocument/2006/relationships/hyperlink" Target="http://biz.a42.ru/lenta/show/201606031656-vnesla-li-politika-importozamescheniya-suschestvennyie-izmeneniya-v-kuzbasskoy-ekonomike.html" TargetMode="External"/><Relationship Id="rId1208" Type="http://schemas.openxmlformats.org/officeDocument/2006/relationships/hyperlink" Target="http://biz.a42.ru/lenta/show/201606031656-vnesla-li-politika-importozamescheniya-suschestvennyie-izmeneniya-v-kuzbasskoy-ekonomike.html" TargetMode="External"/><Relationship Id="rId1415" Type="http://schemas.openxmlformats.org/officeDocument/2006/relationships/hyperlink" Target="http://cheloveknauka.com/adaptatsiya-molodyh-spetsialistov-v-sovremennyh-rossiyskih-organizatsiyah" TargetMode="External"/><Relationship Id="rId54" Type="http://schemas.openxmlformats.org/officeDocument/2006/relationships/hyperlink" Target="https://psibook.com/religion/demograficheskiy-potentsial-respubliki-belarus-osnovnye-tendentsii-razvitiya.html" TargetMode="External"/><Relationship Id="rId217" Type="http://schemas.openxmlformats.org/officeDocument/2006/relationships/hyperlink" Target="http://elib.bspu.by/bitstream/doc/5098/1/%D0%9E%D0%B1%D1%80%D0%B0%D0%B7%D0%BE%D0%B2%D0%B0%D0%BD%D0%B8%D0%B5%20%D0%B2%20%D0%B8%D0%BD%D1%82.pdf" TargetMode="External"/><Relationship Id="rId564" Type="http://schemas.openxmlformats.org/officeDocument/2006/relationships/hyperlink" Target="http://ru-ecology.info/post/104037401150002/" TargetMode="External"/><Relationship Id="rId771" Type="http://schemas.openxmlformats.org/officeDocument/2006/relationships/hyperlink" Target="https://thenextweb.com/insider/2017/03/14/5-ways-voice-search-will-affect-seo-2017/" TargetMode="External"/><Relationship Id="rId869" Type="http://schemas.openxmlformats.org/officeDocument/2006/relationships/hyperlink" Target="http://dnr-online.ru/" TargetMode="External"/><Relationship Id="rId424"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31" Type="http://schemas.openxmlformats.org/officeDocument/2006/relationships/image" Target="media/image47.png"/><Relationship Id="rId729" Type="http://schemas.openxmlformats.org/officeDocument/2006/relationships/hyperlink" Target="https://www.autostat.ru/infographics/29458/" TargetMode="External"/><Relationship Id="rId1054" Type="http://schemas.openxmlformats.org/officeDocument/2006/relationships/hyperlink" Target="http://research.cmsmagazine.ru/report-on-communication-policy-of-banks-on-internet-russia/" TargetMode="External"/><Relationship Id="rId1261" Type="http://schemas.openxmlformats.org/officeDocument/2006/relationships/hyperlink" Target="https://ru.wikipedia.org/wiki/%D0%9C%D0%B5%D0%B6%D0%B4%D1%83%D0%BD%D0%B0%D1%80%D0%BE%D0%B4%D0%BD%D0%B0%D1%8F_%D0%BE%D1%80%D0%B3%D0%B0%D0%BD%D0%B8%D0%B7%D0%B0%D1%86%D0%B8%D1%8F_%D1%82%D1%80%D1%83%D0%B4%D0%B0" TargetMode="External"/><Relationship Id="rId1359" Type="http://schemas.openxmlformats.org/officeDocument/2006/relationships/hyperlink" Target="https://ru.wikipedia.org/wiki/%D0%93%D0%B8%D0%B3%D0%B8%D0%B5%D0%BD%D0%B0" TargetMode="External"/><Relationship Id="rId270" Type="http://schemas.openxmlformats.org/officeDocument/2006/relationships/image" Target="media/image21.png"/><Relationship Id="rId936" Type="http://schemas.openxmlformats.org/officeDocument/2006/relationships/hyperlink" Target="http://www.finbk.ru/wnews/231/" TargetMode="External"/><Relationship Id="rId1121" Type="http://schemas.openxmlformats.org/officeDocument/2006/relationships/hyperlink" Target="http://heaclub.ru/pravilnoe-pitanie-dlya-zhenskoj-krasoty-poleznye-produkty-dlya-krasoty-i-zdorovya-kozhi-i-volos" TargetMode="External"/><Relationship Id="rId1219" Type="http://schemas.openxmlformats.org/officeDocument/2006/relationships/image" Target="media/image76.jpg"/><Relationship Id="rId65" Type="http://schemas.openxmlformats.org/officeDocument/2006/relationships/hyperlink" Target="http://1fin.ru/?id=410" TargetMode="External"/><Relationship Id="rId130" Type="http://schemas.openxmlformats.org/officeDocument/2006/relationships/hyperlink" Target="http://www.metaltorg.ru/margantsevyj-kontsentrat.htm" TargetMode="External"/><Relationship Id="rId368"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575" Type="http://schemas.openxmlformats.org/officeDocument/2006/relationships/hyperlink" Target="http://ecoyear.ru/documentation/ukaz7/" TargetMode="External"/><Relationship Id="rId782" Type="http://schemas.openxmlformats.org/officeDocument/2006/relationships/hyperlink" Target="https://thenextweb.com/insider/2017/03/14/5-ways-voice-search-will-affect-seo-2017/" TargetMode="External"/><Relationship Id="rId1426" Type="http://schemas.openxmlformats.org/officeDocument/2006/relationships/footer" Target="footer11.xml"/><Relationship Id="rId228" Type="http://schemas.openxmlformats.org/officeDocument/2006/relationships/hyperlink" Target="http://elib.bspu.by/bitstream/doc/5098/1/%D0%9E%D0%B1%D1%80%D0%B0%D0%B7%D0%BE%D0%B2%D0%B0%D0%BD%D0%B8%D0%B5%20%D0%B2%20%D0%B8%D0%BD%D1%82.pdf" TargetMode="External"/><Relationship Id="rId435"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42"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1065" Type="http://schemas.openxmlformats.org/officeDocument/2006/relationships/hyperlink" Target="http://science.kuzstu.ru/wp-content/Events/Conference/RM/2015/RM15/pages/Articles/IEU/2/70.pdf" TargetMode="External"/><Relationship Id="rId1272" Type="http://schemas.openxmlformats.org/officeDocument/2006/relationships/hyperlink" Target="https://ru.wikipedia.org/wiki/%D0%A2%D1%80%D1%83%D0%B4" TargetMode="External"/><Relationship Id="rId281"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02" Type="http://schemas.openxmlformats.org/officeDocument/2006/relationships/hyperlink" Target="http://zarplatyinfo.ru/v_mire/zarplata-v-belarusi-v-dollarax-i-rossijskix-rublyax-srednyaya-v-2015-2016-godu.html.%20&#8211;%20&#1044;&#1072;&#1090;&#1072;%20&#1076;&#1086;&#1089;&#1090;&#1091;&#1087;&#1072;%2014.04.2017" TargetMode="External"/><Relationship Id="rId947" Type="http://schemas.openxmlformats.org/officeDocument/2006/relationships/hyperlink" Target="http://www.nat-geo.ru/planet/50995-na-zemle-mozhet-ne-ostatsya-pchel/" TargetMode="External"/><Relationship Id="rId1132" Type="http://schemas.openxmlformats.org/officeDocument/2006/relationships/hyperlink" Target="http://zapiskiprofana.ru/pravilnoe-pitanie-dlya-zhenshhin/" TargetMode="External"/><Relationship Id="rId76" Type="http://schemas.openxmlformats.org/officeDocument/2006/relationships/hyperlink" Target="http://megabook.ru/article/%d0%9a%d0%be%d0%bd%d1%8c%20(%d0%b3%d0%b8%d0%bc%d0%bd%d0%b0%d1%81%d1%82%d0%b8%d1%87%d0%b5%d1%81%d0%ba%d0%b8%d0%b9%20%d1%81%d0%bd%d0%b0%d1%80%d1%8f%d0%b4)" TargetMode="External"/><Relationship Id="rId141" Type="http://schemas.openxmlformats.org/officeDocument/2006/relationships/hyperlink" Target="http://www.customs.ru/index.php?option=com_content&amp;view=article&amp;id=24772:-------2016-&amp;catid=53:2011-01-24-16-29-43" TargetMode="External"/><Relationship Id="rId379" Type="http://schemas.openxmlformats.org/officeDocument/2006/relationships/hyperlink" Target="http://www.belstat.gov.by/metodologiya/kratkiy-glossariy-statisticheskikh-terminov/26/" TargetMode="External"/><Relationship Id="rId586" Type="http://schemas.openxmlformats.org/officeDocument/2006/relationships/hyperlink" Target="http://gtmarket.ru/ratings/environmental-performance-index/info" TargetMode="External"/><Relationship Id="rId793" Type="http://schemas.openxmlformats.org/officeDocument/2006/relationships/hyperlink" Target="http://searchengineland.com/google-reveals-20-percent-queries-voice-queries-249917" TargetMode="External"/><Relationship Id="rId807" Type="http://schemas.openxmlformats.org/officeDocument/2006/relationships/hyperlink" Target="http://searchengineland.com/google-reveals-20-percent-queries-voice-queries-249917" TargetMode="External"/><Relationship Id="rId7" Type="http://schemas.openxmlformats.org/officeDocument/2006/relationships/image" Target="media/image1.jpg"/><Relationship Id="rId239" Type="http://schemas.openxmlformats.org/officeDocument/2006/relationships/hyperlink" Target="http://elib.bspu.by/bitstream/doc/5098/1/%D0%9E%D0%B1%D1%80%D0%B0%D0%B7%D0%BE%D0%B2%D0%B0%D0%BD%D0%B8%D0%B5%20%D0%B2%20%D0%B8%D0%BD%D1%82.pdf" TargetMode="External"/><Relationship Id="rId446"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53" Type="http://schemas.openxmlformats.org/officeDocument/2006/relationships/hyperlink" Target="https://sb-vnedr.ru/about/publication/12468/" TargetMode="External"/><Relationship Id="rId1076" Type="http://schemas.openxmlformats.org/officeDocument/2006/relationships/hyperlink" Target="http://dis.ru/library/detail.php?ID=22695" TargetMode="External"/><Relationship Id="rId1283" Type="http://schemas.openxmlformats.org/officeDocument/2006/relationships/hyperlink" Target="https://regnum.ru/news/economy/1926548.html" TargetMode="External"/><Relationship Id="rId292"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6"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860" Type="http://schemas.openxmlformats.org/officeDocument/2006/relationships/hyperlink" Target="http://www.ikirov.ru/news/13425-krasivaya-i-stilnaya-alternativa-naturalnym-meham" TargetMode="External"/><Relationship Id="rId958" Type="http://schemas.openxmlformats.org/officeDocument/2006/relationships/hyperlink" Target="http://www.nat-geo.ru/planet/50995-na-zemle-mozhet-ne-ostatsya-pchel/" TargetMode="External"/><Relationship Id="rId1143" Type="http://schemas.openxmlformats.org/officeDocument/2006/relationships/hyperlink" Target="https://healthy-zone.ru/pravilnoe-pitanie-dlya-zhenshhin-produktyi-dlya-zhenskogo-zdorovya-i-krasotyi" TargetMode="External"/><Relationship Id="rId87" Type="http://schemas.openxmlformats.org/officeDocument/2006/relationships/hyperlink" Target="http://megabook.ru/article/%d0%a7%d1%83%d0%ba%d0%b0%d1%80%d0%b8%d0%bd%20%d0%92%d0%b8%d0%ba%d1%82%d0%be%d1%80%20%d0%98%d0%b2%d0%b0%d0%bd%d0%be%d0%b2%d0%b8%d1%87" TargetMode="External"/><Relationship Id="rId513" Type="http://schemas.openxmlformats.org/officeDocument/2006/relationships/hyperlink" Target="http://ya62.ru/articles/publishing/kadry-dlya-biznesa-zachem-nuzhny-kadrovye-agentstva/" TargetMode="External"/><Relationship Id="rId597" Type="http://schemas.openxmlformats.org/officeDocument/2006/relationships/hyperlink" Target="http://www.ecologytarget.ru/tarecs-34-1.html" TargetMode="External"/><Relationship Id="rId720"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18" Type="http://schemas.openxmlformats.org/officeDocument/2006/relationships/hyperlink" Target="https://spark.ru/startup/se-ranking/blog/19483/pochemu-golosovoj-poisk-glavnij-trend-2017" TargetMode="External"/><Relationship Id="rId1350" Type="http://schemas.openxmlformats.org/officeDocument/2006/relationships/image" Target="media/image83.jpg"/><Relationship Id="rId152" Type="http://schemas.openxmlformats.org/officeDocument/2006/relationships/hyperlink" Target="http://revolution.allbest.ru/economy/00340341_0.html" TargetMode="External"/><Relationship Id="rId457"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1003" Type="http://schemas.openxmlformats.org/officeDocument/2006/relationships/hyperlink" Target="https://hi-news.ru/eto-interesno/video-roboty-pomogayushhie-uchyonym-nablyudat-za-dikoj-prirodoj.html%20-%20Hi-news.ru" TargetMode="External"/><Relationship Id="rId1087" Type="http://schemas.openxmlformats.org/officeDocument/2006/relationships/hyperlink" Target="http://r.bookap.info/work/163626/Maloe-predprinimatelstvo-kak-subekt" TargetMode="External"/><Relationship Id="rId1210" Type="http://schemas.openxmlformats.org/officeDocument/2006/relationships/hyperlink" Target="http://biz.a42.ru/lenta/show/201606031656-vnesla-li-politika-importozamescheniya-suschestvennyie-izmeneniya-v-kuzbasskoy-ekonomike.html" TargetMode="External"/><Relationship Id="rId1294" Type="http://schemas.openxmlformats.org/officeDocument/2006/relationships/hyperlink" Target="http://www.gks.ru/wps/wcm/connect/rosstat_main/rosstat/ru/statistics/publications/catalog/doc" TargetMode="External"/><Relationship Id="rId1308" Type="http://schemas.openxmlformats.org/officeDocument/2006/relationships/hyperlink" Target="http://elibrary.ru/contents.asp?issueid=1018977&amp;selid=17783263" TargetMode="External"/><Relationship Id="rId664" Type="http://schemas.openxmlformats.org/officeDocument/2006/relationships/hyperlink" Target="https://forbes.kz/blogs/blogsid_116781/" TargetMode="External"/><Relationship Id="rId871" Type="http://schemas.openxmlformats.org/officeDocument/2006/relationships/hyperlink" Target="http://dnr-online.ru/" TargetMode="External"/><Relationship Id="rId969" Type="http://schemas.openxmlformats.org/officeDocument/2006/relationships/hyperlink" Target="http://www.popmech.ru/science/327552-roboty-pchely-i-neobychnyy-gel-smogut-li-drony-zamenit-nasekomykh/" TargetMode="External"/><Relationship Id="rId317" Type="http://schemas.openxmlformats.org/officeDocument/2006/relationships/hyperlink" Target="https://vk.com/away.php?to=http%3A%2F%2Fwww.nalog.gov.by%2Fru%2Fnalog-nagruzka-economica-ru%2F&amp;cc_key=" TargetMode="External"/><Relationship Id="rId524" Type="http://schemas.openxmlformats.org/officeDocument/2006/relationships/hyperlink" Target="http://economy.gov.ru/" TargetMode="External"/><Relationship Id="rId731" Type="http://schemas.openxmlformats.org/officeDocument/2006/relationships/hyperlink" Target="https://www.autostat.ru/test_draiv_7d/29315/" TargetMode="External"/><Relationship Id="rId1154" Type="http://schemas.openxmlformats.org/officeDocument/2006/relationships/hyperlink" Target="https://healthy-zone.ru/pravilnoe-pitanie-dlya-zhenshhin-produktyi-dlya-zhenskogo-zdorovya-i-krasotyi" TargetMode="External"/><Relationship Id="rId1361" Type="http://schemas.openxmlformats.org/officeDocument/2006/relationships/image" Target="media/image85.jpg"/><Relationship Id="rId98" Type="http://schemas.openxmlformats.org/officeDocument/2006/relationships/hyperlink" Target="http://megabook.ru/article/%d0%a7%d0%b0%d1%81%d0%bb%d0%b0%d0%b2%d1%81%d0%ba%d0%b0%20%d0%92%d0%b5%d1%80%d0%b0" TargetMode="External"/><Relationship Id="rId163" Type="http://schemas.openxmlformats.org/officeDocument/2006/relationships/image" Target="media/image18.png"/><Relationship Id="rId370"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829" Type="http://schemas.openxmlformats.org/officeDocument/2006/relationships/hyperlink" Target="http://vegetarianskij.ru/kak-dobyvayut-mex-dlya-shub-iz-norki-lisicy-i-pesca/" TargetMode="External"/><Relationship Id="rId1014" Type="http://schemas.openxmlformats.org/officeDocument/2006/relationships/hyperlink" Target="https://ru.wikipedia.org/wiki/%D0%90%D0%B2%D0%B0%D1%80%D0%B8%D0%B9%D0%BD%D0%BE-%D1%81%D0%BF%D0%B0%D1%81%D0%B0%D1%82%D0%B5%D0%BB%D1%8C%D0%BD%D0%B0%D1%8F_%D1%81%D0%BB%D1%83%D0%B6%D0%B1%D0%B0" TargetMode="External"/><Relationship Id="rId1221" Type="http://schemas.openxmlformats.org/officeDocument/2006/relationships/hyperlink" Target="https://myfin.by/wiki/term/eksport" TargetMode="External"/><Relationship Id="rId230" Type="http://schemas.openxmlformats.org/officeDocument/2006/relationships/hyperlink" Target="http://elib.bspu.by/bitstream/doc/5098/1/%D0%9E%D0%B1%D1%80%D0%B0%D0%B7%D0%BE%D0%B2%D0%B0%D0%BD%D0%B8%D0%B5%20%D0%B2%20%D0%B8%D0%BD%D1%82.pdf" TargetMode="External"/><Relationship Id="rId468" Type="http://schemas.openxmlformats.org/officeDocument/2006/relationships/hyperlink" Target="http://zarplatyinfo.ru/v_mire/zarplata-v-belarusi-v-dollarax-i-rossijskix-rublyax-srednyaya-v-2015-2016-godu.html.%20&#8211;%20&#1044;&#1072;&#1090;&#1072;%20&#1076;&#1086;&#1089;&#1090;&#1091;&#1087;&#1072;%2014.04.2017" TargetMode="External"/><Relationship Id="rId675"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82" Type="http://schemas.openxmlformats.org/officeDocument/2006/relationships/hyperlink" Target="http://greenologia.ru/eko-problemy/tyazhelye-metally-pochvu.html" TargetMode="External"/><Relationship Id="rId1098" Type="http://schemas.openxmlformats.org/officeDocument/2006/relationships/hyperlink" Target="https://rae.ru/forum2012/327/3248" TargetMode="External"/><Relationship Id="rId1319" Type="http://schemas.openxmlformats.org/officeDocument/2006/relationships/hyperlink" Target="https://ru.wikipedia.org/wiki/%D0%9A%D0%BE%D0%BD%D1%81%D1%82%D0%B8%D1%82%D1%83%D1%86%D0%B8%D1%8F" TargetMode="External"/><Relationship Id="rId25" Type="http://schemas.openxmlformats.org/officeDocument/2006/relationships/image" Target="media/image89.jpg"/><Relationship Id="rId328" Type="http://schemas.openxmlformats.org/officeDocument/2006/relationships/hyperlink" Target="https://vk.com/away.php?to=http%3A%2F%2Fwww.belstat.gov.by%2Fofitsialnaya-statistika%2Fmakroekonomika-i-okruzhayushchaya-sreda%2Ffinansy%2Fgodovye-dannye_14%2Ffinansovye-rezultaty-raboty-organizatsii%2F&amp;cc_key=" TargetMode="External"/><Relationship Id="rId535" Type="http://schemas.openxmlformats.org/officeDocument/2006/relationships/image" Target="media/image39.jpg"/><Relationship Id="rId742" Type="http://schemas.openxmlformats.org/officeDocument/2006/relationships/hyperlink" Target="https://www.autostat.ru/editorial_column/28697/" TargetMode="External"/><Relationship Id="rId1165" Type="http://schemas.openxmlformats.org/officeDocument/2006/relationships/hyperlink" Target="http://www.hr-portal.ru/article/trendy-razvitiya-hrm-tehnologiy-2014" TargetMode="External"/><Relationship Id="rId1372" Type="http://schemas.openxmlformats.org/officeDocument/2006/relationships/hyperlink" Target="http://www.gks.ru/wps/wcm/" TargetMode="External"/><Relationship Id="rId174" Type="http://schemas.openxmlformats.org/officeDocument/2006/relationships/hyperlink" Target="http://www.belstat.gov.by/ofitsialnaya-statistika/solialnaya-sfera/obrazovanie/godovye-dannye_5/osnovnye-pokazateli-obrazovaniya/" TargetMode="External"/><Relationship Id="rId381" Type="http://schemas.openxmlformats.org/officeDocument/2006/relationships/hyperlink" Target="http://www.belstat.gov.by/metodologiya/kratkiy-glossariy-statisticheskikh-terminov/26/" TargetMode="External"/><Relationship Id="rId602" Type="http://schemas.openxmlformats.org/officeDocument/2006/relationships/hyperlink" Target="http://www.ecologytarget.ru/tarecs-34-1.html" TargetMode="External"/><Relationship Id="rId1025" Type="http://schemas.openxmlformats.org/officeDocument/2006/relationships/image" Target="media/image56.png"/><Relationship Id="rId1232" Type="http://schemas.openxmlformats.org/officeDocument/2006/relationships/hyperlink" Target="https://www.gov.uk/government/uploads/system/uploads/attachment_data/file/32450/11-1387-innovation-and-research-strategy-for-growth.pdf" TargetMode="External"/><Relationship Id="rId241" Type="http://schemas.openxmlformats.org/officeDocument/2006/relationships/hyperlink" Target="http://elib.bspu.by/bitstream/doc/5098/1/%D0%9E%D0%B1%D1%80%D0%B0%D0%B7%D0%BE%D0%B2%D0%B0%D0%BD%D0%B8%D0%B5%20%D0%B2%20%D0%B8%D0%BD%D1%82.pdf" TargetMode="External"/><Relationship Id="rId479" Type="http://schemas.openxmlformats.org/officeDocument/2006/relationships/hyperlink" Target="http://zarplatyinfo.ru/v_mire/zarplata-v-belarusi-v-dollarax-i-rossijskix-rublyax-srednyaya-v-2015-2016-godu.html.%20&#8211;%20&#1044;&#1072;&#1090;&#1072;%20&#1076;&#1086;&#1089;&#1090;&#1091;&#1087;&#1072;%2014.04.2017" TargetMode="External"/><Relationship Id="rId686"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93" Type="http://schemas.openxmlformats.org/officeDocument/2006/relationships/hyperlink" Target="https://ria.ru/world/20170310/1489727697.html" TargetMode="External"/><Relationship Id="rId907" Type="http://schemas.openxmlformats.org/officeDocument/2006/relationships/hyperlink" Target="http://www.grandars.ru/student/finansy/metallicheskie-dengi.html" TargetMode="External"/><Relationship Id="rId36" Type="http://schemas.openxmlformats.org/officeDocument/2006/relationships/image" Target="media/image6.png"/><Relationship Id="rId339" Type="http://schemas.openxmlformats.org/officeDocument/2006/relationships/hyperlink" Target="http://www.belstat.gov.by/ofitsialnaya-statistika/publications/izdania/public_bulletin/index_6948/" TargetMode="External"/><Relationship Id="rId546" Type="http://schemas.openxmlformats.org/officeDocument/2006/relationships/hyperlink" Target="http://progmk.ru/avtoinformator-na-arduino-ozvuchivanie-komand/" TargetMode="External"/><Relationship Id="rId753" Type="http://schemas.openxmlformats.org/officeDocument/2006/relationships/hyperlink" Target="https://www.autostat.ru/infographics/27989/" TargetMode="External"/><Relationship Id="rId1176" Type="http://schemas.openxmlformats.org/officeDocument/2006/relationships/hyperlink" Target="http://mir-nauki.com/" TargetMode="External"/><Relationship Id="rId1383" Type="http://schemas.openxmlformats.org/officeDocument/2006/relationships/hyperlink" Target="http://kemerovostat.gks.ru/wps/wcm/connect/rosstat_ts/" TargetMode="External"/><Relationship Id="rId101" Type="http://schemas.openxmlformats.org/officeDocument/2006/relationships/hyperlink" Target="http://megabook.ru/article/%d0%9a%d0%be%d0%bc%d1%8d%d0%bd%d0%b5%d1%87%20%d0%9d%d0%b0%d0%b4%d1%8f%20%5b%d1%81%d0%bf%d0%be%d1%80%d1%82%5d" TargetMode="External"/><Relationship Id="rId185" Type="http://schemas.openxmlformats.org/officeDocument/2006/relationships/hyperlink" Target="http://www.belstat.gov.by/ofitsialnaya-statistika/solialnaya-sfera/obrazovanie/godovye-dannye_5/osnovnye-pokazateli-obrazovaniya/" TargetMode="External"/><Relationship Id="rId406" Type="http://schemas.openxmlformats.org/officeDocument/2006/relationships/hyperlink" Target="https://myfin.by/info/inflyaciya" TargetMode="External"/><Relationship Id="rId960" Type="http://schemas.openxmlformats.org/officeDocument/2006/relationships/hyperlink" Target="http://www.popmech.ru/science/327552-roboty-pchely-i-neobychnyy-gel-smogut-li-drony-zamenit-nasekomykh/" TargetMode="External"/><Relationship Id="rId1036" Type="http://schemas.openxmlformats.org/officeDocument/2006/relationships/hyperlink" Target="http://rulaws.ru/Lesnoy-kodeks/" TargetMode="External"/><Relationship Id="rId1243" Type="http://schemas.openxmlformats.org/officeDocument/2006/relationships/hyperlink" Target="https://www.gov.uk/government/uploads/system/uploads/attachment_data/file/32450/11-1387-innovation-and-research-strategy-for-growth.pdf" TargetMode="External"/><Relationship Id="rId392" Type="http://schemas.openxmlformats.org/officeDocument/2006/relationships/hyperlink" Target="http://workspace.unpan.org/sites/Internet/Documents/UNPAN96407.pdf" TargetMode="External"/><Relationship Id="rId613" Type="http://schemas.openxmlformats.org/officeDocument/2006/relationships/hyperlink" Target="http://www.oecdbetterlifeindex.org/ru/" TargetMode="External"/><Relationship Id="rId697"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20" Type="http://schemas.openxmlformats.org/officeDocument/2006/relationships/hyperlink" Target="https://spark.ru/startup/se-ranking/blog/19483/pochemu-golosovoj-poisk-glavnij-trend-2017" TargetMode="External"/><Relationship Id="rId918" Type="http://schemas.openxmlformats.org/officeDocument/2006/relationships/hyperlink" Target="http://www.grandars.ru/student/finansy/cennaya-bumaga.html" TargetMode="External"/><Relationship Id="rId252" Type="http://schemas.openxmlformats.org/officeDocument/2006/relationships/hyperlink" Target="http://elib.bspu.by/bitstream/doc/5098/1/%D0%9E%D0%B1%D1%80%D0%B0%D0%B7%D0%BE%D0%B2%D0%B0%D0%BD%D0%B8%D0%B5%20%D0%B2%20%D0%B8%D0%BD%D1%82.pdf" TargetMode="External"/><Relationship Id="rId1103" Type="http://schemas.openxmlformats.org/officeDocument/2006/relationships/hyperlink" Target="http://heaclub.ru/pravilnoe-pitanie-dlya-zhenskoj-krasoty-poleznye-produkty-dlya-krasoty-i-zdorovya-kozhi-i-volos" TargetMode="External"/><Relationship Id="rId1187" Type="http://schemas.openxmlformats.org/officeDocument/2006/relationships/hyperlink" Target="http://government.ru/docs/11912/" TargetMode="External"/><Relationship Id="rId1310" Type="http://schemas.openxmlformats.org/officeDocument/2006/relationships/hyperlink" Target="https://ru.wikipedia.org/wiki/%D0%9D%D0%B5%D0%BC%D0%B5%D1%86%D0%BA%D0%B8%D0%B9_%D1%8F%D0%B7%D1%8B%D0%BA" TargetMode="External"/><Relationship Id="rId1408" Type="http://schemas.openxmlformats.org/officeDocument/2006/relationships/hyperlink" Target="http://cheloveknauka.com/adaptatsiya-molodyh-spetsialistov-v-sovremennyh-rossiyskih-organizatsiyah" TargetMode="External"/><Relationship Id="rId47" Type="http://schemas.openxmlformats.org/officeDocument/2006/relationships/hyperlink" Target="https://psibook.com/religion/demograficheskiy-potentsial-respubliki-belarus-osnovnye-tendentsii-razvitiya.html" TargetMode="External"/><Relationship Id="rId112" Type="http://schemas.openxmlformats.org/officeDocument/2006/relationships/hyperlink" Target="http://megabook.ru/article/%d0%9d%d0%b5%d0%bc%d0%be%d0%b2%20%d0%90%d0%bb%d0%b5%d0%ba%d1%81%d0%b5%d0%b9%20%d0%ae%d1%80%d1%8c%d0%b5%d0%b2%d0%b8%d1%87" TargetMode="External"/><Relationship Id="rId557" Type="http://schemas.openxmlformats.org/officeDocument/2006/relationships/hyperlink" Target="http://robotosha.ru/arduino/fritzing-intro.html" TargetMode="External"/><Relationship Id="rId764" Type="http://schemas.openxmlformats.org/officeDocument/2006/relationships/image" Target="media/image55.jpg"/><Relationship Id="rId971" Type="http://schemas.openxmlformats.org/officeDocument/2006/relationships/hyperlink" Target="http://www.popmech.ru/science/327552-roboty-pchely-i-neobychnyy-gel-smogut-li-drony-zamenit-nasekomykh/" TargetMode="External"/><Relationship Id="rId1394" Type="http://schemas.openxmlformats.org/officeDocument/2006/relationships/hyperlink" Target="http://kemerovostat.gks.ru/wps/wcm/connect/rosstat_ts/" TargetMode="External"/><Relationship Id="rId196" Type="http://schemas.openxmlformats.org/officeDocument/2006/relationships/hyperlink" Target="http://elib.bspu.by/bitstream/doc/5098/1/%D0%9E%D0%B1%D1%80%D0%B0%D0%B7%D0%BE%D0%B2%D0%B0%D0%BD%D0%B8%D0%B5%20%D0%B2%20%D0%B8%D0%BD%D1%82.pdf" TargetMode="External"/><Relationship Id="rId417" Type="http://schemas.openxmlformats.org/officeDocument/2006/relationships/hyperlink" Target="http://www.belstat.gov.by/ofitsialnaya-statistika/ssrd-mvf_2/natsionalnaya-stranitsa-svodnyh-dannyh/zarabotnaya-plata_2/" TargetMode="External"/><Relationship Id="rId624" Type="http://schemas.openxmlformats.org/officeDocument/2006/relationships/hyperlink" Target="http://www.energya.by/kak-razvivayutsya-alternativnayia-energetika-v-belarusi/" TargetMode="External"/><Relationship Id="rId831" Type="http://schemas.openxmlformats.org/officeDocument/2006/relationships/hyperlink" Target="http://vegetarianskij.ru/kak-dobyvayut-mex-dlya-shub-iz-norki-lisicy-i-pesca/" TargetMode="External"/><Relationship Id="rId1047" Type="http://schemas.openxmlformats.org/officeDocument/2006/relationships/hyperlink" Target="http://research.cmsmagazine.ru/report-on-communication-policy-of-banks-on-internet-russia/" TargetMode="External"/><Relationship Id="rId1254" Type="http://schemas.openxmlformats.org/officeDocument/2006/relationships/hyperlink" Target="http://www.grandars.ru/student/statistika/zanyatye-i-bezrabotnye.html" TargetMode="External"/><Relationship Id="rId263" Type="http://schemas.openxmlformats.org/officeDocument/2006/relationships/hyperlink" Target="http://elib.bspu.by/bitstream/doc/5098/1/%D0%9E%D0%B1%D1%80%D0%B0%D0%B7%D0%BE%D0%B2%D0%B0%D0%BD%D0%B8%D0%B5%20%D0%B2%20%D0%B8%D0%BD%D1%82.pdf" TargetMode="External"/><Relationship Id="rId470" Type="http://schemas.openxmlformats.org/officeDocument/2006/relationships/hyperlink" Target="http://zarplatyinfo.ru/v_mire/zarplata-v-belarusi-v-dollarax-i-rossijskix-rublyax-srednyaya-v-2015-2016-godu.html.%20&#8211;%20&#1044;&#1072;&#1090;&#1072;%20&#1076;&#1086;&#1089;&#1090;&#1091;&#1087;&#1072;%2014.04.2017" TargetMode="External"/><Relationship Id="rId929" Type="http://schemas.openxmlformats.org/officeDocument/2006/relationships/hyperlink" Target="http://www.grandars.ru/college/ekonomika-firmy/rentabelnost-predpriyatiya.html" TargetMode="External"/><Relationship Id="rId1114" Type="http://schemas.openxmlformats.org/officeDocument/2006/relationships/hyperlink" Target="http://heaclub.ru/pravilnoe-pitanie-dlya-zhenskoj-krasoty-poleznye-produkty-dlya-krasoty-i-zdorovya-kozhi-i-volos" TargetMode="External"/><Relationship Id="rId1321" Type="http://schemas.openxmlformats.org/officeDocument/2006/relationships/hyperlink" Target="https://ru.wikipedia.org/wiki/%D0%A1%D0%BE%D1%86%D0%B8%D0%B0%D0%BB%D1%8C%D0%BD%D0%B0%D1%8F_%D0%B7%D0%B0%D1%89%D0%B8%D1%82%D0%B0" TargetMode="External"/><Relationship Id="rId58" Type="http://schemas.openxmlformats.org/officeDocument/2006/relationships/hyperlink" Target="https://www.audit-it.ru/finanaliz/terms/solvency/coefficient_of_autonomy.html" TargetMode="External"/><Relationship Id="rId123" Type="http://schemas.openxmlformats.org/officeDocument/2006/relationships/hyperlink" Target="http://vedkuzbass.ru/index.php/mezhdunarodnoe-i-mezhregionalnoe-sotrudnichestvo/itogived" TargetMode="External"/><Relationship Id="rId330" Type="http://schemas.openxmlformats.org/officeDocument/2006/relationships/hyperlink" Target="https://vk.com/away.php?to=http%3A%2F%2Fwww.belstat.gov.by%2Fofitsialnaya-statistika%2Fmakroekonomika-i-okruzhayushchaya-sreda%2Ffinansy%2Fgodovye-dannye_14%2Ffinansovye-rezultaty-raboty-organizatsii%2F&amp;cc_key=" TargetMode="External"/><Relationship Id="rId568" Type="http://schemas.openxmlformats.org/officeDocument/2006/relationships/hyperlink" Target="http://ru-ecology.info/post/104037401150002/" TargetMode="External"/><Relationship Id="rId775" Type="http://schemas.openxmlformats.org/officeDocument/2006/relationships/hyperlink" Target="https://thenextweb.com/insider/2017/03/14/5-ways-voice-search-will-affect-seo-2017/" TargetMode="External"/><Relationship Id="rId982" Type="http://schemas.openxmlformats.org/officeDocument/2006/relationships/hyperlink" Target="https://hi-news.ru/eto-interesno/video-roboty-pomogayushhie-uchyonym-nablyudat-za-dikoj-prirodoj.html%20-%20Hi-news.ru" TargetMode="External"/><Relationship Id="rId1198" Type="http://schemas.openxmlformats.org/officeDocument/2006/relationships/hyperlink" Target="http://biz.a42.ru/lenta/show/201606031656-vnesla-li-politika-importozamescheniya-suschestvennyie-izmeneniya-v-kuzbasskoy-ekonomike.html" TargetMode="External"/><Relationship Id="rId1419" Type="http://schemas.openxmlformats.org/officeDocument/2006/relationships/hyperlink" Target="http://www.beriev.com/rus/core.html" TargetMode="External"/><Relationship Id="rId428"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35"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842" Type="http://schemas.openxmlformats.org/officeDocument/2006/relationships/hyperlink" Target="http://vegetarianskij.ru/kak-dobyvayut-mex-dlya-shub-iz-norki-lisicy-i-pesca/" TargetMode="External"/><Relationship Id="rId1058" Type="http://schemas.openxmlformats.org/officeDocument/2006/relationships/hyperlink" Target="http://zakonbase.ru/content/base/241/" TargetMode="External"/><Relationship Id="rId1265" Type="http://schemas.openxmlformats.org/officeDocument/2006/relationships/hyperlink" Target="https://ru.wikipedia.org/wiki/%D0%91%D0%B5%D0%B7%D1%80%D0%B0%D0%B1%D0%BE%D1%82%D0%B8%D1%86%D0%B0" TargetMode="External"/><Relationship Id="rId274"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81" Type="http://schemas.openxmlformats.org/officeDocument/2006/relationships/hyperlink" Target="http://zarplatyinfo.ru/v_mire/zarplata-v-belarusi-v-dollarax-i-rossijskix-rublyax-srednyaya-v-2015-2016-godu.html.%20&#8211;%20&#1044;&#1072;&#1090;&#1072;%20&#1076;&#1086;&#1089;&#1090;&#1091;&#1087;&#1072;%2014.04.2017" TargetMode="External"/><Relationship Id="rId702"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125" Type="http://schemas.openxmlformats.org/officeDocument/2006/relationships/hyperlink" Target="http://heaclub.ru/pravilnoe-pitanie-dlya-zhenskoj-krasoty-poleznye-produkty-dlya-krasoty-i-zdorovya-kozhi-i-volos" TargetMode="External"/><Relationship Id="rId1332" Type="http://schemas.openxmlformats.org/officeDocument/2006/relationships/hyperlink" Target="http://teoria-practica.ru/-12-2012/law/dremanova.pdf" TargetMode="External"/><Relationship Id="rId69" Type="http://schemas.openxmlformats.org/officeDocument/2006/relationships/image" Target="media/image8.jpg"/><Relationship Id="rId134" Type="http://schemas.openxmlformats.org/officeDocument/2006/relationships/hyperlink" Target="http://www.rusexporter.ru/research/region/detail/4505/" TargetMode="External"/><Relationship Id="rId579" Type="http://schemas.openxmlformats.org/officeDocument/2006/relationships/hyperlink" Target="http://www.kremlin.ru/events/president/news/51142" TargetMode="External"/><Relationship Id="rId786" Type="http://schemas.openxmlformats.org/officeDocument/2006/relationships/hyperlink" Target="https://thenextweb.com/insider/2017/03/14/5-ways-voice-search-will-affect-seo-2017/" TargetMode="External"/><Relationship Id="rId993" Type="http://schemas.openxmlformats.org/officeDocument/2006/relationships/hyperlink" Target="https://hi-news.ru/eto-interesno/video-roboty-pomogayushhie-uchyonym-nablyudat-za-dikoj-prirodoj.html%20-%20Hi-news.ru" TargetMode="External"/><Relationship Id="rId341" Type="http://schemas.openxmlformats.org/officeDocument/2006/relationships/hyperlink" Target="http://media.miu.by/files/store/items/uses/xx/mim_uses_xx_03018.pdf" TargetMode="External"/><Relationship Id="rId439"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46" Type="http://schemas.openxmlformats.org/officeDocument/2006/relationships/hyperlink" Target="https://sb-vnedr.ru/about/publication/12468/" TargetMode="External"/><Relationship Id="rId1069" Type="http://schemas.openxmlformats.org/officeDocument/2006/relationships/hyperlink" Target="http://works.doklad.ru/view/-HnnOdfnLYo.html" TargetMode="External"/><Relationship Id="rId1276" Type="http://schemas.openxmlformats.org/officeDocument/2006/relationships/hyperlink" Target="http://www.gks.ru/free_doc/new_site/population/trud/Untitled452-10.pdf" TargetMode="External"/><Relationship Id="rId201" Type="http://schemas.openxmlformats.org/officeDocument/2006/relationships/hyperlink" Target="http://elib.bspu.by/bitstream/doc/5098/1/%D0%9E%D0%B1%D1%80%D0%B0%D0%B7%D0%BE%D0%B2%D0%B0%D0%BD%D0%B8%D0%B5%20%D0%B2%20%D0%B8%D0%BD%D1%82.pdf" TargetMode="External"/><Relationship Id="rId285"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06" Type="http://schemas.openxmlformats.org/officeDocument/2006/relationships/hyperlink" Target="https://ru.wikipedia.org/wiki" TargetMode="External"/><Relationship Id="rId853" Type="http://schemas.openxmlformats.org/officeDocument/2006/relationships/hyperlink" Target="http://www.ikirov.ru/news/13425-krasivaya-i-stilnaya-alternativa-naturalnym-meham" TargetMode="External"/><Relationship Id="rId1136" Type="http://schemas.openxmlformats.org/officeDocument/2006/relationships/hyperlink" Target="https://healthy-zone.ru/pravilnoe-pitanie-dlya-zhenshhin-produktyi-dlya-zhenskogo-zdorovya-i-krasotyi" TargetMode="External"/><Relationship Id="rId492" Type="http://schemas.openxmlformats.org/officeDocument/2006/relationships/hyperlink" Target="https://myfin.by/info/srednyaya-zarplata-v-belarusi" TargetMode="External"/><Relationship Id="rId713"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97" Type="http://schemas.openxmlformats.org/officeDocument/2006/relationships/hyperlink" Target="http://searchengineland.com/google-reveals-20-percent-queries-voice-queries-249917" TargetMode="External"/><Relationship Id="rId920" Type="http://schemas.openxmlformats.org/officeDocument/2006/relationships/hyperlink" Target="http://www.grandars.ru/student/finansy/emissiya-deneg.html" TargetMode="External"/><Relationship Id="rId1343" Type="http://schemas.openxmlformats.org/officeDocument/2006/relationships/hyperlink" Target="http://&#1101;&#1083;&#1077;&#1082;&#1090;&#1088;&#1086;&#1090;&#1077;&#1093;&#1085;&#1080;&#1095;&#1077;&#1089;&#1082;&#1080;&#1081;-&#1087;&#1086;&#1088;&#1090;&#1072;&#1083;.&#1088;&#1092;/vetroenergetika.html" TargetMode="External"/><Relationship Id="rId145" Type="http://schemas.openxmlformats.org/officeDocument/2006/relationships/hyperlink" Target="http://www.customs.ru/index.php?option=com_content&amp;view=article&amp;id=24772:-------2016-&amp;catid=53:2011-01-24-16-29-43" TargetMode="External"/><Relationship Id="rId352" Type="http://schemas.openxmlformats.org/officeDocument/2006/relationships/hyperlink" Target="http://www.bankrot.by/oa/3830" TargetMode="External"/><Relationship Id="rId1203" Type="http://schemas.openxmlformats.org/officeDocument/2006/relationships/hyperlink" Target="http://biz.a42.ru/lenta/show/201606031656-vnesla-li-politika-importozamescheniya-suschestvennyie-izmeneniya-v-kuzbasskoy-ekonomike.html" TargetMode="External"/><Relationship Id="rId1287" Type="http://schemas.openxmlformats.org/officeDocument/2006/relationships/hyperlink" Target="http://center-yf.ru/data/Menedzheru/Stili-rukovodstva.php" TargetMode="External"/><Relationship Id="rId1410" Type="http://schemas.openxmlformats.org/officeDocument/2006/relationships/hyperlink" Target="http://cheloveknauka.com/adaptatsiya-molodyh-spetsialistov-v-sovremennyh-rossiyskih-organizatsiyah" TargetMode="External"/><Relationship Id="rId212" Type="http://schemas.openxmlformats.org/officeDocument/2006/relationships/hyperlink" Target="http://elib.bspu.by/bitstream/doc/5098/1/%D0%9E%D0%B1%D1%80%D0%B0%D0%B7%D0%BE%D0%B2%D0%B0%D0%BD%D0%B8%D0%B5%20%D0%B2%20%D0%B8%D0%BD%D1%82.pdf" TargetMode="External"/><Relationship Id="rId657" Type="http://schemas.openxmlformats.org/officeDocument/2006/relationships/hyperlink" Target="https://ru.wikipedia.org/wiki/%D0%9A%D1%80%D0%B8%D0%BF%D1%82%D0%BE%D0%B3%D1%80%D0%B0%D1%84%D0%B8%D1%8F" TargetMode="External"/><Relationship Id="rId864" Type="http://schemas.openxmlformats.org/officeDocument/2006/relationships/hyperlink" Target="http://alfa.moreprom.ru/index.php?option=com_content&amp;view=article&amp;id=91:2013-" TargetMode="External"/><Relationship Id="rId296"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17" Type="http://schemas.openxmlformats.org/officeDocument/2006/relationships/hyperlink" Target="http://ya62.ru/articles/publishing/kadry-dlya-biznesa-zachem-nuzhny-kadrovye-agentstva/" TargetMode="External"/><Relationship Id="rId724" Type="http://schemas.openxmlformats.org/officeDocument/2006/relationships/hyperlink" Target="http://www.gks.ru/bgd/free/B04_03/IssWWW.exe/Stg/d02/57.htm" TargetMode="External"/><Relationship Id="rId931" Type="http://schemas.openxmlformats.org/officeDocument/2006/relationships/hyperlink" Target="http://www.grandars.ru/student/finansy/procentnaya-stavka.html" TargetMode="External"/><Relationship Id="rId1147" Type="http://schemas.openxmlformats.org/officeDocument/2006/relationships/hyperlink" Target="https://healthy-zone.ru/pravilnoe-pitanie-dlya-zhenshhin-produktyi-dlya-zhenskogo-zdorovya-i-krasotyi" TargetMode="External"/><Relationship Id="rId1354" Type="http://schemas.openxmlformats.org/officeDocument/2006/relationships/hyperlink" Target="https://ru.wikipedia.org/wiki/%D0%A2%D0%B5%D1%85%D0%BD%D0%BE%D0%BB%D0%BE%D0%B3%D0%B8%D1%8F" TargetMode="External"/><Relationship Id="rId60" Type="http://schemas.openxmlformats.org/officeDocument/2006/relationships/hyperlink" Target="https://www.audit-it.ru/finanaliz/terms/liquidity/working_capital_ratio_means.html" TargetMode="External"/><Relationship Id="rId156" Type="http://schemas.openxmlformats.org/officeDocument/2006/relationships/image" Target="media/image11.png"/><Relationship Id="rId363" Type="http://schemas.openxmlformats.org/officeDocument/2006/relationships/hyperlink" Target="http://www.ikea.com/ru/ru/" TargetMode="External"/><Relationship Id="rId570" Type="http://schemas.openxmlformats.org/officeDocument/2006/relationships/hyperlink" Target="http://ecoyear.ru/documentation/ukaz7/" TargetMode="External"/><Relationship Id="rId1007" Type="http://schemas.openxmlformats.org/officeDocument/2006/relationships/header" Target="header7.xml"/><Relationship Id="rId1214" Type="http://schemas.openxmlformats.org/officeDocument/2006/relationships/hyperlink" Target="http://www.ako.ru/PRESS/MESS/TEXT/impotrozameshenie.asp" TargetMode="External"/><Relationship Id="rId1421" Type="http://schemas.openxmlformats.org/officeDocument/2006/relationships/hyperlink" Target="http://ekonomika.snauka.ru/2014/06/5092" TargetMode="External"/><Relationship Id="rId223" Type="http://schemas.openxmlformats.org/officeDocument/2006/relationships/hyperlink" Target="http://elib.bspu.by/bitstream/doc/5098/1/%D0%9E%D0%B1%D1%80%D0%B0%D0%B7%D0%BE%D0%B2%D0%B0%D0%BD%D0%B8%D0%B5%20%D0%B2%20%D0%B8%D0%BD%D1%82.pdf" TargetMode="External"/><Relationship Id="rId430"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68" Type="http://schemas.openxmlformats.org/officeDocument/2006/relationships/hyperlink" Target="http://www.belaruspartisan.org/economic/368506/" TargetMode="External"/><Relationship Id="rId875" Type="http://schemas.openxmlformats.org/officeDocument/2006/relationships/hyperlink" Target="http://www.donbass-info.com/content/view/26369/26380" TargetMode="External"/><Relationship Id="rId1060" Type="http://schemas.openxmlformats.org/officeDocument/2006/relationships/hyperlink" Target="http://www.kemerovo.ru/archive/file/2282/2015_.docx" TargetMode="External"/><Relationship Id="rId1298" Type="http://schemas.openxmlformats.org/officeDocument/2006/relationships/hyperlink" Target="http://elibrary.ru/contents.asp?issueid=1113904&amp;selid=18923818" TargetMode="External"/><Relationship Id="rId528" Type="http://schemas.openxmlformats.org/officeDocument/2006/relationships/hyperlink" Target="http://economy.gov.ru/" TargetMode="External"/><Relationship Id="rId735" Type="http://schemas.openxmlformats.org/officeDocument/2006/relationships/hyperlink" Target="https://www.autostat.ru/test_draiv_7d/29315/" TargetMode="External"/><Relationship Id="rId942" Type="http://schemas.openxmlformats.org/officeDocument/2006/relationships/hyperlink" Target="http://inosmi.ru/world/20131210/215530594.html-%20&#1048;&#1053;&#1054;&#1057;&#1052;&#1048;.&#1056;&#1059;" TargetMode="External"/><Relationship Id="rId1158" Type="http://schemas.openxmlformats.org/officeDocument/2006/relationships/image" Target="media/image68.png"/><Relationship Id="rId1365" Type="http://schemas.openxmlformats.org/officeDocument/2006/relationships/image" Target="media/image89.png"/><Relationship Id="rId167" Type="http://schemas.openxmlformats.org/officeDocument/2006/relationships/hyperlink" Target="http://www.belstat.gov.by/ofitsialnaya-statistika/solialnaya-sfera/obrazovanie/godovye-dannye_5/osnovnye-pokazateli-obrazovaniya/" TargetMode="External"/><Relationship Id="rId374" Type="http://schemas.openxmlformats.org/officeDocument/2006/relationships/hyperlink" Target="http://www.zavtrasessiya.com/index.pl?act=PRODUCT&amp;id=171" TargetMode="External"/><Relationship Id="rId581" Type="http://schemas.openxmlformats.org/officeDocument/2006/relationships/hyperlink" Target="http://gtmarket.ru/ratings/environmental-performance-index/info" TargetMode="External"/><Relationship Id="rId1018" Type="http://schemas.openxmlformats.org/officeDocument/2006/relationships/image" Target="media/image57.jpg"/><Relationship Id="rId1225" Type="http://schemas.openxmlformats.org/officeDocument/2006/relationships/hyperlink" Target="https://myfin.by/wiki/term/saldo" TargetMode="External"/><Relationship Id="rId71" Type="http://schemas.openxmlformats.org/officeDocument/2006/relationships/hyperlink" Target="http://megabook.ru/article/%d0%91%d1%80%d1%83%d1%81%d1%8c%d1%8f" TargetMode="External"/><Relationship Id="rId234" Type="http://schemas.openxmlformats.org/officeDocument/2006/relationships/hyperlink" Target="http://elib.bspu.by/bitstream/doc/5098/1/%D0%9E%D0%B1%D1%80%D0%B0%D0%B7%D0%BE%D0%B2%D0%B0%D0%BD%D0%B8%D0%B5%20%D0%B2%20%D0%B8%D0%BD%D1%82.pdf" TargetMode="External"/><Relationship Id="rId679"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02" Type="http://schemas.openxmlformats.org/officeDocument/2006/relationships/hyperlink" Target="http://searchengineland.com/google-reveals-20-percent-queries-voice-queries-249917" TargetMode="External"/><Relationship Id="rId886" Type="http://schemas.openxmlformats.org/officeDocument/2006/relationships/hyperlink" Target="http://militaryarms.ru/" TargetMode="External"/><Relationship Id="rId2" Type="http://schemas.openxmlformats.org/officeDocument/2006/relationships/styles" Target="styles.xml"/><Relationship Id="rId29" Type="http://schemas.openxmlformats.org/officeDocument/2006/relationships/image" Target="media/image5.jpg"/><Relationship Id="rId441"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539" Type="http://schemas.openxmlformats.org/officeDocument/2006/relationships/image" Target="media/image37.jpg"/><Relationship Id="rId746" Type="http://schemas.openxmlformats.org/officeDocument/2006/relationships/hyperlink" Target="http://autodrop.ru/autonews/1184-ceny-na-avto-2017.html" TargetMode="External"/><Relationship Id="rId1071" Type="http://schemas.openxmlformats.org/officeDocument/2006/relationships/hyperlink" Target="http://works.doklad.ru/view/-HnnOdfnLYo.html" TargetMode="External"/><Relationship Id="rId1169" Type="http://schemas.openxmlformats.org/officeDocument/2006/relationships/hyperlink" Target="http://www.hr-portal.ru/article/trendy-razvitiya-hrm-tehnologiy-2014" TargetMode="External"/><Relationship Id="rId1376" Type="http://schemas.openxmlformats.org/officeDocument/2006/relationships/hyperlink" Target="http://www.gks.ru/wps/wcm/" TargetMode="External"/><Relationship Id="rId178" Type="http://schemas.openxmlformats.org/officeDocument/2006/relationships/hyperlink" Target="http://www.belstat.gov.by/ofitsialnaya-statistika/solialnaya-sfera/obrazovanie/godovye-dannye_5/osnovnye-pokazateli-obrazovaniya/" TargetMode="External"/><Relationship Id="rId301"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953" Type="http://schemas.openxmlformats.org/officeDocument/2006/relationships/hyperlink" Target="http://www.nat-geo.ru/planet/50995-na-zemle-mozhet-ne-ostatsya-pchel/" TargetMode="External"/><Relationship Id="rId1029" Type="http://schemas.openxmlformats.org/officeDocument/2006/relationships/hyperlink" Target="http://base.garant.ru/1305454/" TargetMode="External"/><Relationship Id="rId1236" Type="http://schemas.openxmlformats.org/officeDocument/2006/relationships/hyperlink" Target="https://www.gov.uk/government/uploads/system/uploads/attachment_data/file/32450/11-1387-innovation-and-research-strategy-for-growth.pdf" TargetMode="External"/><Relationship Id="rId82" Type="http://schemas.openxmlformats.org/officeDocument/2006/relationships/hyperlink" Target="http://megabook.ru/article/%d0%9b%d0%b5%d1%81%d0%b3%d0%b0%d1%84%d1%82%20%d0%9f%d0%b5%d1%82%d1%80%20%d0%a4%d1%80%d0%b0%d0%bd%d1%86%d0%b5%d0%b2%d0%b8%d1%87" TargetMode="External"/><Relationship Id="rId385" Type="http://schemas.openxmlformats.org/officeDocument/2006/relationships/hyperlink" Target="https://docviewer.yandex.by/view/437124499/?*=iuzvh3LgCxvFbhvoxTFCdZ5KdGp7InVybCI6Imh0dHA6Ly93d3cuc3JyYi5uaWtzLmJ5L2luZm8vcHJvZ3JhbS5wZGYiLCJ0aXRsZSI6InByb2dyYW0ucGRmIiwidWlkIjoiNDM3MTI0NDk5IiwieXUiOiI4Mjg0NDg1MzYxNDc3NjA1ODM0Iiwibm9pZnJhbWUiOnRydWUsInRzIjoxNDkxNzYzMTE0MzczfQ%3D%3D&amp;lang=ru" TargetMode="External"/><Relationship Id="rId592" Type="http://schemas.openxmlformats.org/officeDocument/2006/relationships/hyperlink" Target="http://www.ecologytarget.ru/tarecs-34-1.html" TargetMode="External"/><Relationship Id="rId606" Type="http://schemas.openxmlformats.org/officeDocument/2006/relationships/hyperlink" Target="http://www.oecdbetterlifeindex.org/ru/" TargetMode="External"/><Relationship Id="rId813" Type="http://schemas.openxmlformats.org/officeDocument/2006/relationships/hyperlink" Target="https://spark.ru/startup/se-ranking/blog/19483/pochemu-golosovoj-poisk-glavnij-trend-2017" TargetMode="External"/><Relationship Id="rId245" Type="http://schemas.openxmlformats.org/officeDocument/2006/relationships/hyperlink" Target="http://elib.bspu.by/bitstream/doc/5098/1/%D0%9E%D0%B1%D1%80%D0%B0%D0%B7%D0%BE%D0%B2%D0%B0%D0%BD%D0%B8%D0%B5%20%D0%B2%20%D0%B8%D0%BD%D1%82.pdf" TargetMode="External"/><Relationship Id="rId452"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897" Type="http://schemas.openxmlformats.org/officeDocument/2006/relationships/hyperlink" Target="https://www.psycho.ru/library/2838" TargetMode="External"/><Relationship Id="rId1082" Type="http://schemas.openxmlformats.org/officeDocument/2006/relationships/hyperlink" Target="https://www.sba.gov/about-sba/sba-newsroom" TargetMode="External"/><Relationship Id="rId1303" Type="http://schemas.openxmlformats.org/officeDocument/2006/relationships/hyperlink" Target="http://elibrary.ru/item.asp?id=17783263" TargetMode="External"/><Relationship Id="rId105" Type="http://schemas.openxmlformats.org/officeDocument/2006/relationships/hyperlink" Target="http://megabook.ru/article/%d0%9a%d0%98%d0%9c%20%d0%9d%d0%b5%d0%bb%d0%bb%d0%b8%20%d0%92%d0%bb%d0%b0%d0%b4%d0%b8%d0%bc%d0%b8%d1%80%d0%be%d0%b2%d0%bd%d0%b0%20%5b%d1%81%d0%bf%d0%be%d1%80%d1%82%5d" TargetMode="External"/><Relationship Id="rId312"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757" Type="http://schemas.openxmlformats.org/officeDocument/2006/relationships/hyperlink" Target="http://www.oracle.com/" TargetMode="External"/><Relationship Id="rId964" Type="http://schemas.openxmlformats.org/officeDocument/2006/relationships/hyperlink" Target="http://www.popmech.ru/science/327552-roboty-pchely-i-neobychnyy-gel-smogut-li-drony-zamenit-nasekomykh/" TargetMode="External"/><Relationship Id="rId1387" Type="http://schemas.openxmlformats.org/officeDocument/2006/relationships/hyperlink" Target="http://kemerovostat.gks.ru/wps/wcm/connect/rosstat_ts/" TargetMode="External"/><Relationship Id="rId93" Type="http://schemas.openxmlformats.org/officeDocument/2006/relationships/hyperlink" Target="http://megabook.ru/article/%d0%9b%d0%b0%d1%82%d1%8b%d0%bd%d0%b8%d0%bd%d0%b0%20%d0%9b%d0%b0%d1%80%d0%b8%d1%81%d0%b0%20%d0%a1%d0%b5%d0%bc%d0%b5%d0%bd%d0%be%d0%b2%d0%bd%d0%b0" TargetMode="External"/><Relationship Id="rId189" Type="http://schemas.openxmlformats.org/officeDocument/2006/relationships/hyperlink" Target="http://www.belstat.gov.by/ofitsialnaya-statistika/solialnaya-sfera/obrazovanie/godovye-dannye_5/osnovnye-pokazateli-obrazovaniya/" TargetMode="External"/><Relationship Id="rId396" Type="http://schemas.openxmlformats.org/officeDocument/2006/relationships/hyperlink" Target="http://www.rgdrzn.ru/" TargetMode="External"/><Relationship Id="rId617" Type="http://schemas.openxmlformats.org/officeDocument/2006/relationships/hyperlink" Target="http://www.energya.by/kak-razvivayutsya-alternativnayia-energetika-v-belarusi/" TargetMode="External"/><Relationship Id="rId824" Type="http://schemas.openxmlformats.org/officeDocument/2006/relationships/hyperlink" Target="https://spark.ru/startup/se-ranking/blog/19483/pochemu-golosovoj-poisk-glavnij-trend-2017" TargetMode="External"/><Relationship Id="rId1247" Type="http://schemas.openxmlformats.org/officeDocument/2006/relationships/hyperlink" Target="http://press-service.uz/ru/news/5226/" TargetMode="External"/><Relationship Id="rId256" Type="http://schemas.openxmlformats.org/officeDocument/2006/relationships/hyperlink" Target="http://elib.bspu.by/bitstream/doc/5098/1/%D0%9E%D0%B1%D1%80%D0%B0%D0%B7%D0%BE%D0%B2%D0%B0%D0%BD%D0%B8%D0%B5%20%D0%B2%20%D0%B8%D0%BD%D1%82.pdf" TargetMode="External"/><Relationship Id="rId463" Type="http://schemas.openxmlformats.org/officeDocument/2006/relationships/hyperlink" Target="http://zarplatyinfo.ru/v_mire/zarplata-v-belarusi-v-dollarax-i-rossijskix-rublyax-srednyaya-v-2015-2016-godu.html.%20&#8211;%20&#1044;&#1072;&#1090;&#1072;%20&#1076;&#1086;&#1089;&#1090;&#1091;&#1087;&#1072;%2014.04.2017" TargetMode="External"/><Relationship Id="rId670" Type="http://schemas.openxmlformats.org/officeDocument/2006/relationships/hyperlink" Target="https://myfin.by/wiki/term/posobie-po-bezrabotice" TargetMode="External"/><Relationship Id="rId1093" Type="http://schemas.openxmlformats.org/officeDocument/2006/relationships/hyperlink" Target="http://works.doklad.ru/view/-HnnOdfnLYo.html" TargetMode="External"/><Relationship Id="rId1107" Type="http://schemas.openxmlformats.org/officeDocument/2006/relationships/hyperlink" Target="http://heaclub.ru/pravilnoe-pitanie-dlya-zhenskoj-krasoty-poleznye-produkty-dlya-krasoty-i-zdorovya-kozhi-i-volos" TargetMode="External"/><Relationship Id="rId1314" Type="http://schemas.openxmlformats.org/officeDocument/2006/relationships/hyperlink" Target="https://ru.wikipedia.org/wiki/%D0%A3%D1%80%D0%BE%D0%B2%D0%B5%D0%BD%D1%8C_%D0%B6%D0%B8%D0%B7%D0%BD%D0%B8" TargetMode="External"/><Relationship Id="rId116" Type="http://schemas.openxmlformats.org/officeDocument/2006/relationships/image" Target="media/image10.png"/><Relationship Id="rId323" Type="http://schemas.openxmlformats.org/officeDocument/2006/relationships/hyperlink" Target="https://vk.com/away.php?to=http%3A%2F%2Fwww.nalog.gov.by%2Fru%2Fnalog-nagruzka-economica-ru%2F&amp;cc_key=" TargetMode="External"/><Relationship Id="rId530" Type="http://schemas.openxmlformats.org/officeDocument/2006/relationships/hyperlink" Target="http://economy.gov.ru/" TargetMode="External"/><Relationship Id="rId768" Type="http://schemas.openxmlformats.org/officeDocument/2006/relationships/hyperlink" Target="https://thenextweb.com/insider/2017/03/14/5-ways-voice-search-will-affect-seo-2017/" TargetMode="External"/><Relationship Id="rId975" Type="http://schemas.openxmlformats.org/officeDocument/2006/relationships/hyperlink" Target="http://www.popmech.ru/science/327552-roboty-pchely-i-neobychnyy-gel-smogut-li-drony-zamenit-nasekomykh/" TargetMode="External"/><Relationship Id="rId1160" Type="http://schemas.openxmlformats.org/officeDocument/2006/relationships/hyperlink" Target="http://efsol.ru/solutions/hrm-automation.html" TargetMode="External"/><Relationship Id="rId1398" Type="http://schemas.openxmlformats.org/officeDocument/2006/relationships/image" Target="media/image90.png"/><Relationship Id="rId628" Type="http://schemas.openxmlformats.org/officeDocument/2006/relationships/hyperlink" Target="http://www.energya.by/kak-razvivayutsya-alternativnayia-energetika-v-belarusi/" TargetMode="External"/><Relationship Id="rId835" Type="http://schemas.openxmlformats.org/officeDocument/2006/relationships/hyperlink" Target="http://vegetarianskij.ru/kak-dobyvayut-mex-dlya-shub-iz-norki-lisicy-i-pesca/" TargetMode="External"/><Relationship Id="rId1258" Type="http://schemas.openxmlformats.org/officeDocument/2006/relationships/hyperlink" Target="http://www.grandars.ru/college/ekonomika-firmy/oplata-truda.html" TargetMode="External"/><Relationship Id="rId267" Type="http://schemas.openxmlformats.org/officeDocument/2006/relationships/hyperlink" Target="http://www.belstat.gov.by/" TargetMode="External"/><Relationship Id="rId474" Type="http://schemas.openxmlformats.org/officeDocument/2006/relationships/hyperlink" Target="http://zarplatyinfo.ru/v_mire/zarplata-v-belarusi-v-dollarax-i-rossijskix-rublyax-srednyaya-v-2015-2016-godu.html.%20&#8211;%20&#1044;&#1072;&#1090;&#1072;%20&#1076;&#1086;&#1089;&#1090;&#1091;&#1087;&#1072;%2014.04.2017" TargetMode="External"/><Relationship Id="rId1020" Type="http://schemas.openxmlformats.org/officeDocument/2006/relationships/image" Target="media/image59.jpg"/><Relationship Id="rId1118" Type="http://schemas.openxmlformats.org/officeDocument/2006/relationships/hyperlink" Target="http://heaclub.ru/pravilnoe-pitanie-dlya-zhenskoj-krasoty-poleznye-produkty-dlya-krasoty-i-zdorovya-kozhi-i-volos" TargetMode="External"/><Relationship Id="rId1325" Type="http://schemas.openxmlformats.org/officeDocument/2006/relationships/hyperlink" Target="http://old.dnr-online.ru/wp-content/uploads/2016/05/PrikazMinTSP_N4_2_04022015.pdf" TargetMode="External"/><Relationship Id="rId127" Type="http://schemas.openxmlformats.org/officeDocument/2006/relationships/hyperlink" Target="http://vedkuzbass.ru/index.php/mezhdunarodnoe-i-mezhregionalnoe-sotrudnichestvo/itogived" TargetMode="External"/><Relationship Id="rId681"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79" Type="http://schemas.openxmlformats.org/officeDocument/2006/relationships/hyperlink" Target="https://thenextweb.com/insider/2017/03/14/5-ways-voice-search-will-affect-seo-2017/" TargetMode="External"/><Relationship Id="rId902" Type="http://schemas.openxmlformats.org/officeDocument/2006/relationships/hyperlink" Target="http://government.ru/" TargetMode="External"/><Relationship Id="rId986" Type="http://schemas.openxmlformats.org/officeDocument/2006/relationships/hyperlink" Target="https://hi-news.ru/eto-interesno/video-roboty-pomogayushhie-uchyonym-nablyudat-za-dikoj-prirodoj.html%20-%20Hi-news.ru" TargetMode="External"/><Relationship Id="rId31" Type="http://schemas.openxmlformats.org/officeDocument/2006/relationships/header" Target="header2.xml"/><Relationship Id="rId334" Type="http://schemas.openxmlformats.org/officeDocument/2006/relationships/hyperlink" Target="https://vk.com/away.php?to=http%3A%2F%2Fwww.nalog.gov.by%2Fru%2Fkrupnie-platelschiki%2Fview%2Fob-uchastii-krupnyx-platelschikov-v-formirovanii-doxodov-bjudzheta-za-2015-god-21637%2F&amp;cc_key=" TargetMode="External"/><Relationship Id="rId541" Type="http://schemas.openxmlformats.org/officeDocument/2006/relationships/image" Target="media/image43.png"/><Relationship Id="rId639"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1171" Type="http://schemas.openxmlformats.org/officeDocument/2006/relationships/hyperlink" Target="http://www.hr-portal.ru/article/trendy-razvitiya-hrm-tehnologiy-2014" TargetMode="External"/><Relationship Id="rId1269" Type="http://schemas.openxmlformats.org/officeDocument/2006/relationships/hyperlink" Target="https://ru.wikipedia.org/wiki/%D0%9E%D0%B1%D1%81%D0%BB%D0%B5%D0%B4%D0%BE%D0%B2%D0%B0%D0%BD%D0%B8%D0%B5_%D0%BD%D0%B0%D1%81%D0%B5%D0%BB%D0%B5%D0%BD%D0%B8%D1%8F_%D0%BF%D0%BE_%D0%BF%D1%80%D0%BE%D0%B1%D0%BB%D0%B5%D0%BC%D0%B0%D0%BC_%D0%B7%D0%B0%D0%BD%D1%8F%D1%82%D0%BE%D1%81%D1%82%D0%B8" TargetMode="External"/><Relationship Id="rId180" Type="http://schemas.openxmlformats.org/officeDocument/2006/relationships/hyperlink" Target="http://www.belstat.gov.by/ofitsialnaya-statistika/solialnaya-sfera/obrazovanie/godovye-dannye_5/osnovnye-pokazateli-obrazovaniya/" TargetMode="External"/><Relationship Id="rId278"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01" Type="http://schemas.openxmlformats.org/officeDocument/2006/relationships/image" Target="media/image36.png"/><Relationship Id="rId846" Type="http://schemas.openxmlformats.org/officeDocument/2006/relationships/hyperlink" Target="http://vegetarianskij.ru/kak-dobyvayut-mex-dlya-shub-iz-norki-lisicy-i-pesca/" TargetMode="External"/><Relationship Id="rId1031" Type="http://schemas.openxmlformats.org/officeDocument/2006/relationships/hyperlink" Target="http://72.mchs.gov.ru/" TargetMode="External"/><Relationship Id="rId1129" Type="http://schemas.openxmlformats.org/officeDocument/2006/relationships/hyperlink" Target="http://zapiskiprofana.ru/pravilnoe-pitanie-dlya-zhenshhin/" TargetMode="External"/><Relationship Id="rId485" Type="http://schemas.openxmlformats.org/officeDocument/2006/relationships/hyperlink" Target="http://zarplatyinfo.ru/v_mire/zarplata-v-belarusi-v-dollarax-i-rossijskix-rublyax-srednyaya-v-2015-2016-godu.html.%20&#8211;%20&#1044;&#1072;&#1090;&#1072;%20&#1076;&#1086;&#1089;&#1090;&#1091;&#1087;&#1072;%2014.04.2017" TargetMode="External"/><Relationship Id="rId692"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06"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3" Type="http://schemas.openxmlformats.org/officeDocument/2006/relationships/hyperlink" Target="http://www.grandars.ru/college/pravovedenie/bankrot.html" TargetMode="External"/><Relationship Id="rId1336" Type="http://schemas.openxmlformats.org/officeDocument/2006/relationships/hyperlink" Target="https://ru.wikipedia.org/wiki/&#1057;&#1086;&#1094;&#1080;&#1072;&#1083;&#1100;&#1085;&#1086;&#1077;" TargetMode="External"/><Relationship Id="rId42" Type="http://schemas.openxmlformats.org/officeDocument/2006/relationships/footer" Target="footer6.xml"/><Relationship Id="rId138" Type="http://schemas.openxmlformats.org/officeDocument/2006/relationships/hyperlink" Target="http://www.customs.ru/index.php?option=com_content&amp;view=article&amp;id=24772:-------2016-&amp;catid=53:2011-01-24-16-29-43" TargetMode="External"/><Relationship Id="rId345" Type="http://schemas.openxmlformats.org/officeDocument/2006/relationships/image" Target="media/image26.png"/><Relationship Id="rId552" Type="http://schemas.openxmlformats.org/officeDocument/2006/relationships/hyperlink" Target="http://progmk.ru/avtoinformator-na-arduino-ozvuchivanie-komand/" TargetMode="External"/><Relationship Id="rId997" Type="http://schemas.openxmlformats.org/officeDocument/2006/relationships/hyperlink" Target="https://hi-news.ru/eto-interesno/video-roboty-pomogayushhie-uchyonym-nablyudat-za-dikoj-prirodoj.html%20-%20Hi-news.ru" TargetMode="External"/><Relationship Id="rId1182" Type="http://schemas.openxmlformats.org/officeDocument/2006/relationships/hyperlink" Target="http://government.ru/docs/11912/" TargetMode="External"/><Relationship Id="rId1403" Type="http://schemas.openxmlformats.org/officeDocument/2006/relationships/image" Target="media/image880.png"/><Relationship Id="rId191" Type="http://schemas.openxmlformats.org/officeDocument/2006/relationships/hyperlink" Target="http://www.belstat.gov.by/ofitsialnaya-statistika/solialnaya-sfera/obrazovanie/godovye-dannye_5/osnovnye-pokazateli-obrazovaniya/" TargetMode="External"/><Relationship Id="rId205" Type="http://schemas.openxmlformats.org/officeDocument/2006/relationships/hyperlink" Target="http://elib.bspu.by/bitstream/doc/5098/1/%D0%9E%D0%B1%D1%80%D0%B0%D0%B7%D0%BE%D0%B2%D0%B0%D0%BD%D0%B8%D0%B5%20%D0%B2%20%D0%B8%D0%BD%D1%82.pdf" TargetMode="External"/><Relationship Id="rId412" Type="http://schemas.openxmlformats.org/officeDocument/2006/relationships/hyperlink" Target="http://www.belstat.gov.by/ofitsialnaya-statistika/ssrd-mvf_2/natsionalnaya-stranitsa-svodnyh-dannyh/zarabotnaya-plata_2/" TargetMode="External"/><Relationship Id="rId857" Type="http://schemas.openxmlformats.org/officeDocument/2006/relationships/hyperlink" Target="http://www.ikirov.ru/news/13425-krasivaya-i-stilnaya-alternativa-naturalnym-meham" TargetMode="External"/><Relationship Id="rId1042" Type="http://schemas.openxmlformats.org/officeDocument/2006/relationships/hyperlink" Target="http://research.cmsmagazine.ru/report-on-communication-policy-of-banks-on-internet-russia/" TargetMode="External"/><Relationship Id="rId289"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96" Type="http://schemas.openxmlformats.org/officeDocument/2006/relationships/hyperlink" Target="https://myfin.by/info/srednyaya-zarplata-v-belarusi" TargetMode="External"/><Relationship Id="rId717"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24" Type="http://schemas.openxmlformats.org/officeDocument/2006/relationships/hyperlink" Target="http://www.grandars.ru/college/ekonomika-firmy/ekonomicheskie-pokazateli.html" TargetMode="External"/><Relationship Id="rId1347" Type="http://schemas.openxmlformats.org/officeDocument/2006/relationships/hyperlink" Target="http://mintrud.donland.ru/" TargetMode="External"/><Relationship Id="rId53" Type="http://schemas.openxmlformats.org/officeDocument/2006/relationships/hyperlink" Target="https://psibook.com/religion/demograficheskiy-potentsial-respubliki-belarus-osnovnye-tendentsii-razvitiya.html" TargetMode="External"/><Relationship Id="rId149" Type="http://schemas.openxmlformats.org/officeDocument/2006/relationships/hyperlink" Target="http://www.customs.ru/index.php?option=com_content&amp;view=article&amp;id=24772:-------2016-&amp;catid=53:2011-01-24-16-29-43" TargetMode="External"/><Relationship Id="rId356" Type="http://schemas.openxmlformats.org/officeDocument/2006/relationships/hyperlink" Target="https://vc.ru/p/ikea-story" TargetMode="External"/><Relationship Id="rId563" Type="http://schemas.openxmlformats.org/officeDocument/2006/relationships/hyperlink" Target="http://ru-ecology.info/post/104037401150002/" TargetMode="External"/><Relationship Id="rId770" Type="http://schemas.openxmlformats.org/officeDocument/2006/relationships/hyperlink" Target="https://thenextweb.com/insider/2017/03/14/5-ways-voice-search-will-affect-seo-2017/" TargetMode="External"/><Relationship Id="rId1193" Type="http://schemas.openxmlformats.org/officeDocument/2006/relationships/hyperlink" Target="http://biz.a42.ru/lenta/show/201606031656-vnesla-li-politika-importozamescheniya-suschestvennyie-izmeneniya-v-kuzbasskoy-ekonomike.html" TargetMode="External"/><Relationship Id="rId1207" Type="http://schemas.openxmlformats.org/officeDocument/2006/relationships/hyperlink" Target="http://biz.a42.ru/lenta/show/201606031656-vnesla-li-politika-importozamescheniya-suschestvennyie-izmeneniya-v-kuzbasskoy-ekonomike.html" TargetMode="External"/><Relationship Id="rId1414" Type="http://schemas.openxmlformats.org/officeDocument/2006/relationships/hyperlink" Target="http://cheloveknauka.com/adaptatsiya-molodyh-spetsialistov-v-sovremennyh-rossiyskih-organizatsiyah" TargetMode="External"/><Relationship Id="rId216" Type="http://schemas.openxmlformats.org/officeDocument/2006/relationships/hyperlink" Target="http://elib.bspu.by/bitstream/doc/5098/1/%D0%9E%D0%B1%D1%80%D0%B0%D0%B7%D0%BE%D0%B2%D0%B0%D0%BD%D0%B8%D0%B5%20%D0%B2%20%D0%B8%D0%BD%D1%82.pdf" TargetMode="External"/><Relationship Id="rId423"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868" Type="http://schemas.openxmlformats.org/officeDocument/2006/relationships/hyperlink" Target="http://dnr-online.ru/" TargetMode="External"/><Relationship Id="rId1053" Type="http://schemas.openxmlformats.org/officeDocument/2006/relationships/hyperlink" Target="http://research.cmsmagazine.ru/report-on-communication-policy-of-banks-on-internet-russia/" TargetMode="External"/><Relationship Id="rId1260" Type="http://schemas.openxmlformats.org/officeDocument/2006/relationships/hyperlink" Target="https://ru.wikipedia.org/wiki/%D0%9C%D0%B5%D0%B6%D0%B4%D1%83%D0%BD%D0%B0%D1%80%D0%BE%D0%B4%D0%BD%D0%B0%D1%8F_%D0%BE%D1%80%D0%B3%D0%B0%D0%BD%D0%B8%D0%B7%D0%B0%D1%86%D0%B8%D1%8F_%D1%82%D1%80%D1%83%D0%B4%D0%B0" TargetMode="External"/><Relationship Id="rId630" Type="http://schemas.openxmlformats.org/officeDocument/2006/relationships/image" Target="media/image46.png"/><Relationship Id="rId728" Type="http://schemas.openxmlformats.org/officeDocument/2006/relationships/hyperlink" Target="https://www.autostat.ru/infographics/29458/" TargetMode="External"/><Relationship Id="rId935" Type="http://schemas.openxmlformats.org/officeDocument/2006/relationships/hyperlink" Target="http://www.finbk.ru/wnews/231/" TargetMode="External"/><Relationship Id="rId1358" Type="http://schemas.openxmlformats.org/officeDocument/2006/relationships/hyperlink" Target="https://ru.wikipedia.org/wiki/%D0%A1%D0%B0%D0%BD%D0%B8%D1%82%D0%B0%D1%80%D0%B8%D1%8F" TargetMode="External"/><Relationship Id="rId64" Type="http://schemas.openxmlformats.org/officeDocument/2006/relationships/hyperlink" Target="http://1fin.ru/?id=410" TargetMode="External"/><Relationship Id="rId367"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574" Type="http://schemas.openxmlformats.org/officeDocument/2006/relationships/hyperlink" Target="http://ecoyear.ru/documentation/ukaz7/" TargetMode="External"/><Relationship Id="rId1120" Type="http://schemas.openxmlformats.org/officeDocument/2006/relationships/hyperlink" Target="http://heaclub.ru/pravilnoe-pitanie-dlya-zhenskoj-krasoty-poleznye-produkty-dlya-krasoty-i-zdorovya-kozhi-i-volos" TargetMode="External"/><Relationship Id="rId1218" Type="http://schemas.openxmlformats.org/officeDocument/2006/relationships/image" Target="media/image75.jpg"/><Relationship Id="rId1425" Type="http://schemas.openxmlformats.org/officeDocument/2006/relationships/footer" Target="footer10.xml"/><Relationship Id="rId227" Type="http://schemas.openxmlformats.org/officeDocument/2006/relationships/hyperlink" Target="http://elib.bspu.by/bitstream/doc/5098/1/%D0%9E%D0%B1%D1%80%D0%B0%D0%B7%D0%BE%D0%B2%D0%B0%D0%BD%D0%B8%D0%B5%20%D0%B2%20%D0%B8%D0%BD%D1%82.pdf" TargetMode="External"/><Relationship Id="rId781" Type="http://schemas.openxmlformats.org/officeDocument/2006/relationships/hyperlink" Target="https://thenextweb.com/insider/2017/03/14/5-ways-voice-search-will-affect-seo-2017/" TargetMode="External"/><Relationship Id="rId879" Type="http://schemas.openxmlformats.org/officeDocument/2006/relationships/hyperlink" Target="http://greenologia.ru/eko-problemy/tyazhelye-metally-pochvu.html" TargetMode="External"/><Relationship Id="rId434"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41"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739" Type="http://schemas.openxmlformats.org/officeDocument/2006/relationships/hyperlink" Target="https://www.autostat.ru/news/29544/" TargetMode="External"/><Relationship Id="rId1064" Type="http://schemas.openxmlformats.org/officeDocument/2006/relationships/hyperlink" Target="http://science.kuzstu.ru/wp-content/Events/Conference/RM/2015/RM15/pages/Articles/IEU/2/70.pdf" TargetMode="External"/><Relationship Id="rId1271" Type="http://schemas.openxmlformats.org/officeDocument/2006/relationships/hyperlink" Target="https://ru.wikipedia.org/wiki/%D0%A2%D1%80%D1%83%D0%B4" TargetMode="External"/><Relationship Id="rId1369" Type="http://schemas.openxmlformats.org/officeDocument/2006/relationships/hyperlink" Target="http://www.gks.ru/wps/wcm/" TargetMode="External"/><Relationship Id="rId280"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01" Type="http://schemas.openxmlformats.org/officeDocument/2006/relationships/hyperlink" Target="http://zarplatyinfo.ru/v_mire/zarplata-v-belarusi-v-dollarax-i-rossijskix-rublyax-srednyaya-v-2015-2016-godu.html.%20&#8211;%20&#1044;&#1072;&#1090;&#1072;%20&#1076;&#1086;&#1089;&#1090;&#1091;&#1087;&#1072;%2014.04.2017" TargetMode="External"/><Relationship Id="rId946" Type="http://schemas.openxmlformats.org/officeDocument/2006/relationships/hyperlink" Target="http://www.nat-geo.ru/planet/50995-na-zemle-mozhet-ne-ostatsya-pchel/" TargetMode="External"/><Relationship Id="rId1131" Type="http://schemas.openxmlformats.org/officeDocument/2006/relationships/hyperlink" Target="http://zapiskiprofana.ru/pravilnoe-pitanie-dlya-zhenshhin/" TargetMode="External"/><Relationship Id="rId1229" Type="http://schemas.openxmlformats.org/officeDocument/2006/relationships/image" Target="media/image80.png"/><Relationship Id="rId75" Type="http://schemas.openxmlformats.org/officeDocument/2006/relationships/hyperlink" Target="http://megabook.ru/article/%d0%9a%d0%be%d0%bb%d1%8c%d1%86%d0%b0" TargetMode="External"/><Relationship Id="rId140" Type="http://schemas.openxmlformats.org/officeDocument/2006/relationships/hyperlink" Target="http://www.customs.ru/index.php?option=com_content&amp;view=article&amp;id=24772:-------2016-&amp;catid=53:2011-01-24-16-29-43" TargetMode="External"/><Relationship Id="rId378" Type="http://schemas.openxmlformats.org/officeDocument/2006/relationships/hyperlink" Target="http://www.belstat.gov.by/metodologiya/kratkiy-glossariy-statisticheskikh-terminov/26/" TargetMode="External"/><Relationship Id="rId585" Type="http://schemas.openxmlformats.org/officeDocument/2006/relationships/hyperlink" Target="http://gtmarket.ru/ratings/environmental-performance-index/info" TargetMode="External"/><Relationship Id="rId792" Type="http://schemas.openxmlformats.org/officeDocument/2006/relationships/hyperlink" Target="http://searchengineland.com/google-reveals-20-percent-queries-voice-queries-249917" TargetMode="External"/><Relationship Id="rId806" Type="http://schemas.openxmlformats.org/officeDocument/2006/relationships/hyperlink" Target="http://searchengineland.com/google-reveals-20-percent-queries-voice-queries-249917" TargetMode="External"/><Relationship Id="rId6" Type="http://schemas.openxmlformats.org/officeDocument/2006/relationships/endnotes" Target="endnotes.xml"/><Relationship Id="rId238" Type="http://schemas.openxmlformats.org/officeDocument/2006/relationships/hyperlink" Target="http://elib.bspu.by/bitstream/doc/5098/1/%D0%9E%D0%B1%D1%80%D0%B0%D0%B7%D0%BE%D0%B2%D0%B0%D0%BD%D0%B8%D0%B5%20%D0%B2%20%D0%B8%D0%BD%D1%82.pdf" TargetMode="External"/><Relationship Id="rId445"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52" Type="http://schemas.openxmlformats.org/officeDocument/2006/relationships/hyperlink" Target="https://sb-vnedr.ru/about/publication/12468/" TargetMode="External"/><Relationship Id="rId1075" Type="http://schemas.openxmlformats.org/officeDocument/2006/relationships/hyperlink" Target="http://dis.ru/library/detail.php?ID=22695" TargetMode="External"/><Relationship Id="rId1282" Type="http://schemas.openxmlformats.org/officeDocument/2006/relationships/hyperlink" Target="https://regnum.ru/news/economy/1926548.html" TargetMode="External"/><Relationship Id="rId291"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5"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12" Type="http://schemas.openxmlformats.org/officeDocument/2006/relationships/hyperlink" Target="http://ya62.ru/articles/publishing/kadry-dlya-biznesa-zachem-nuzhny-kadrovye-agentstva/" TargetMode="External"/><Relationship Id="rId957" Type="http://schemas.openxmlformats.org/officeDocument/2006/relationships/hyperlink" Target="http://www.nat-geo.ru/planet/50995-na-zemle-mozhet-ne-ostatsya-pchel/" TargetMode="External"/><Relationship Id="rId1142" Type="http://schemas.openxmlformats.org/officeDocument/2006/relationships/hyperlink" Target="https://healthy-zone.ru/pravilnoe-pitanie-dlya-zhenshhin-produktyi-dlya-zhenskogo-zdorovya-i-krasotyi" TargetMode="External"/><Relationship Id="rId86" Type="http://schemas.openxmlformats.org/officeDocument/2006/relationships/hyperlink" Target="http://megabook.ru/article/%d0%9e%d0%bb%d0%b8%d0%bc%d0%bf%d0%b8%d0%b9%d1%81%d0%ba%d0%b8%d0%b5%20%d0%b8%d0%b3%d1%80%d1%8b%20(%d0%bb%d0%b5%d1%82%d0%bd%d0%b8%d0%b5)" TargetMode="External"/><Relationship Id="rId151" Type="http://schemas.openxmlformats.org/officeDocument/2006/relationships/hyperlink" Target="http://www.customs.ru/index.php?option=com_content&amp;view=article&amp;id=24772:-------2016-&amp;catid=53:2011-01-24-16-29-43" TargetMode="External"/><Relationship Id="rId389" Type="http://schemas.openxmlformats.org/officeDocument/2006/relationships/hyperlink" Target="https://docviewer.yandex.by/view/437124499/?*=iuzvh3LgCxvFbhvoxTFCdZ5KdGp7InVybCI6Imh0dHA6Ly93d3cuc3JyYi5uaWtzLmJ5L2luZm8vcHJvZ3JhbS5wZGYiLCJ0aXRsZSI6InByb2dyYW0ucGRmIiwidWlkIjoiNDM3MTI0NDk5IiwieXUiOiI4Mjg0NDg1MzYxNDc3NjA1ODM0Iiwibm9pZnJhbWUiOnRydWUsInRzIjoxNDkxNzYzMTE0MzczfQ%3D%3D&amp;lang=ru" TargetMode="External"/><Relationship Id="rId596" Type="http://schemas.openxmlformats.org/officeDocument/2006/relationships/hyperlink" Target="http://www.ecologytarget.ru/tarecs-34-1.html" TargetMode="External"/><Relationship Id="rId817" Type="http://schemas.openxmlformats.org/officeDocument/2006/relationships/hyperlink" Target="https://spark.ru/startup/se-ranking/blog/19483/pochemu-golosovoj-poisk-glavnij-trend-2017" TargetMode="External"/><Relationship Id="rId1002" Type="http://schemas.openxmlformats.org/officeDocument/2006/relationships/hyperlink" Target="https://hi-news.ru/eto-interesno/video-roboty-pomogayushhie-uchyonym-nablyudat-za-dikoj-prirodoj.html%20-%20Hi-news.ru" TargetMode="External"/><Relationship Id="rId249" Type="http://schemas.openxmlformats.org/officeDocument/2006/relationships/hyperlink" Target="http://elib.bspu.by/bitstream/doc/5098/1/%D0%9E%D0%B1%D1%80%D0%B0%D0%B7%D0%BE%D0%B2%D0%B0%D0%BD%D0%B8%D0%B5%20%D0%B2%20%D0%B8%D0%BD%D1%82.pdf" TargetMode="External"/><Relationship Id="rId456"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63" Type="http://schemas.openxmlformats.org/officeDocument/2006/relationships/hyperlink" Target="https://forbes.kz/blogs/blogsid_116781/" TargetMode="External"/><Relationship Id="rId870" Type="http://schemas.openxmlformats.org/officeDocument/2006/relationships/hyperlink" Target="http://dnr-online.ru/" TargetMode="External"/><Relationship Id="rId1086" Type="http://schemas.openxmlformats.org/officeDocument/2006/relationships/hyperlink" Target="http://r.bookap.info/work/163626/Maloe-predprinimatelstvo-kak-subekt" TargetMode="External"/><Relationship Id="rId1293" Type="http://schemas.openxmlformats.org/officeDocument/2006/relationships/hyperlink" Target="http://www.gks.ru/wps/wcm/connect/rosstat_main/rosstat/ru/statistics/publications/catalog/doc" TargetMode="External"/><Relationship Id="rId1307" Type="http://schemas.openxmlformats.org/officeDocument/2006/relationships/hyperlink" Target="http://elibrary.ru/contents.asp?issueid=1018977&amp;selid=17783263" TargetMode="External"/><Relationship Id="rId109" Type="http://schemas.openxmlformats.org/officeDocument/2006/relationships/hyperlink" Target="http://megabook.ru/article/%d0%a9%d0%b5%d1%80%d0%b1%d0%be%20%d0%92%d0%b8%d1%82%d0%b0%d0%bb%d0%b8%d0%b9%20%d0%92%d0%b5%d0%bd%d0%b5%d0%b4%d0%b8%d0%ba%d1%82%d0%be%d0%b2%d0%b8%d1%87" TargetMode="External"/><Relationship Id="rId316" Type="http://schemas.openxmlformats.org/officeDocument/2006/relationships/hyperlink" Target="http://www.research.by/webroot/delivery/files/pdp2016r04.pdf" TargetMode="External"/><Relationship Id="rId523" Type="http://schemas.openxmlformats.org/officeDocument/2006/relationships/hyperlink" Target="http://economy.gov.ru/" TargetMode="External"/><Relationship Id="rId968" Type="http://schemas.openxmlformats.org/officeDocument/2006/relationships/hyperlink" Target="http://www.popmech.ru/science/327552-roboty-pchely-i-neobychnyy-gel-smogut-li-drony-zamenit-nasekomykh/" TargetMode="External"/><Relationship Id="rId1153" Type="http://schemas.openxmlformats.org/officeDocument/2006/relationships/hyperlink" Target="https://healthy-zone.ru/pravilnoe-pitanie-dlya-zhenshhin-produktyi-dlya-zhenskogo-zdorovya-i-krasotyi" TargetMode="External"/><Relationship Id="rId97" Type="http://schemas.openxmlformats.org/officeDocument/2006/relationships/hyperlink" Target="http://megabook.ru/article/%d0%a7%d0%b0%d1%81%d0%bb%d0%b0%d0%b2%d1%81%d0%ba%d0%b0%20%d0%92%d0%b5%d1%80%d0%b0" TargetMode="External"/><Relationship Id="rId730" Type="http://schemas.openxmlformats.org/officeDocument/2006/relationships/hyperlink" Target="https://www.autostat.ru/infographics/29458/" TargetMode="External"/><Relationship Id="rId828" Type="http://schemas.openxmlformats.org/officeDocument/2006/relationships/hyperlink" Target="http://vegetarianskij.ru/kak-dobyvayut-mex-dlya-shub-iz-norki-lisicy-i-pesca/" TargetMode="External"/><Relationship Id="rId1013" Type="http://schemas.openxmlformats.org/officeDocument/2006/relationships/hyperlink" Target="https://ru.wikipedia.org/wiki/%D0%90%D0%B2%D0%B0%D1%80%D0%B8%D0%B9%D0%BD%D0%BE-%D1%81%D0%BF%D0%B0%D1%81%D0%B0%D1%82%D0%B5%D0%BB%D1%8C%D0%BD%D0%B0%D1%8F_%D1%81%D0%BB%D1%83%D0%B6%D0%B1%D0%B0" TargetMode="External"/><Relationship Id="rId1360" Type="http://schemas.openxmlformats.org/officeDocument/2006/relationships/hyperlink" Target="https://ru.wikipedia.org/wiki/%D0%93%D0%B8%D0%B3%D0%B8%D0%B5%D0%BD%D0%B0" TargetMode="External"/><Relationship Id="rId162" Type="http://schemas.openxmlformats.org/officeDocument/2006/relationships/image" Target="media/image17.png"/><Relationship Id="rId467" Type="http://schemas.openxmlformats.org/officeDocument/2006/relationships/hyperlink" Target="http://zarplatyinfo.ru/v_mire/zarplata-v-belarusi-v-dollarax-i-rossijskix-rublyax-srednyaya-v-2015-2016-godu.html.%20&#8211;%20&#1044;&#1072;&#1090;&#1072;%20&#1076;&#1086;&#1089;&#1090;&#1091;&#1087;&#1072;%2014.04.2017" TargetMode="External"/><Relationship Id="rId1097" Type="http://schemas.openxmlformats.org/officeDocument/2006/relationships/hyperlink" Target="https://rae.ru/forum2012/327/3248" TargetMode="External"/><Relationship Id="rId1220" Type="http://schemas.openxmlformats.org/officeDocument/2006/relationships/image" Target="media/image77.png"/><Relationship Id="rId1318" Type="http://schemas.openxmlformats.org/officeDocument/2006/relationships/hyperlink" Target="https://ru.wikipedia.org/wiki/%D0%9A%D0%BE%D0%BD%D1%81%D1%82%D0%B8%D1%82%D1%83%D1%86%D0%B8%D1%8F" TargetMode="External"/><Relationship Id="rId674" Type="http://schemas.openxmlformats.org/officeDocument/2006/relationships/hyperlink" Target="https://myfin.by/wiki/term/posobie-po-bezrabotice" TargetMode="External"/><Relationship Id="rId881" Type="http://schemas.openxmlformats.org/officeDocument/2006/relationships/hyperlink" Target="http://greenologia.ru/eko-problemy/tyazhelye-metally-pochvu.html" TargetMode="External"/><Relationship Id="rId979" Type="http://schemas.openxmlformats.org/officeDocument/2006/relationships/hyperlink" Target="http://www.popmech.ru/science/327552-roboty-pchely-i-neobychnyy-gel-smogut-li-drony-zamenit-nasekomykh/" TargetMode="External"/><Relationship Id="rId327" Type="http://schemas.openxmlformats.org/officeDocument/2006/relationships/hyperlink" Target="https://vk.com/away.php?to=http%3A%2F%2Fwww.belstat.gov.by%2Fofitsialnaya-statistika%2Fmakroekonomika-i-okruzhayushchaya-sreda%2Ffinansy%2Fgodovye-dannye_14%2Ffinansovye-rezultaty-raboty-organizatsii%2F&amp;cc_key=" TargetMode="External"/><Relationship Id="rId534" Type="http://schemas.openxmlformats.org/officeDocument/2006/relationships/hyperlink" Target="http://www.cfin.ru/finanalysis/banks/scoring.shtml" TargetMode="External"/><Relationship Id="rId741" Type="http://schemas.openxmlformats.org/officeDocument/2006/relationships/hyperlink" Target="https://www.autostat.ru/editorial_column/28697/" TargetMode="External"/><Relationship Id="rId839" Type="http://schemas.openxmlformats.org/officeDocument/2006/relationships/hyperlink" Target="http://vegetarianskij.ru/kak-dobyvayut-mex-dlya-shub-iz-norki-lisicy-i-pesca/" TargetMode="External"/><Relationship Id="rId1164" Type="http://schemas.openxmlformats.org/officeDocument/2006/relationships/hyperlink" Target="http://www.hr-portal.ru/article/trendy-razvitiya-hrm-tehnologiy-2014" TargetMode="External"/><Relationship Id="rId1371" Type="http://schemas.openxmlformats.org/officeDocument/2006/relationships/hyperlink" Target="http://www.gks.ru/wps/wcm/" TargetMode="External"/><Relationship Id="rId173" Type="http://schemas.openxmlformats.org/officeDocument/2006/relationships/hyperlink" Target="http://www.belstat.gov.by/ofitsialnaya-statistika/solialnaya-sfera/obrazovanie/godovye-dannye_5/osnovnye-pokazateli-obrazovaniya/" TargetMode="External"/><Relationship Id="rId380" Type="http://schemas.openxmlformats.org/officeDocument/2006/relationships/hyperlink" Target="http://www.belstat.gov.by/metodologiya/kratkiy-glossariy-statisticheskikh-terminov/26/" TargetMode="External"/><Relationship Id="rId601" Type="http://schemas.openxmlformats.org/officeDocument/2006/relationships/hyperlink" Target="http://www.ecologytarget.ru/tarecs-34-1.html" TargetMode="External"/><Relationship Id="rId1024" Type="http://schemas.openxmlformats.org/officeDocument/2006/relationships/image" Target="media/image55.png"/><Relationship Id="rId1231" Type="http://schemas.openxmlformats.org/officeDocument/2006/relationships/hyperlink" Target="https://www.gov.uk/government/uploads/system/uploads/attachment_data/file/32450/11-1387-innovation-and-research-strategy-for-growth.pdf" TargetMode="External"/><Relationship Id="rId240" Type="http://schemas.openxmlformats.org/officeDocument/2006/relationships/hyperlink" Target="http://elib.bspu.by/bitstream/doc/5098/1/%D0%9E%D0%B1%D1%80%D0%B0%D0%B7%D0%BE%D0%B2%D0%B0%D0%BD%D0%B8%D0%B5%20%D0%B2%20%D0%B8%D0%BD%D1%82.pdf" TargetMode="External"/><Relationship Id="rId478" Type="http://schemas.openxmlformats.org/officeDocument/2006/relationships/hyperlink" Target="http://zarplatyinfo.ru/v_mire/zarplata-v-belarusi-v-dollarax-i-rossijskix-rublyax-srednyaya-v-2015-2016-godu.html.%20&#8211;%20&#1044;&#1072;&#1090;&#1072;%20&#1076;&#1086;&#1089;&#1090;&#1091;&#1087;&#1072;%2014.04.2017" TargetMode="External"/><Relationship Id="rId685"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92" Type="http://schemas.openxmlformats.org/officeDocument/2006/relationships/hyperlink" Target="https://ria.ru/world/20170310/1489727697.html" TargetMode="External"/><Relationship Id="rId906" Type="http://schemas.openxmlformats.org/officeDocument/2006/relationships/hyperlink" Target="http://www.grandars.ru/student/finansy/metallicheskie-dengi.html" TargetMode="External"/><Relationship Id="rId1329" Type="http://schemas.openxmlformats.org/officeDocument/2006/relationships/hyperlink" Target="http://old.dnr-online.ru/wp-content/uploads/2016/05/PrikazMinTSP_N4_2_04022015.pdf" TargetMode="External"/><Relationship Id="rId35" Type="http://schemas.openxmlformats.org/officeDocument/2006/relationships/footer" Target="footer3.xml"/><Relationship Id="rId100" Type="http://schemas.openxmlformats.org/officeDocument/2006/relationships/hyperlink" Target="http://megabook.ru/article/%d0%9a%d0%be%d1%80%d0%b1%d1%83%d1%82%20%d0%9e%d0%bb%d1%8c%d0%b3%d0%b0%20%d0%92%d0%b0%d0%bb%d0%b5%d0%bd%d1%82%d0%b8%d0%bd%d0%be%d0%b2%d0%bd%d0%b0%20%5b%d1%81%d0%bf%d0%be%d1%80%d1%82%5d" TargetMode="External"/><Relationship Id="rId338" Type="http://schemas.openxmlformats.org/officeDocument/2006/relationships/hyperlink" Target="http://www.belstat.gov.by/ofitsialnaya-statistika/publications/izdania/public_bulletin/index_6948/" TargetMode="External"/><Relationship Id="rId545" Type="http://schemas.openxmlformats.org/officeDocument/2006/relationships/hyperlink" Target="http://progmk.ru/avtoinformator-na-arduino-ozvuchivanie-komand/" TargetMode="External"/><Relationship Id="rId752" Type="http://schemas.openxmlformats.org/officeDocument/2006/relationships/hyperlink" Target="http://autodrop.ru/autonews/1184-ceny-na-avto-2017.html" TargetMode="External"/><Relationship Id="rId1175" Type="http://schemas.openxmlformats.org/officeDocument/2006/relationships/hyperlink" Target="http://mir-nauki.com/" TargetMode="External"/><Relationship Id="rId1382" Type="http://schemas.openxmlformats.org/officeDocument/2006/relationships/hyperlink" Target="http://kemerovostat.gks.ru/wps/wcm/connect/rosstat_ts/" TargetMode="External"/><Relationship Id="rId184" Type="http://schemas.openxmlformats.org/officeDocument/2006/relationships/hyperlink" Target="http://www.belstat.gov.by/ofitsialnaya-statistika/solialnaya-sfera/obrazovanie/godovye-dannye_5/osnovnye-pokazateli-obrazovaniya/" TargetMode="External"/><Relationship Id="rId391" Type="http://schemas.openxmlformats.org/officeDocument/2006/relationships/image" Target="media/image32.jpg"/><Relationship Id="rId405" Type="http://schemas.openxmlformats.org/officeDocument/2006/relationships/hyperlink" Target="https://myfin.by/info/inflyaciya" TargetMode="External"/><Relationship Id="rId612" Type="http://schemas.openxmlformats.org/officeDocument/2006/relationships/hyperlink" Target="http://www.oecdbetterlifeindex.org/ru/" TargetMode="External"/><Relationship Id="rId1035" Type="http://schemas.openxmlformats.org/officeDocument/2006/relationships/hyperlink" Target="http://rulaws.ru/Lesnoy-kodeks/" TargetMode="External"/><Relationship Id="rId1242" Type="http://schemas.openxmlformats.org/officeDocument/2006/relationships/hyperlink" Target="https://www.gov.uk/government/uploads/system/uploads/attachment_data/file/32450/11-1387-innovation-and-research-strategy-for-growth.pdf" TargetMode="External"/><Relationship Id="rId251" Type="http://schemas.openxmlformats.org/officeDocument/2006/relationships/hyperlink" Target="http://elib.bspu.by/bitstream/doc/5098/1/%D0%9E%D0%B1%D1%80%D0%B0%D0%B7%D0%BE%D0%B2%D0%B0%D0%BD%D0%B8%D0%B5%20%D0%B2%20%D0%B8%D0%BD%D1%82.pdf" TargetMode="External"/><Relationship Id="rId489" Type="http://schemas.openxmlformats.org/officeDocument/2006/relationships/hyperlink" Target="http://zarplatyinfo.ru/v_mire/zarplata-v-belarusi-v-dollarax-i-rossijskix-rublyax-srednyaya-v-2015-2016-godu.html.%20&#8211;%20&#1044;&#1072;&#1090;&#1072;%20&#1076;&#1086;&#1089;&#1090;&#1091;&#1087;&#1072;%2014.04.2017" TargetMode="External"/><Relationship Id="rId696"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7" Type="http://schemas.openxmlformats.org/officeDocument/2006/relationships/hyperlink" Target="http://www.grandars.ru/student/fin-m/denezhnyy-potok.html" TargetMode="External"/><Relationship Id="rId1102" Type="http://schemas.openxmlformats.org/officeDocument/2006/relationships/hyperlink" Target="http://heaclub.ru/pravilnoe-pitanie-dlya-zhenskoj-krasoty-poleznye-produkty-dlya-krasoty-i-zdorovya-kozhi-i-volos" TargetMode="External"/><Relationship Id="rId46" Type="http://schemas.openxmlformats.org/officeDocument/2006/relationships/hyperlink" Target="https://psibook.com/religion/demograficheskiy-potentsial-respubliki-belarus-osnovnye-tendentsii-razvitiya.html" TargetMode="External"/><Relationship Id="rId349" Type="http://schemas.openxmlformats.org/officeDocument/2006/relationships/image" Target="media/image28.png"/><Relationship Id="rId556" Type="http://schemas.openxmlformats.org/officeDocument/2006/relationships/hyperlink" Target="http://robotosha.ru/arduino/fritzing-intro.html" TargetMode="External"/><Relationship Id="rId763" Type="http://schemas.openxmlformats.org/officeDocument/2006/relationships/image" Target="media/image54.jpg"/><Relationship Id="rId1186" Type="http://schemas.openxmlformats.org/officeDocument/2006/relationships/hyperlink" Target="http://government.ru/docs/11912/" TargetMode="External"/><Relationship Id="rId1393" Type="http://schemas.openxmlformats.org/officeDocument/2006/relationships/hyperlink" Target="http://kemerovostat.gks.ru/wps/wcm/connect/rosstat_ts/" TargetMode="External"/><Relationship Id="rId1407" Type="http://schemas.openxmlformats.org/officeDocument/2006/relationships/hyperlink" Target="http://cheloveknauka.com/adaptatsiya-molodyh-spetsialistov-v-sovremennyh-rossiyskih-organizatsiyah" TargetMode="External"/><Relationship Id="rId111" Type="http://schemas.openxmlformats.org/officeDocument/2006/relationships/hyperlink" Target="http://megabook.ru/article/%d0%a9%d0%b5%d1%80%d0%b1%d0%be%20%d0%92%d0%b8%d1%82%d0%b0%d0%bb%d0%b8%d0%b9%20%d0%92%d0%b5%d0%bd%d0%b5%d0%b4%d0%b8%d0%ba%d1%82%d0%be%d0%b2%d0%b8%d1%87" TargetMode="External"/><Relationship Id="rId195" Type="http://schemas.openxmlformats.org/officeDocument/2006/relationships/hyperlink" Target="http://elib.bspu.by/bitstream/doc/5098/1/%D0%9E%D0%B1%D1%80%D0%B0%D0%B7%D0%BE%D0%B2%D0%B0%D0%BD%D0%B8%D0%B5%20%D0%B2%20%D0%B8%D0%BD%D1%82.pdf" TargetMode="External"/><Relationship Id="rId209" Type="http://schemas.openxmlformats.org/officeDocument/2006/relationships/hyperlink" Target="http://elib.bspu.by/bitstream/doc/5098/1/%D0%9E%D0%B1%D1%80%D0%B0%D0%B7%D0%BE%D0%B2%D0%B0%D0%BD%D0%B8%D0%B5%20%D0%B2%20%D0%B8%D0%BD%D1%82.pdf" TargetMode="External"/><Relationship Id="rId416" Type="http://schemas.openxmlformats.org/officeDocument/2006/relationships/hyperlink" Target="http://www.belstat.gov.by/ofitsialnaya-statistika/ssrd-mvf_2/natsionalnaya-stranitsa-svodnyh-dannyh/zarabotnaya-plata_2/" TargetMode="External"/><Relationship Id="rId970" Type="http://schemas.openxmlformats.org/officeDocument/2006/relationships/hyperlink" Target="http://www.popmech.ru/science/327552-roboty-pchely-i-neobychnyy-gel-smogut-li-drony-zamenit-nasekomykh/" TargetMode="External"/><Relationship Id="rId1046" Type="http://schemas.openxmlformats.org/officeDocument/2006/relationships/hyperlink" Target="http://research.cmsmagazine.ru/report-on-communication-policy-of-banks-on-internet-russia/" TargetMode="External"/><Relationship Id="rId1253" Type="http://schemas.openxmlformats.org/officeDocument/2006/relationships/hyperlink" Target="http://www.gks.ru/wps/wcm/connect/rosstat_main/rosstat/ru/statistics/publications/catalog/doc" TargetMode="External"/><Relationship Id="rId623" Type="http://schemas.openxmlformats.org/officeDocument/2006/relationships/hyperlink" Target="http://www.energya.by/kak-razvivayutsya-alternativnayia-energetika-v-belarusi/" TargetMode="External"/><Relationship Id="rId830" Type="http://schemas.openxmlformats.org/officeDocument/2006/relationships/hyperlink" Target="http://vegetarianskij.ru/kak-dobyvayut-mex-dlya-shub-iz-norki-lisicy-i-pesca/" TargetMode="External"/><Relationship Id="rId928" Type="http://schemas.openxmlformats.org/officeDocument/2006/relationships/hyperlink" Target="http://www.grandars.ru/college/ekonomika-firmy/rentabelnost-predpriyatiya.html" TargetMode="External"/><Relationship Id="rId57" Type="http://schemas.openxmlformats.org/officeDocument/2006/relationships/hyperlink" Target="https://myfin.by/wiki/term/demografiya" TargetMode="External"/><Relationship Id="rId262" Type="http://schemas.openxmlformats.org/officeDocument/2006/relationships/hyperlink" Target="http://elib.bspu.by/bitstream/doc/5098/1/%D0%9E%D0%B1%D1%80%D0%B0%D0%B7%D0%BE%D0%B2%D0%B0%D0%BD%D0%B8%D0%B5%20%D0%B2%20%D0%B8%D0%BD%D1%82.pdf" TargetMode="External"/><Relationship Id="rId567" Type="http://schemas.openxmlformats.org/officeDocument/2006/relationships/hyperlink" Target="http://ru-ecology.info/post/104037401150002/" TargetMode="External"/><Relationship Id="rId1113" Type="http://schemas.openxmlformats.org/officeDocument/2006/relationships/hyperlink" Target="http://heaclub.ru/pravilnoe-pitanie-dlya-zhenskoj-krasoty-poleznye-produkty-dlya-krasoty-i-zdorovya-kozhi-i-volos" TargetMode="External"/><Relationship Id="rId1197" Type="http://schemas.openxmlformats.org/officeDocument/2006/relationships/hyperlink" Target="http://biz.a42.ru/lenta/show/201606031656-vnesla-li-politika-importozamescheniya-suschestvennyie-izmeneniya-v-kuzbasskoy-ekonomike.html" TargetMode="External"/><Relationship Id="rId1320" Type="http://schemas.openxmlformats.org/officeDocument/2006/relationships/hyperlink" Target="https://ru.wikipedia.org/wiki/%D0%A1%D0%BE%D1%86%D0%B8%D0%B0%D0%BB%D1%8C%D0%BD%D0%B0%D1%8F_%D0%B7%D0%B0%D1%89%D0%B8%D1%82%D0%B0" TargetMode="External"/><Relationship Id="rId1418" Type="http://schemas.openxmlformats.org/officeDocument/2006/relationships/hyperlink" Target="http://cheloveknauka.com/adaptatsiya-molodyh-spetsialistov-v-sovremennyh-rossiyskih-organizatsiyah" TargetMode="External"/><Relationship Id="rId122" Type="http://schemas.openxmlformats.org/officeDocument/2006/relationships/hyperlink" Target="http://vedkuzbass.ru/index.php/mezhdunarodnoe-i-mezhregionalnoe-sotrudnichestvo/itogived" TargetMode="External"/><Relationship Id="rId774" Type="http://schemas.openxmlformats.org/officeDocument/2006/relationships/hyperlink" Target="https://thenextweb.com/insider/2017/03/14/5-ways-voice-search-will-affect-seo-2017/" TargetMode="External"/><Relationship Id="rId981" Type="http://schemas.openxmlformats.org/officeDocument/2006/relationships/hyperlink" Target="https://hi-news.ru/eto-interesno/video-roboty-pomogayushhie-uchyonym-nablyudat-za-dikoj-prirodoj.html%20-%20Hi-news.ru" TargetMode="External"/><Relationship Id="rId1057" Type="http://schemas.openxmlformats.org/officeDocument/2006/relationships/hyperlink" Target="http://zakonbase.ru/content/base/241/" TargetMode="External"/><Relationship Id="rId427"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34"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841" Type="http://schemas.openxmlformats.org/officeDocument/2006/relationships/hyperlink" Target="http://vegetarianskij.ru/kak-dobyvayut-mex-dlya-shub-iz-norki-lisicy-i-pesca/" TargetMode="External"/><Relationship Id="rId1264" Type="http://schemas.openxmlformats.org/officeDocument/2006/relationships/hyperlink" Target="https://ru.wikipedia.org/wiki/%D0%91%D0%B5%D0%B7%D1%80%D0%B0%D0%B1%D0%BE%D1%82%D0%B8%D1%86%D0%B0" TargetMode="External"/><Relationship Id="rId273"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80" Type="http://schemas.openxmlformats.org/officeDocument/2006/relationships/hyperlink" Target="http://zarplatyinfo.ru/v_mire/zarplata-v-belarusi-v-dollarax-i-rossijskix-rublyax-srednyaya-v-2015-2016-godu.html.%20&#8211;%20&#1044;&#1072;&#1090;&#1072;%20&#1076;&#1086;&#1089;&#1090;&#1091;&#1087;&#1072;%2014.04.2017" TargetMode="External"/><Relationship Id="rId701"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39" Type="http://schemas.openxmlformats.org/officeDocument/2006/relationships/hyperlink" Target="http://inosmi.ru/world/20131210/215530594.html-%20&#1048;&#1053;&#1054;&#1057;&#1052;&#1048;.&#1056;&#1059;" TargetMode="External"/><Relationship Id="rId1124" Type="http://schemas.openxmlformats.org/officeDocument/2006/relationships/hyperlink" Target="http://heaclub.ru/pravilnoe-pitanie-dlya-zhenskoj-krasoty-poleznye-produkty-dlya-krasoty-i-zdorovya-kozhi-i-volos" TargetMode="External"/><Relationship Id="rId1331" Type="http://schemas.openxmlformats.org/officeDocument/2006/relationships/hyperlink" Target="http://teoria-practica.ru/-12-2012/law/dremanova.pdf" TargetMode="External"/><Relationship Id="rId68" Type="http://schemas.openxmlformats.org/officeDocument/2006/relationships/hyperlink" Target="https://www.audit-it.ru/finanaliz/terms/solvency/" TargetMode="External"/><Relationship Id="rId133" Type="http://schemas.openxmlformats.org/officeDocument/2006/relationships/hyperlink" Target="http://www.rusexporter.ru/research/region/detail/4505/" TargetMode="External"/><Relationship Id="rId340" Type="http://schemas.openxmlformats.org/officeDocument/2006/relationships/hyperlink" Target="http://media.miu.by/files/store/items/uses/xx/mim_uses_xx_03018.pdf" TargetMode="External"/><Relationship Id="rId578" Type="http://schemas.openxmlformats.org/officeDocument/2006/relationships/hyperlink" Target="http://www.mnr.gov.ru/regulatory/" TargetMode="External"/><Relationship Id="rId785" Type="http://schemas.openxmlformats.org/officeDocument/2006/relationships/hyperlink" Target="https://thenextweb.com/insider/2017/03/14/5-ways-voice-search-will-affect-seo-2017/" TargetMode="External"/><Relationship Id="rId992" Type="http://schemas.openxmlformats.org/officeDocument/2006/relationships/hyperlink" Target="https://hi-news.ru/eto-interesno/video-roboty-pomogayushhie-uchyonym-nablyudat-za-dikoj-prirodoj.html%20-%20Hi-news.ru" TargetMode="External"/><Relationship Id="rId1429" Type="http://schemas.openxmlformats.org/officeDocument/2006/relationships/fontTable" Target="fontTable.xml"/><Relationship Id="rId200" Type="http://schemas.openxmlformats.org/officeDocument/2006/relationships/hyperlink" Target="http://elib.bspu.by/bitstream/doc/5098/1/%D0%9E%D0%B1%D1%80%D0%B0%D0%B7%D0%BE%D0%B2%D0%B0%D0%BD%D0%B8%D0%B5%20%D0%B2%20%D0%B8%D0%BD%D1%82.pdf" TargetMode="External"/><Relationship Id="rId438"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45" Type="http://schemas.openxmlformats.org/officeDocument/2006/relationships/hyperlink" Target="https://sb-vnedr.ru/about/publication/12468/" TargetMode="External"/><Relationship Id="rId852" Type="http://schemas.openxmlformats.org/officeDocument/2006/relationships/hyperlink" Target="http://www.ikirov.ru/news/13425-krasivaya-i-stilnaya-alternativa-naturalnym-meham" TargetMode="External"/><Relationship Id="rId1068" Type="http://schemas.openxmlformats.org/officeDocument/2006/relationships/image" Target="media/image66.jpg"/><Relationship Id="rId1275" Type="http://schemas.openxmlformats.org/officeDocument/2006/relationships/hyperlink" Target="http://economy.gov35.ru/departments/employment/" TargetMode="External"/><Relationship Id="rId284"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91" Type="http://schemas.openxmlformats.org/officeDocument/2006/relationships/hyperlink" Target="https://myfin.by/info/srednyaya-zarplata-v-belarusi" TargetMode="External"/><Relationship Id="rId505" Type="http://schemas.openxmlformats.org/officeDocument/2006/relationships/hyperlink" Target="http://zarplatyinfo.ru/v_mire/zarplata-v-belarusi-v-dollarax-i-rossijskix-rublyax-srednyaya-v-2015-2016-godu.html.%20&#8211;%20&#1044;&#1072;&#1090;&#1072;%20&#1076;&#1086;&#1089;&#1090;&#1091;&#1087;&#1072;%2014.04.2017" TargetMode="External"/><Relationship Id="rId712"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135" Type="http://schemas.openxmlformats.org/officeDocument/2006/relationships/hyperlink" Target="https://healthy-zone.ru/pravilnoe-pitanie-dlya-zhenshhin-produktyi-dlya-zhenskogo-zdorovya-i-krasotyi" TargetMode="External"/><Relationship Id="rId1342" Type="http://schemas.openxmlformats.org/officeDocument/2006/relationships/hyperlink" Target="http://www.windpower.by/ru/" TargetMode="External"/><Relationship Id="rId79" Type="http://schemas.openxmlformats.org/officeDocument/2006/relationships/hyperlink" Target="http://megabook.ru/article/%d0%91%d1%80%d0%b5%d0%b2%d0%bd%d0%be%20%d0%b3%d0%b8%d0%bc%d0%bd%d0%b0%d1%81%d1%82%d0%b8%d1%87%d0%b5%d1%81%d0%ba%d0%be%d0%b5" TargetMode="External"/><Relationship Id="rId144" Type="http://schemas.openxmlformats.org/officeDocument/2006/relationships/hyperlink" Target="http://www.customs.ru/index.php?option=com_content&amp;view=article&amp;id=24772:-------2016-&amp;catid=53:2011-01-24-16-29-43" TargetMode="External"/><Relationship Id="rId589" Type="http://schemas.openxmlformats.org/officeDocument/2006/relationships/hyperlink" Target="http://www.ecologytarget.ru/tarecs-34-1.html" TargetMode="External"/><Relationship Id="rId796" Type="http://schemas.openxmlformats.org/officeDocument/2006/relationships/hyperlink" Target="http://searchengineland.com/google-reveals-20-percent-queries-voice-queries-249917" TargetMode="External"/><Relationship Id="rId1202" Type="http://schemas.openxmlformats.org/officeDocument/2006/relationships/hyperlink" Target="http://biz.a42.ru/lenta/show/201606031656-vnesla-li-politika-importozamescheniya-suschestvennyie-izmeneniya-v-kuzbasskoy-ekonomike.html" TargetMode="External"/><Relationship Id="rId351" Type="http://schemas.openxmlformats.org/officeDocument/2006/relationships/hyperlink" Target="http://www.bankrot.by/oa/3830" TargetMode="External"/><Relationship Id="rId449"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56" Type="http://schemas.openxmlformats.org/officeDocument/2006/relationships/hyperlink" Target="https://sb-vnedr.ru/about/publication/12468/" TargetMode="External"/><Relationship Id="rId863" Type="http://schemas.openxmlformats.org/officeDocument/2006/relationships/hyperlink" Target="http://www.ikirov.ru/news/13425-krasivaya-i-stilnaya-alternativa-naturalnym-meham" TargetMode="External"/><Relationship Id="rId1079" Type="http://schemas.openxmlformats.org/officeDocument/2006/relationships/hyperlink" Target="https://www.sba.gov/about-sba/sba-newsroom" TargetMode="External"/><Relationship Id="rId1286" Type="http://schemas.openxmlformats.org/officeDocument/2006/relationships/hyperlink" Target="http://center-yf.ru/data/Menedzheru/Stili-rukovodstva.php" TargetMode="External"/><Relationship Id="rId211" Type="http://schemas.openxmlformats.org/officeDocument/2006/relationships/hyperlink" Target="http://elib.bspu.by/bitstream/doc/5098/1/%D0%9E%D0%B1%D1%80%D0%B0%D0%B7%D0%BE%D0%B2%D0%B0%D0%BD%D0%B8%D0%B5%20%D0%B2%20%D0%B8%D0%BD%D1%82.pdf" TargetMode="External"/><Relationship Id="rId295"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9"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16" Type="http://schemas.openxmlformats.org/officeDocument/2006/relationships/hyperlink" Target="http://ya62.ru/articles/publishing/kadry-dlya-biznesa-zachem-nuzhny-kadrovye-agentstva/" TargetMode="External"/><Relationship Id="rId1146" Type="http://schemas.openxmlformats.org/officeDocument/2006/relationships/hyperlink" Target="https://healthy-zone.ru/pravilnoe-pitanie-dlya-zhenshhin-produktyi-dlya-zhenskogo-zdorovya-i-krasotyi" TargetMode="External"/><Relationship Id="rId723" Type="http://schemas.openxmlformats.org/officeDocument/2006/relationships/hyperlink" Target="http://www.gks.ru/bgd/free/B04_03/IssWWW.exe/Stg/d02/57.htm" TargetMode="External"/><Relationship Id="rId930" Type="http://schemas.openxmlformats.org/officeDocument/2006/relationships/hyperlink" Target="http://www.grandars.ru/college/ekonomika-firmy/rentabelnost-predpriyatiya.html" TargetMode="External"/><Relationship Id="rId1006" Type="http://schemas.openxmlformats.org/officeDocument/2006/relationships/hyperlink" Target="https://hi-news.ru/eto-interesno/video-roboty-pomogayushhie-uchyonym-nablyudat-za-dikoj-prirodoj.html%20-%20Hi-news.ru" TargetMode="External"/><Relationship Id="rId1353" Type="http://schemas.openxmlformats.org/officeDocument/2006/relationships/hyperlink" Target="https://ru.wikipedia.org/wiki/%D0%92%D0%BE%D0%B4%D0%B0" TargetMode="External"/><Relationship Id="rId155" Type="http://schemas.openxmlformats.org/officeDocument/2006/relationships/hyperlink" Target="http://www.be5.biz/ekonomika1/r2013/1037.htm" TargetMode="External"/><Relationship Id="rId362" Type="http://schemas.openxmlformats.org/officeDocument/2006/relationships/hyperlink" Target="http://www.smartmanage.ru/deels-441-1.html" TargetMode="External"/><Relationship Id="rId1213" Type="http://schemas.openxmlformats.org/officeDocument/2006/relationships/hyperlink" Target="http://www.ako.ru/PRESS/MESS/TEXT/impotrozameshenie.asp" TargetMode="External"/><Relationship Id="rId1297" Type="http://schemas.openxmlformats.org/officeDocument/2006/relationships/hyperlink" Target="http://elibrary.ru/contents.asp?issueid=1113904&amp;selid=18923818" TargetMode="External"/><Relationship Id="rId1420" Type="http://schemas.openxmlformats.org/officeDocument/2006/relationships/hyperlink" Target="http://ekonomika.snauka.ru/2014/06/5092" TargetMode="External"/><Relationship Id="rId222" Type="http://schemas.openxmlformats.org/officeDocument/2006/relationships/hyperlink" Target="http://elib.bspu.by/bitstream/doc/5098/1/%D0%9E%D0%B1%D1%80%D0%B0%D0%B7%D0%BE%D0%B2%D0%B0%D0%BD%D0%B8%D0%B5%20%D0%B2%20%D0%B8%D0%BD%D1%82.pdf" TargetMode="External"/><Relationship Id="rId667" Type="http://schemas.openxmlformats.org/officeDocument/2006/relationships/hyperlink" Target="http://www.belaruspartisan.org/economic/368506/" TargetMode="External"/><Relationship Id="rId874" Type="http://schemas.openxmlformats.org/officeDocument/2006/relationships/hyperlink" Target="http://www.donbass-info.com/content/view/26369/26380" TargetMode="External"/><Relationship Id="rId527" Type="http://schemas.openxmlformats.org/officeDocument/2006/relationships/hyperlink" Target="http://economy.gov.ru/" TargetMode="External"/><Relationship Id="rId734" Type="http://schemas.openxmlformats.org/officeDocument/2006/relationships/hyperlink" Target="https://www.autostat.ru/test_draiv_7d/29315/" TargetMode="External"/><Relationship Id="rId941" Type="http://schemas.openxmlformats.org/officeDocument/2006/relationships/hyperlink" Target="http://inosmi.ru/world/20131210/215530594.html-%20&#1048;&#1053;&#1054;&#1057;&#1052;&#1048;.&#1056;&#1059;" TargetMode="External"/><Relationship Id="rId1157" Type="http://schemas.openxmlformats.org/officeDocument/2006/relationships/image" Target="media/image67.png"/><Relationship Id="rId1364" Type="http://schemas.openxmlformats.org/officeDocument/2006/relationships/image" Target="media/image88.png"/><Relationship Id="rId70" Type="http://schemas.openxmlformats.org/officeDocument/2006/relationships/hyperlink" Target="http://megabook.ru/article/%d0%91%d1%80%d1%83%d1%81%d1%8c%d1%8f" TargetMode="External"/><Relationship Id="rId166" Type="http://schemas.openxmlformats.org/officeDocument/2006/relationships/hyperlink" Target="http://www.belstat.gov.by/ofitsialnaya-statistika/solialnaya-sfera/obrazovanie/godovye-dannye_5/osnovnye-pokazateli-obrazovaniya/" TargetMode="External"/><Relationship Id="rId373"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580" Type="http://schemas.openxmlformats.org/officeDocument/2006/relationships/hyperlink" Target="http://www.kremlin.ru/events/president/news/51142" TargetMode="External"/><Relationship Id="rId801" Type="http://schemas.openxmlformats.org/officeDocument/2006/relationships/hyperlink" Target="http://searchengineland.com/google-reveals-20-percent-queries-voice-queries-249917" TargetMode="External"/><Relationship Id="rId1017" Type="http://schemas.openxmlformats.org/officeDocument/2006/relationships/hyperlink" Target="https://ru.wikipedia.org/wiki/%D0%90%D0%B2%D0%B0%D1%80%D0%B8%D0%B9%D0%BD%D0%BE-%D1%81%D0%BF%D0%B0%D1%81%D0%B0%D1%82%D0%B5%D0%BB%D1%8C%D0%BD%D0%B0%D1%8F_%D1%81%D0%BB%D1%83%D0%B6%D0%B1%D0%B0" TargetMode="External"/><Relationship Id="rId1224" Type="http://schemas.openxmlformats.org/officeDocument/2006/relationships/hyperlink" Target="https://myfin.by/wiki/term/saldo" TargetMode="External"/><Relationship Id="rId1" Type="http://schemas.openxmlformats.org/officeDocument/2006/relationships/numbering" Target="numbering.xml"/><Relationship Id="rId233" Type="http://schemas.openxmlformats.org/officeDocument/2006/relationships/hyperlink" Target="http://elib.bspu.by/bitstream/doc/5098/1/%D0%9E%D0%B1%D1%80%D0%B0%D0%B7%D0%BE%D0%B2%D0%B0%D0%BD%D0%B8%D0%B5%20%D0%B2%20%D0%B8%D0%BD%D1%82.pdf" TargetMode="External"/><Relationship Id="rId440"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78"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43" Type="http://schemas.openxmlformats.org/officeDocument/2006/relationships/hyperlink" Target="http://vegetarianskij.ru/kak-dobyvayut-mex-dlya-shub-iz-norki-lisicy-i-pesca/" TargetMode="External"/><Relationship Id="rId885" Type="http://schemas.openxmlformats.org/officeDocument/2006/relationships/hyperlink" Target="http://greenologia.ru/eko-problemy/tyazhelye-metally-pochvu.html" TargetMode="External"/><Relationship Id="rId1070" Type="http://schemas.openxmlformats.org/officeDocument/2006/relationships/hyperlink" Target="http://works.doklad.ru/view/-HnnOdfnLYo.html" TargetMode="External"/><Relationship Id="rId1126" Type="http://schemas.openxmlformats.org/officeDocument/2006/relationships/hyperlink" Target="http://heaclub.ru/pravilnoe-pitanie-dlya-zhenskoj-krasoty-poleznye-produkty-dlya-krasoty-i-zdorovya-kozhi-i-volos" TargetMode="External"/><Relationship Id="rId28" Type="http://schemas.openxmlformats.org/officeDocument/2006/relationships/image" Target="media/image4.jpg"/><Relationship Id="rId275"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0"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82" Type="http://schemas.openxmlformats.org/officeDocument/2006/relationships/hyperlink" Target="http://zarplatyinfo.ru/v_mire/zarplata-v-belarusi-v-dollarax-i-rossijskix-rublyax-srednyaya-v-2015-2016-godu.html.%20&#8211;%20&#1044;&#1072;&#1090;&#1072;%20&#1076;&#1086;&#1089;&#1090;&#1091;&#1087;&#1072;%2014.04.2017" TargetMode="External"/><Relationship Id="rId538" Type="http://schemas.openxmlformats.org/officeDocument/2006/relationships/image" Target="media/image36.jpg"/><Relationship Id="rId703"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45" Type="http://schemas.openxmlformats.org/officeDocument/2006/relationships/hyperlink" Target="http://autodrop.ru/autonews/1184-ceny-na-avto-2017.html" TargetMode="External"/><Relationship Id="rId910" Type="http://schemas.openxmlformats.org/officeDocument/2006/relationships/hyperlink" Target="http://www.grandars.ru/student/mirovaya-ekonomika/sistema-zolotogo-standarta.html" TargetMode="External"/><Relationship Id="rId952" Type="http://schemas.openxmlformats.org/officeDocument/2006/relationships/hyperlink" Target="http://www.nat-geo.ru/planet/50995-na-zemle-mozhet-ne-ostatsya-pchel/" TargetMode="External"/><Relationship Id="rId1168" Type="http://schemas.openxmlformats.org/officeDocument/2006/relationships/hyperlink" Target="http://www.hr-portal.ru/article/trendy-razvitiya-hrm-tehnologiy-2014" TargetMode="External"/><Relationship Id="rId1333" Type="http://schemas.openxmlformats.org/officeDocument/2006/relationships/hyperlink" Target="http://teoria-practica.ru/-12-2012/law/dremanova.pdf" TargetMode="External"/><Relationship Id="rId1375" Type="http://schemas.openxmlformats.org/officeDocument/2006/relationships/hyperlink" Target="http://www.gks.ru/wps/wcm/" TargetMode="External"/><Relationship Id="rId81" Type="http://schemas.openxmlformats.org/officeDocument/2006/relationships/hyperlink" Target="http://megabook.ru/article/%d0%9b%d0%b5%d1%81%d0%b3%d0%b0%d1%84%d1%82%20%d0%9f%d0%b5%d1%82%d1%80%20%d0%a4%d1%80%d0%b0%d0%bd%d1%86%d0%b5%d0%b2%d0%b8%d1%87" TargetMode="External"/><Relationship Id="rId135" Type="http://schemas.openxmlformats.org/officeDocument/2006/relationships/hyperlink" Target="http://www.customs.ru/index.php?option=com_content&amp;view=article&amp;id=24772:-------2016-&amp;catid=53:2011-01-24-16-29-43" TargetMode="External"/><Relationship Id="rId177" Type="http://schemas.openxmlformats.org/officeDocument/2006/relationships/hyperlink" Target="http://www.belstat.gov.by/ofitsialnaya-statistika/solialnaya-sfera/obrazovanie/godovye-dannye_5/osnovnye-pokazateli-obrazovaniya/" TargetMode="External"/><Relationship Id="rId342" Type="http://schemas.openxmlformats.org/officeDocument/2006/relationships/image" Target="media/image23.png"/><Relationship Id="rId384" Type="http://schemas.openxmlformats.org/officeDocument/2006/relationships/hyperlink" Target="https://docviewer.yandex.by/view/437124499/?*=iuzvh3LgCxvFbhvoxTFCdZ5KdGp7InVybCI6Imh0dHA6Ly93d3cuc3JyYi5uaWtzLmJ5L2luZm8vcHJvZ3JhbS5wZGYiLCJ0aXRsZSI6InByb2dyYW0ucGRmIiwidWlkIjoiNDM3MTI0NDk5IiwieXUiOiI4Mjg0NDg1MzYxNDc3NjA1ODM0Iiwibm9pZnJhbWUiOnRydWUsInRzIjoxNDkxNzYzMTE0MzczfQ%3D%3D&amp;lang=ru" TargetMode="External"/><Relationship Id="rId591" Type="http://schemas.openxmlformats.org/officeDocument/2006/relationships/hyperlink" Target="http://www.ecologytarget.ru/tarecs-34-1.html" TargetMode="External"/><Relationship Id="rId605" Type="http://schemas.openxmlformats.org/officeDocument/2006/relationships/hyperlink" Target="http://www.oecdbetterlifeindex.org/ru/" TargetMode="External"/><Relationship Id="rId787" Type="http://schemas.openxmlformats.org/officeDocument/2006/relationships/hyperlink" Target="https://thenextweb.com/insider/2017/03/14/5-ways-voice-search-will-affect-seo-2017/" TargetMode="External"/><Relationship Id="rId812" Type="http://schemas.openxmlformats.org/officeDocument/2006/relationships/hyperlink" Target="https://spark.ru/startup/se-ranking/blog/19483/pochemu-golosovoj-poisk-glavnij-trend-2017" TargetMode="External"/><Relationship Id="rId994" Type="http://schemas.openxmlformats.org/officeDocument/2006/relationships/hyperlink" Target="https://hi-news.ru/eto-interesno/video-roboty-pomogayushhie-uchyonym-nablyudat-za-dikoj-prirodoj.html%20-%20Hi-news.ru" TargetMode="External"/><Relationship Id="rId1028" Type="http://schemas.openxmlformats.org/officeDocument/2006/relationships/hyperlink" Target="http://base.garant.ru/1305454/" TargetMode="External"/><Relationship Id="rId1235" Type="http://schemas.openxmlformats.org/officeDocument/2006/relationships/hyperlink" Target="https://www.gov.uk/government/uploads/system/uploads/attachment_data/file/32450/11-1387-innovation-and-research-strategy-for-growth.pdf" TargetMode="External"/><Relationship Id="rId1400" Type="http://schemas.openxmlformats.org/officeDocument/2006/relationships/image" Target="media/image92.png"/><Relationship Id="rId202" Type="http://schemas.openxmlformats.org/officeDocument/2006/relationships/hyperlink" Target="http://elib.bspu.by/bitstream/doc/5098/1/%D0%9E%D0%B1%D1%80%D0%B0%D0%B7%D0%BE%D0%B2%D0%B0%D0%BD%D0%B8%D0%B5%20%D0%B2%20%D0%B8%D0%BD%D1%82.pdf" TargetMode="External"/><Relationship Id="rId244" Type="http://schemas.openxmlformats.org/officeDocument/2006/relationships/hyperlink" Target="http://elib.bspu.by/bitstream/doc/5098/1/%D0%9E%D0%B1%D1%80%D0%B0%D0%B7%D0%BE%D0%B2%D0%B0%D0%BD%D0%B8%D0%B5%20%D0%B2%20%D0%B8%D0%BD%D1%82.pdf" TargetMode="External"/><Relationship Id="rId647" Type="http://schemas.openxmlformats.org/officeDocument/2006/relationships/hyperlink" Target="https://sb-vnedr.ru/about/publication/12468/" TargetMode="External"/><Relationship Id="rId689"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54" Type="http://schemas.openxmlformats.org/officeDocument/2006/relationships/hyperlink" Target="http://www.ikirov.ru/news/13425-krasivaya-i-stilnaya-alternativa-naturalnym-meham" TargetMode="External"/><Relationship Id="rId896" Type="http://schemas.openxmlformats.org/officeDocument/2006/relationships/hyperlink" Target="https://www.psycho.ru/library/2838" TargetMode="External"/><Relationship Id="rId1081" Type="http://schemas.openxmlformats.org/officeDocument/2006/relationships/hyperlink" Target="https://www.sba.gov/about-sba/sba-newsroom" TargetMode="External"/><Relationship Id="rId1277" Type="http://schemas.openxmlformats.org/officeDocument/2006/relationships/hyperlink" Target="http://www.gks.ru/free_doc/new_site/population/trud/Untitled452-10.pdf" TargetMode="External"/><Relationship Id="rId1302" Type="http://schemas.openxmlformats.org/officeDocument/2006/relationships/hyperlink" Target="http://elibrary.ru/item.asp?id=17783263" TargetMode="External"/><Relationship Id="rId39" Type="http://schemas.openxmlformats.org/officeDocument/2006/relationships/footer" Target="footer4.xml"/><Relationship Id="rId286"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51"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493" Type="http://schemas.openxmlformats.org/officeDocument/2006/relationships/hyperlink" Target="https://myfin.by/info/srednyaya-zarplata-v-belarusi" TargetMode="External"/><Relationship Id="rId507" Type="http://schemas.openxmlformats.org/officeDocument/2006/relationships/hyperlink" Target="https://ru.wikipedia.org/wiki" TargetMode="External"/><Relationship Id="rId549" Type="http://schemas.openxmlformats.org/officeDocument/2006/relationships/hyperlink" Target="http://progmk.ru/avtoinformator-na-arduino-ozvuchivanie-komand/" TargetMode="External"/><Relationship Id="rId714"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56" Type="http://schemas.openxmlformats.org/officeDocument/2006/relationships/hyperlink" Target="http://www.oracle.com/" TargetMode="External"/><Relationship Id="rId921" Type="http://schemas.openxmlformats.org/officeDocument/2006/relationships/hyperlink" Target="http://www.grandars.ru/student/finansy/finansovaya-sistema.html" TargetMode="External"/><Relationship Id="rId1137" Type="http://schemas.openxmlformats.org/officeDocument/2006/relationships/hyperlink" Target="https://healthy-zone.ru/pravilnoe-pitanie-dlya-zhenshhin-produktyi-dlya-zhenskogo-zdorovya-i-krasotyi" TargetMode="External"/><Relationship Id="rId1179" Type="http://schemas.openxmlformats.org/officeDocument/2006/relationships/image" Target="media/image71.jpg"/><Relationship Id="rId1344" Type="http://schemas.openxmlformats.org/officeDocument/2006/relationships/hyperlink" Target="http://&#1101;&#1083;&#1077;&#1082;&#1090;&#1088;&#1086;&#1090;&#1077;&#1093;&#1085;&#1080;&#1095;&#1077;&#1089;&#1082;&#1080;&#1081;-&#1087;&#1086;&#1088;&#1090;&#1072;&#1083;.&#1088;&#1092;/vetroenergetika.html" TargetMode="External"/><Relationship Id="rId1386" Type="http://schemas.openxmlformats.org/officeDocument/2006/relationships/hyperlink" Target="http://kemerovostat.gks.ru/wps/wcm/connect/rosstat_ts/" TargetMode="External"/><Relationship Id="rId50" Type="http://schemas.openxmlformats.org/officeDocument/2006/relationships/hyperlink" Target="https://psibook.com/religion/demograficheskiy-potentsial-respubliki-belarus-osnovnye-tendentsii-razvitiya.html" TargetMode="External"/><Relationship Id="rId104" Type="http://schemas.openxmlformats.org/officeDocument/2006/relationships/hyperlink" Target="http://megabook.ru/article/%d0%9a%d0%98%d0%9c%20%d0%9d%d0%b5%d0%bb%d0%bb%d0%b8%20%d0%92%d0%bb%d0%b0%d0%b4%d0%b8%d0%bc%d0%b8%d1%80%d0%be%d0%b2%d0%bd%d0%b0%20%5b%d1%81%d0%bf%d0%be%d1%80%d1%82%5d" TargetMode="External"/><Relationship Id="rId146" Type="http://schemas.openxmlformats.org/officeDocument/2006/relationships/hyperlink" Target="http://www.customs.ru/index.php?option=com_content&amp;view=article&amp;id=24772:-------2016-&amp;catid=53:2011-01-24-16-29-43" TargetMode="External"/><Relationship Id="rId188" Type="http://schemas.openxmlformats.org/officeDocument/2006/relationships/hyperlink" Target="http://www.belstat.gov.by/ofitsialnaya-statistika/solialnaya-sfera/obrazovanie/godovye-dannye_5/osnovnye-pokazateli-obrazovaniya/" TargetMode="External"/><Relationship Id="rId311"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53" Type="http://schemas.openxmlformats.org/officeDocument/2006/relationships/hyperlink" Target="https://vc.ru/p/ikea-story" TargetMode="External"/><Relationship Id="rId395" Type="http://schemas.openxmlformats.org/officeDocument/2006/relationships/hyperlink" Target="http://admrzn.ru/" TargetMode="External"/><Relationship Id="rId409" Type="http://schemas.openxmlformats.org/officeDocument/2006/relationships/hyperlink" Target="http://www.belstat.gov.by/ofitsialnaya-statistika/ssrd-mvf_2/natsionalnaya-stranitsa-svodnyh-dannyh/zarabotnaya-plata_2/" TargetMode="External"/><Relationship Id="rId560" Type="http://schemas.openxmlformats.org/officeDocument/2006/relationships/hyperlink" Target="http://ru-ecology.info/post/104037401150002/" TargetMode="External"/><Relationship Id="rId798" Type="http://schemas.openxmlformats.org/officeDocument/2006/relationships/hyperlink" Target="http://searchengineland.com/google-reveals-20-percent-queries-voice-queries-249917" TargetMode="External"/><Relationship Id="rId963" Type="http://schemas.openxmlformats.org/officeDocument/2006/relationships/hyperlink" Target="http://www.popmech.ru/science/327552-roboty-pchely-i-neobychnyy-gel-smogut-li-drony-zamenit-nasekomykh/" TargetMode="External"/><Relationship Id="rId1039" Type="http://schemas.openxmlformats.org/officeDocument/2006/relationships/hyperlink" Target="http://research.cmsmagazine.ru/report-on-communication-policy-of-banks-on-internet-russia/" TargetMode="External"/><Relationship Id="rId1190" Type="http://schemas.openxmlformats.org/officeDocument/2006/relationships/hyperlink" Target="http://government.ru/docs/11912/" TargetMode="External"/><Relationship Id="rId1204" Type="http://schemas.openxmlformats.org/officeDocument/2006/relationships/hyperlink" Target="http://biz.a42.ru/lenta/show/201606031656-vnesla-li-politika-importozamescheniya-suschestvennyie-izmeneniya-v-kuzbasskoy-ekonomike.html" TargetMode="External"/><Relationship Id="rId1246" Type="http://schemas.openxmlformats.org/officeDocument/2006/relationships/hyperlink" Target="https://www.gov.uk/government/uploads/system/uploads/attachment_data/file/32450/11-1387-innovation-and-research-strategy-for-growth.pdf" TargetMode="External"/><Relationship Id="rId1411" Type="http://schemas.openxmlformats.org/officeDocument/2006/relationships/hyperlink" Target="http://cheloveknauka.com/adaptatsiya-molodyh-spetsialistov-v-sovremennyh-rossiyskih-organizatsiyah" TargetMode="External"/><Relationship Id="rId92" Type="http://schemas.openxmlformats.org/officeDocument/2006/relationships/hyperlink" Target="http://megabook.ru/article/%d0%93%d0%be%d1%80%d0%be%d1%85%d0%be%d0%b2%d1%81%d0%ba%d0%b0%d1%8f%20%d0%9c%d0%b0%d1%80%d0%b8%d1%8f%20%d0%9a%d0%be%d0%bd%d0%b4%d1%80%d0%b0%d1%82%d1%8c%d0%b5%d0%b2%d0%bd%d0%b0" TargetMode="External"/><Relationship Id="rId213" Type="http://schemas.openxmlformats.org/officeDocument/2006/relationships/hyperlink" Target="http://elib.bspu.by/bitstream/doc/5098/1/%D0%9E%D0%B1%D1%80%D0%B0%D0%B7%D0%BE%D0%B2%D0%B0%D0%BD%D0%B8%D0%B5%20%D0%B2%20%D0%B8%D0%BD%D1%82.pdf" TargetMode="External"/><Relationship Id="rId420" Type="http://schemas.openxmlformats.org/officeDocument/2006/relationships/hyperlink" Target="http://www.belstat.gov.by/ofitsialnaya-statistika/ssrd-mvf_2/natsionalnaya-stranitsa-svodnyh-dannyh/zarabotnaya-plata_2/" TargetMode="External"/><Relationship Id="rId616" Type="http://schemas.openxmlformats.org/officeDocument/2006/relationships/hyperlink" Target="https://www.eneca.by/ru_news2/" TargetMode="External"/><Relationship Id="rId658" Type="http://schemas.openxmlformats.org/officeDocument/2006/relationships/hyperlink" Target="https://ru.wikipedia.org/wiki/%D0%9A%D1%80%D0%B8%D0%BF%D1%82%D0%BE%D0%B3%D1%80%D0%B0%D1%84%D0%B8%D1%8F" TargetMode="External"/><Relationship Id="rId823" Type="http://schemas.openxmlformats.org/officeDocument/2006/relationships/hyperlink" Target="https://spark.ru/startup/se-ranking/blog/19483/pochemu-golosovoj-poisk-glavnij-trend-2017" TargetMode="External"/><Relationship Id="rId865" Type="http://schemas.openxmlformats.org/officeDocument/2006/relationships/hyperlink" Target="http://alfa.moreprom.ru/index.php?option=com_content&amp;view=article&amp;id=91:2013-" TargetMode="External"/><Relationship Id="rId1050" Type="http://schemas.openxmlformats.org/officeDocument/2006/relationships/hyperlink" Target="http://research.cmsmagazine.ru/report-on-communication-policy-of-banks-on-internet-russia/" TargetMode="External"/><Relationship Id="rId1288" Type="http://schemas.openxmlformats.org/officeDocument/2006/relationships/image" Target="media/image81.jpg"/><Relationship Id="rId255" Type="http://schemas.openxmlformats.org/officeDocument/2006/relationships/hyperlink" Target="http://elib.bspu.by/bitstream/doc/5098/1/%D0%9E%D0%B1%D1%80%D0%B0%D0%B7%D0%BE%D0%B2%D0%B0%D0%BD%D0%B8%D0%B5%20%D0%B2%20%D0%B8%D0%BD%D1%82.pdf" TargetMode="External"/><Relationship Id="rId297"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62" Type="http://schemas.openxmlformats.org/officeDocument/2006/relationships/hyperlink" Target="http://zarplatyinfo.ru/v_mire/zarplata-v-belarusi-v-dollarax-i-rossijskix-rublyax-srednyaya-v-2015-2016-godu.html.%20&#8211;%20&#1044;&#1072;&#1090;&#1072;%20&#1076;&#1086;&#1089;&#1090;&#1091;&#1087;&#1072;%2014.04.2017" TargetMode="External"/><Relationship Id="rId518" Type="http://schemas.openxmlformats.org/officeDocument/2006/relationships/hyperlink" Target="http://ya62.ru/articles/publishing/kadry-dlya-biznesa-zachem-nuzhny-kadrovye-agentstva/" TargetMode="External"/><Relationship Id="rId725" Type="http://schemas.openxmlformats.org/officeDocument/2006/relationships/hyperlink" Target="https://www.autostat.ru/infographics/29458/" TargetMode="External"/><Relationship Id="rId932" Type="http://schemas.openxmlformats.org/officeDocument/2006/relationships/hyperlink" Target="http://www.grandars.ru/student/finansy/procentnaya-stavka.html" TargetMode="External"/><Relationship Id="rId1092" Type="http://schemas.openxmlformats.org/officeDocument/2006/relationships/hyperlink" Target="http://works.doklad.ru/view/-HnnOdfnLYo.html" TargetMode="External"/><Relationship Id="rId1106" Type="http://schemas.openxmlformats.org/officeDocument/2006/relationships/hyperlink" Target="http://heaclub.ru/pravilnoe-pitanie-dlya-zhenskoj-krasoty-poleznye-produkty-dlya-krasoty-i-zdorovya-kozhi-i-volos" TargetMode="External"/><Relationship Id="rId1148" Type="http://schemas.openxmlformats.org/officeDocument/2006/relationships/hyperlink" Target="https://healthy-zone.ru/pravilnoe-pitanie-dlya-zhenshhin-produktyi-dlya-zhenskogo-zdorovya-i-krasotyi" TargetMode="External"/><Relationship Id="rId1313" Type="http://schemas.openxmlformats.org/officeDocument/2006/relationships/hyperlink" Target="https://ru.wikipedia.org/wiki/%D0%A1%D0%BE%D1%86%D0%B8%D0%B0%D0%BB%D1%8C%D0%BD%D0%B0%D1%8F_%D1%81%D0%BF%D1%80%D0%B0%D0%B2%D0%B5%D0%B4%D0%BB%D0%B8%D0%B2%D0%BE%D1%81%D1%82%D1%8C" TargetMode="External"/><Relationship Id="rId1355" Type="http://schemas.openxmlformats.org/officeDocument/2006/relationships/hyperlink" Target="https://ru.wikipedia.org/wiki/%D0%A2%D0%B5%D1%85%D0%BD%D0%BE%D0%BB%D0%BE%D0%B3%D0%B8%D1%8F" TargetMode="External"/><Relationship Id="rId1397" Type="http://schemas.openxmlformats.org/officeDocument/2006/relationships/hyperlink" Target="http://kemerovostat.gks.ru/wps/wcm/connect/rosstat_ts/" TargetMode="External"/><Relationship Id="rId115" Type="http://schemas.openxmlformats.org/officeDocument/2006/relationships/image" Target="media/image9.png"/><Relationship Id="rId157" Type="http://schemas.openxmlformats.org/officeDocument/2006/relationships/image" Target="media/image12.png"/><Relationship Id="rId322" Type="http://schemas.openxmlformats.org/officeDocument/2006/relationships/hyperlink" Target="https://vk.com/away.php?to=http%3A%2F%2Fwww.nalog.gov.by%2Fru%2Fnalog-nagruzka-economica-ru%2F&amp;cc_key=" TargetMode="External"/><Relationship Id="rId364" Type="http://schemas.openxmlformats.org/officeDocument/2006/relationships/hyperlink" Target="http://www.ikea.com/ru/ru/" TargetMode="External"/><Relationship Id="rId767" Type="http://schemas.openxmlformats.org/officeDocument/2006/relationships/hyperlink" Target="https://thenextweb.com/insider/2017/03/14/5-ways-voice-search-will-affect-seo-2017/" TargetMode="External"/><Relationship Id="rId974" Type="http://schemas.openxmlformats.org/officeDocument/2006/relationships/hyperlink" Target="http://www.popmech.ru/science/327552-roboty-pchely-i-neobychnyy-gel-smogut-li-drony-zamenit-nasekomykh/" TargetMode="External"/><Relationship Id="rId1008" Type="http://schemas.openxmlformats.org/officeDocument/2006/relationships/header" Target="header8.xml"/><Relationship Id="rId1215" Type="http://schemas.openxmlformats.org/officeDocument/2006/relationships/hyperlink" Target="http://docs.cntd.ru/document/412805057" TargetMode="External"/><Relationship Id="rId1422" Type="http://schemas.openxmlformats.org/officeDocument/2006/relationships/hyperlink" Target="http://ekonomika.snauka.ru/2014/06/5092" TargetMode="External"/><Relationship Id="rId61" Type="http://schemas.openxmlformats.org/officeDocument/2006/relationships/hyperlink" Target="https://www.audit-it.ru/finanaliz/terms/liquidity/working_capital_ratio_means.html" TargetMode="External"/><Relationship Id="rId199" Type="http://schemas.openxmlformats.org/officeDocument/2006/relationships/hyperlink" Target="http://elib.bspu.by/bitstream/doc/5098/1/%D0%9E%D0%B1%D1%80%D0%B0%D0%B7%D0%BE%D0%B2%D0%B0%D0%BD%D0%B8%D0%B5%20%D0%B2%20%D0%B8%D0%BD%D1%82.pdf" TargetMode="External"/><Relationship Id="rId571" Type="http://schemas.openxmlformats.org/officeDocument/2006/relationships/hyperlink" Target="http://ecoyear.ru/documentation/ukaz7/" TargetMode="External"/><Relationship Id="rId627" Type="http://schemas.openxmlformats.org/officeDocument/2006/relationships/hyperlink" Target="http://www.energya.by/kak-razvivayutsya-alternativnayia-energetika-v-belarusi/" TargetMode="External"/><Relationship Id="rId669" Type="http://schemas.openxmlformats.org/officeDocument/2006/relationships/hyperlink" Target="https://myfin.by/wiki/term/posobie-po-bezrabotice" TargetMode="External"/><Relationship Id="rId834" Type="http://schemas.openxmlformats.org/officeDocument/2006/relationships/hyperlink" Target="http://vegetarianskij.ru/kak-dobyvayut-mex-dlya-shub-iz-norki-lisicy-i-pesca/" TargetMode="External"/><Relationship Id="rId876" Type="http://schemas.openxmlformats.org/officeDocument/2006/relationships/hyperlink" Target="http://encyclopedia.mil.ru/encyclopedia/dictionary/" TargetMode="External"/><Relationship Id="rId1257" Type="http://schemas.openxmlformats.org/officeDocument/2006/relationships/hyperlink" Target="http://www.grandars.ru/college/ekonomika-firmy/oplata-truda.html" TargetMode="External"/><Relationship Id="rId1299" Type="http://schemas.openxmlformats.org/officeDocument/2006/relationships/hyperlink" Target="http://elibrary.ru/contents.asp?issueid=1564727&amp;selid=25715733" TargetMode="External"/><Relationship Id="rId224" Type="http://schemas.openxmlformats.org/officeDocument/2006/relationships/hyperlink" Target="http://elib.bspu.by/bitstream/doc/5098/1/%D0%9E%D0%B1%D1%80%D0%B0%D0%B7%D0%BE%D0%B2%D0%B0%D0%BD%D0%B8%D0%B5%20%D0%B2%20%D0%B8%D0%BD%D1%82.pdf" TargetMode="External"/><Relationship Id="rId266" Type="http://schemas.openxmlformats.org/officeDocument/2006/relationships/hyperlink" Target="http://www.belstat.gov.by/" TargetMode="External"/><Relationship Id="rId431"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473" Type="http://schemas.openxmlformats.org/officeDocument/2006/relationships/hyperlink" Target="http://zarplatyinfo.ru/v_mire/zarplata-v-belarusi-v-dollarax-i-rossijskix-rublyax-srednyaya-v-2015-2016-godu.html.%20&#8211;%20&#1044;&#1072;&#1090;&#1072;%20&#1076;&#1086;&#1089;&#1090;&#1091;&#1087;&#1072;%2014.04.2017" TargetMode="External"/><Relationship Id="rId529" Type="http://schemas.openxmlformats.org/officeDocument/2006/relationships/hyperlink" Target="http://economy.gov.ru/" TargetMode="External"/><Relationship Id="rId680"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36" Type="http://schemas.openxmlformats.org/officeDocument/2006/relationships/hyperlink" Target="https://www.autostat.ru/news/29544/" TargetMode="External"/><Relationship Id="rId901" Type="http://schemas.openxmlformats.org/officeDocument/2006/relationships/hyperlink" Target="http://www.one-idol.ru/" TargetMode="External"/><Relationship Id="rId1061" Type="http://schemas.openxmlformats.org/officeDocument/2006/relationships/hyperlink" Target="http://www.kemerovo.ru/archive/file/2282/2015_.docx" TargetMode="External"/><Relationship Id="rId1117" Type="http://schemas.openxmlformats.org/officeDocument/2006/relationships/hyperlink" Target="http://heaclub.ru/pravilnoe-pitanie-dlya-zhenskoj-krasoty-poleznye-produkty-dlya-krasoty-i-zdorovya-kozhi-i-volos" TargetMode="External"/><Relationship Id="rId1159" Type="http://schemas.openxmlformats.org/officeDocument/2006/relationships/image" Target="media/image69.jpg"/><Relationship Id="rId1324" Type="http://schemas.openxmlformats.org/officeDocument/2006/relationships/hyperlink" Target="https://ru.wikipedia.org/wiki/%D0%9A%D0%BE%D0%BD%D1%81%D1%82%D0%B8%D1%82%D1%83%D1%86%D0%B8%D1%8F_%D0%A0%D0%BE%D1%81%D1%81%D0%B8%D0%B9%D1%81%D0%BA%D0%BE%D0%B9_%D0%A4%D0%B5%D0%B4%D0%B5%D1%80%D0%B0%D1%86%D0%B8%D0%B8" TargetMode="External"/><Relationship Id="rId1366" Type="http://schemas.openxmlformats.org/officeDocument/2006/relationships/hyperlink" Target="http://www.gks.ru/wps/wcm/" TargetMode="External"/><Relationship Id="rId30" Type="http://schemas.openxmlformats.org/officeDocument/2006/relationships/header" Target="header1.xml"/><Relationship Id="rId126" Type="http://schemas.openxmlformats.org/officeDocument/2006/relationships/hyperlink" Target="http://vedkuzbass.ru/index.php/mezhdunarodnoe-i-mezhregionalnoe-sotrudnichestvo/itogived" TargetMode="External"/><Relationship Id="rId168" Type="http://schemas.openxmlformats.org/officeDocument/2006/relationships/hyperlink" Target="http://www.belstat.gov.by/ofitsialnaya-statistika/solialnaya-sfera/obrazovanie/godovye-dannye_5/osnovnye-pokazateli-obrazovaniya/" TargetMode="External"/><Relationship Id="rId333" Type="http://schemas.openxmlformats.org/officeDocument/2006/relationships/hyperlink" Target="https://vk.com/away.php?to=http%3A%2F%2Fwww.nalog.gov.by%2Fru%2Fkrupnie-platelschiki%2Fview%2Fob-uchastii-krupnyx-platelschikov-v-formirovanii-doxodov-bjudzheta-za-2015-god-21637%2F&amp;cc_key=" TargetMode="External"/><Relationship Id="rId540" Type="http://schemas.openxmlformats.org/officeDocument/2006/relationships/image" Target="media/image42.jpg"/><Relationship Id="rId778" Type="http://schemas.openxmlformats.org/officeDocument/2006/relationships/hyperlink" Target="https://thenextweb.com/insider/2017/03/14/5-ways-voice-search-will-affect-seo-2017/" TargetMode="External"/><Relationship Id="rId943" Type="http://schemas.openxmlformats.org/officeDocument/2006/relationships/hyperlink" Target="http://www.nat-geo.ru/planet/50995-na-zemle-mozhet-ne-ostatsya-pchel/" TargetMode="External"/><Relationship Id="rId985" Type="http://schemas.openxmlformats.org/officeDocument/2006/relationships/hyperlink" Target="https://hi-news.ru/eto-interesno/video-roboty-pomogayushhie-uchyonym-nablyudat-za-dikoj-prirodoj.html%20-%20Hi-news.ru" TargetMode="External"/><Relationship Id="rId1019" Type="http://schemas.openxmlformats.org/officeDocument/2006/relationships/image" Target="media/image58.jpg"/><Relationship Id="rId1170" Type="http://schemas.openxmlformats.org/officeDocument/2006/relationships/hyperlink" Target="http://www.hr-portal.ru/article/trendy-razvitiya-hrm-tehnologiy-2014" TargetMode="External"/><Relationship Id="rId72" Type="http://schemas.openxmlformats.org/officeDocument/2006/relationships/hyperlink" Target="http://megabook.ru/article/%d0%91%d1%80%d1%83%d1%81%d1%8c%d1%8f" TargetMode="External"/><Relationship Id="rId375" Type="http://schemas.openxmlformats.org/officeDocument/2006/relationships/hyperlink" Target="http://www.zavtrasessiya.com/index.pl?act=PRODUCT&amp;id=171" TargetMode="External"/><Relationship Id="rId582" Type="http://schemas.openxmlformats.org/officeDocument/2006/relationships/hyperlink" Target="http://gtmarket.ru/ratings/environmental-performance-index/info" TargetMode="External"/><Relationship Id="rId638"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803" Type="http://schemas.openxmlformats.org/officeDocument/2006/relationships/hyperlink" Target="http://searchengineland.com/google-reveals-20-percent-queries-voice-queries-249917" TargetMode="External"/><Relationship Id="rId845" Type="http://schemas.openxmlformats.org/officeDocument/2006/relationships/hyperlink" Target="http://vegetarianskij.ru/kak-dobyvayut-mex-dlya-shub-iz-norki-lisicy-i-pesca/" TargetMode="External"/><Relationship Id="rId1030" Type="http://schemas.openxmlformats.org/officeDocument/2006/relationships/hyperlink" Target="http://72.mchs.gov.ru/" TargetMode="External"/><Relationship Id="rId1226" Type="http://schemas.openxmlformats.org/officeDocument/2006/relationships/image" Target="media/image79.png"/><Relationship Id="rId1268" Type="http://schemas.openxmlformats.org/officeDocument/2006/relationships/hyperlink" Target="https://ru.wikipedia.org/wiki/%D0%9E%D0%B1%D1%81%D0%BB%D0%B5%D0%B4%D0%BE%D0%B2%D0%B0%D0%BD%D0%B8%D0%B5_%D0%BD%D0%B0%D1%81%D0%B5%D0%BB%D0%B5%D0%BD%D0%B8%D1%8F_%D0%BF%D0%BE_%D0%BF%D1%80%D0%BE%D0%B1%D0%BB%D0%B5%D0%BC%D0%B0%D0%BC_%D0%B7%D0%B0%D0%BD%D1%8F%D1%82%D0%BE%D1%81%D1%82%D0%B8" TargetMode="External"/><Relationship Id="rId3" Type="http://schemas.openxmlformats.org/officeDocument/2006/relationships/settings" Target="settings.xml"/><Relationship Id="rId235" Type="http://schemas.openxmlformats.org/officeDocument/2006/relationships/hyperlink" Target="http://elib.bspu.by/bitstream/doc/5098/1/%D0%9E%D0%B1%D1%80%D0%B0%D0%B7%D0%BE%D0%B2%D0%B0%D0%BD%D0%B8%D0%B5%20%D0%B2%20%D0%B8%D0%BD%D1%82.pdf" TargetMode="External"/><Relationship Id="rId277"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00" Type="http://schemas.openxmlformats.org/officeDocument/2006/relationships/image" Target="media/image35.png"/><Relationship Id="rId442"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484" Type="http://schemas.openxmlformats.org/officeDocument/2006/relationships/hyperlink" Target="http://zarplatyinfo.ru/v_mire/zarplata-v-belarusi-v-dollarax-i-rossijskix-rublyax-srednyaya-v-2015-2016-godu.html.%20&#8211;%20&#1044;&#1072;&#1090;&#1072;%20&#1076;&#1086;&#1089;&#1090;&#1091;&#1087;&#1072;%2014.04.2017" TargetMode="External"/><Relationship Id="rId705"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87" Type="http://schemas.openxmlformats.org/officeDocument/2006/relationships/hyperlink" Target="http://militaryarms.ru/" TargetMode="External"/><Relationship Id="rId1072" Type="http://schemas.openxmlformats.org/officeDocument/2006/relationships/hyperlink" Target="http://works.doklad.ru/view/-HnnOdfnLYo.html" TargetMode="External"/><Relationship Id="rId1128" Type="http://schemas.openxmlformats.org/officeDocument/2006/relationships/hyperlink" Target="http://zapiskiprofana.ru/pravilnoe-pitanie-dlya-zhenshhin/" TargetMode="External"/><Relationship Id="rId1335" Type="http://schemas.openxmlformats.org/officeDocument/2006/relationships/hyperlink" Target="https://ru.wikipedia.org/wiki/&#1057;&#1086;&#1094;&#1080;&#1072;&#1083;&#1100;&#1085;&#1086;&#1077;" TargetMode="External"/><Relationship Id="rId137" Type="http://schemas.openxmlformats.org/officeDocument/2006/relationships/hyperlink" Target="http://www.customs.ru/index.php?option=com_content&amp;view=article&amp;id=24772:-------2016-&amp;catid=53:2011-01-24-16-29-43" TargetMode="External"/><Relationship Id="rId302"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44" Type="http://schemas.openxmlformats.org/officeDocument/2006/relationships/image" Target="media/image25.jpg"/><Relationship Id="rId691"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47" Type="http://schemas.openxmlformats.org/officeDocument/2006/relationships/hyperlink" Target="http://autodrop.ru/autonews/1184-ceny-na-avto-2017.html" TargetMode="External"/><Relationship Id="rId789" Type="http://schemas.openxmlformats.org/officeDocument/2006/relationships/hyperlink" Target="http://searchengineland.com/google-reveals-20-percent-queries-voice-queries-249917" TargetMode="External"/><Relationship Id="rId912" Type="http://schemas.openxmlformats.org/officeDocument/2006/relationships/hyperlink" Target="http://www.grandars.ru/student/ekonomicheskaya-teoriya/bezrabotica.html" TargetMode="External"/><Relationship Id="rId954" Type="http://schemas.openxmlformats.org/officeDocument/2006/relationships/hyperlink" Target="http://www.nat-geo.ru/planet/50995-na-zemle-mozhet-ne-ostatsya-pchel/" TargetMode="External"/><Relationship Id="rId996" Type="http://schemas.openxmlformats.org/officeDocument/2006/relationships/hyperlink" Target="https://hi-news.ru/eto-interesno/video-roboty-pomogayushhie-uchyonym-nablyudat-za-dikoj-prirodoj.html%20-%20Hi-news.ru" TargetMode="External"/><Relationship Id="rId1377" Type="http://schemas.openxmlformats.org/officeDocument/2006/relationships/hyperlink" Target="http://www.gks.ru/wps/wcm/" TargetMode="External"/><Relationship Id="rId41" Type="http://schemas.openxmlformats.org/officeDocument/2006/relationships/header" Target="header6.xml"/><Relationship Id="rId83" Type="http://schemas.openxmlformats.org/officeDocument/2006/relationships/hyperlink" Target="http://megabook.ru/article/%d0%9b%d0%b5%d1%81%d0%b3%d0%b0%d1%84%d1%82%20%d0%9f%d0%b5%d1%82%d1%80%20%d0%a4%d1%80%d0%b0%d0%bd%d1%86%d0%b5%d0%b2%d0%b8%d1%87" TargetMode="External"/><Relationship Id="rId179" Type="http://schemas.openxmlformats.org/officeDocument/2006/relationships/hyperlink" Target="http://www.belstat.gov.by/ofitsialnaya-statistika/solialnaya-sfera/obrazovanie/godovye-dannye_5/osnovnye-pokazateli-obrazovaniya/" TargetMode="External"/><Relationship Id="rId386" Type="http://schemas.openxmlformats.org/officeDocument/2006/relationships/hyperlink" Target="https://docviewer.yandex.by/view/437124499/?*=iuzvh3LgCxvFbhvoxTFCdZ5KdGp7InVybCI6Imh0dHA6Ly93d3cuc3JyYi5uaWtzLmJ5L2luZm8vcHJvZ3JhbS5wZGYiLCJ0aXRsZSI6InByb2dyYW0ucGRmIiwidWlkIjoiNDM3MTI0NDk5IiwieXUiOiI4Mjg0NDg1MzYxNDc3NjA1ODM0Iiwibm9pZnJhbWUiOnRydWUsInRzIjoxNDkxNzYzMTE0MzczfQ%3D%3D&amp;lang=ru" TargetMode="External"/><Relationship Id="rId551" Type="http://schemas.openxmlformats.org/officeDocument/2006/relationships/hyperlink" Target="http://progmk.ru/avtoinformator-na-arduino-ozvuchivanie-komand/" TargetMode="External"/><Relationship Id="rId593" Type="http://schemas.openxmlformats.org/officeDocument/2006/relationships/hyperlink" Target="http://www.ecologytarget.ru/tarecs-34-1.html" TargetMode="External"/><Relationship Id="rId607" Type="http://schemas.openxmlformats.org/officeDocument/2006/relationships/hyperlink" Target="http://www.oecdbetterlifeindex.org/ru/" TargetMode="External"/><Relationship Id="rId649" Type="http://schemas.openxmlformats.org/officeDocument/2006/relationships/hyperlink" Target="https://sb-vnedr.ru/about/publication/12468/" TargetMode="External"/><Relationship Id="rId814" Type="http://schemas.openxmlformats.org/officeDocument/2006/relationships/hyperlink" Target="https://spark.ru/startup/se-ranking/blog/19483/pochemu-golosovoj-poisk-glavnij-trend-2017" TargetMode="External"/><Relationship Id="rId856" Type="http://schemas.openxmlformats.org/officeDocument/2006/relationships/hyperlink" Target="http://www.ikirov.ru/news/13425-krasivaya-i-stilnaya-alternativa-naturalnym-meham" TargetMode="External"/><Relationship Id="rId1181" Type="http://schemas.openxmlformats.org/officeDocument/2006/relationships/image" Target="media/image73.jpg"/><Relationship Id="rId1237" Type="http://schemas.openxmlformats.org/officeDocument/2006/relationships/hyperlink" Target="https://www.gov.uk/government/uploads/system/uploads/attachment_data/file/32450/11-1387-innovation-and-research-strategy-for-growth.pdf" TargetMode="External"/><Relationship Id="rId1279" Type="http://schemas.openxmlformats.org/officeDocument/2006/relationships/hyperlink" Target="http://www.gks.ru/free_doc/new_site/population/trud/Untitled452-10.pdf" TargetMode="External"/><Relationship Id="rId1402" Type="http://schemas.openxmlformats.org/officeDocument/2006/relationships/image" Target="media/image94.png"/><Relationship Id="rId190" Type="http://schemas.openxmlformats.org/officeDocument/2006/relationships/hyperlink" Target="http://www.belstat.gov.by/ofitsialnaya-statistika/solialnaya-sfera/obrazovanie/godovye-dannye_5/osnovnye-pokazateli-obrazovaniya/" TargetMode="External"/><Relationship Id="rId204" Type="http://schemas.openxmlformats.org/officeDocument/2006/relationships/hyperlink" Target="http://elib.bspu.by/bitstream/doc/5098/1/%D0%9E%D0%B1%D1%80%D0%B0%D0%B7%D0%BE%D0%B2%D0%B0%D0%BD%D0%B8%D0%B5%20%D0%B2%20%D0%B8%D0%BD%D1%82.pdf" TargetMode="External"/><Relationship Id="rId246" Type="http://schemas.openxmlformats.org/officeDocument/2006/relationships/hyperlink" Target="http://elib.bspu.by/bitstream/doc/5098/1/%D0%9E%D0%B1%D1%80%D0%B0%D0%B7%D0%BE%D0%B2%D0%B0%D0%BD%D0%B8%D0%B5%20%D0%B2%20%D0%B8%D0%BD%D1%82.pdf" TargetMode="External"/><Relationship Id="rId288"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11" Type="http://schemas.openxmlformats.org/officeDocument/2006/relationships/hyperlink" Target="http://www.belstat.gov.by/ofitsialnaya-statistika/ssrd-mvf_2/natsionalnaya-stranitsa-svodnyh-dannyh/zarabotnaya-plata_2/" TargetMode="External"/><Relationship Id="rId453"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509" Type="http://schemas.openxmlformats.org/officeDocument/2006/relationships/hyperlink" Target="http://ya62.ru/articles/publishing/kadry-dlya-biznesa-zachem-nuzhny-kadrovye-agentstva/" TargetMode="External"/><Relationship Id="rId660" Type="http://schemas.openxmlformats.org/officeDocument/2006/relationships/image" Target="media/image49.jpg"/><Relationship Id="rId898" Type="http://schemas.openxmlformats.org/officeDocument/2006/relationships/hyperlink" Target="http://www.one-idol.ru/" TargetMode="External"/><Relationship Id="rId1041" Type="http://schemas.openxmlformats.org/officeDocument/2006/relationships/hyperlink" Target="http://research.cmsmagazine.ru/report-on-communication-policy-of-banks-on-internet-russia/" TargetMode="External"/><Relationship Id="rId1083" Type="http://schemas.openxmlformats.org/officeDocument/2006/relationships/hyperlink" Target="http://r.bookap.info/work/163626/Maloe-predprinimatelstvo-kak-subekt" TargetMode="External"/><Relationship Id="rId1139" Type="http://schemas.openxmlformats.org/officeDocument/2006/relationships/hyperlink" Target="https://healthy-zone.ru/pravilnoe-pitanie-dlya-zhenshhin-produktyi-dlya-zhenskogo-zdorovya-i-krasotyi" TargetMode="External"/><Relationship Id="rId1290" Type="http://schemas.openxmlformats.org/officeDocument/2006/relationships/hyperlink" Target="http://rulaws.ru/Lesnoy-kodeks/" TargetMode="External"/><Relationship Id="rId1304" Type="http://schemas.openxmlformats.org/officeDocument/2006/relationships/hyperlink" Target="http://elibrary.ru/contents.asp?issueid=1018977" TargetMode="External"/><Relationship Id="rId1346" Type="http://schemas.openxmlformats.org/officeDocument/2006/relationships/hyperlink" Target="http://&#1101;&#1083;&#1077;&#1082;&#1090;&#1088;&#1086;&#1090;&#1077;&#1093;&#1085;&#1080;&#1095;&#1077;&#1089;&#1082;&#1080;&#1081;-&#1087;&#1086;&#1088;&#1090;&#1072;&#1083;.&#1088;&#1092;/vetroenergetika.html" TargetMode="External"/><Relationship Id="rId106" Type="http://schemas.openxmlformats.org/officeDocument/2006/relationships/hyperlink" Target="http://megabook.ru/article/%d0%94%d0%b8%d1%82%d1%8f%d1%82%d0%b8%d0%bd%20%d0%90%d0%bb%d0%b5%d0%ba%d1%81%d0%b0%d0%bd%d0%b4%d1%80%20%d0%9d%d0%b8%d0%ba%d0%be%d0%bb%d0%b0%d0%b5%d0%b2%d0%b8%d1%87%20%5b%d1%81%d0%bf%d0%be%d1%80%d1%82%5d" TargetMode="External"/><Relationship Id="rId313"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95" Type="http://schemas.openxmlformats.org/officeDocument/2006/relationships/hyperlink" Target="https://myfin.by/info/srednyaya-zarplata-v-belarusi" TargetMode="External"/><Relationship Id="rId716"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58" Type="http://schemas.openxmlformats.org/officeDocument/2006/relationships/hyperlink" Target="http://www.oracle.com/" TargetMode="External"/><Relationship Id="rId923" Type="http://schemas.openxmlformats.org/officeDocument/2006/relationships/hyperlink" Target="http://www.grandars.ru/college/ekonomika-firmy/ekonomicheskie-pokazateli.html" TargetMode="External"/><Relationship Id="rId965" Type="http://schemas.openxmlformats.org/officeDocument/2006/relationships/hyperlink" Target="http://www.popmech.ru/science/327552-roboty-pchely-i-neobychnyy-gel-smogut-li-drony-zamenit-nasekomykh/" TargetMode="External"/><Relationship Id="rId1150" Type="http://schemas.openxmlformats.org/officeDocument/2006/relationships/hyperlink" Target="https://healthy-zone.ru/pravilnoe-pitanie-dlya-zhenshhin-produktyi-dlya-zhenskogo-zdorovya-i-krasotyi" TargetMode="External"/><Relationship Id="rId1388" Type="http://schemas.openxmlformats.org/officeDocument/2006/relationships/hyperlink" Target="http://kemerovostat.gks.ru/wps/wcm/connect/rosstat_ts/" TargetMode="External"/><Relationship Id="rId52" Type="http://schemas.openxmlformats.org/officeDocument/2006/relationships/hyperlink" Target="https://psibook.com/religion/demograficheskiy-potentsial-respubliki-belarus-osnovnye-tendentsii-razvitiya.html" TargetMode="External"/><Relationship Id="rId94" Type="http://schemas.openxmlformats.org/officeDocument/2006/relationships/hyperlink" Target="http://megabook.ru/article/%d0%9b%d0%b0%d1%82%d1%8b%d0%bd%d0%b8%d0%bd%d0%b0%20%d0%9b%d0%b0%d1%80%d0%b8%d1%81%d0%b0%20%d0%a1%d0%b5%d0%bc%d0%b5%d0%bd%d0%be%d0%b2%d0%bd%d0%b0" TargetMode="External"/><Relationship Id="rId148" Type="http://schemas.openxmlformats.org/officeDocument/2006/relationships/hyperlink" Target="http://www.customs.ru/index.php?option=com_content&amp;view=article&amp;id=24772:-------2016-&amp;catid=53:2011-01-24-16-29-43" TargetMode="External"/><Relationship Id="rId355" Type="http://schemas.openxmlformats.org/officeDocument/2006/relationships/hyperlink" Target="https://vc.ru/p/ikea-story" TargetMode="External"/><Relationship Id="rId397" Type="http://schemas.openxmlformats.org/officeDocument/2006/relationships/hyperlink" Target="http://www.rgdrzn.ru/" TargetMode="External"/><Relationship Id="rId520" Type="http://schemas.openxmlformats.org/officeDocument/2006/relationships/hyperlink" Target="http://ya62.ru/articles/publishing/kadry-dlya-biznesa-zachem-nuzhny-kadrovye-agentstva/" TargetMode="External"/><Relationship Id="rId562" Type="http://schemas.openxmlformats.org/officeDocument/2006/relationships/hyperlink" Target="http://ru-ecology.info/post/104037401150002/" TargetMode="External"/><Relationship Id="rId618" Type="http://schemas.openxmlformats.org/officeDocument/2006/relationships/hyperlink" Target="http://www.energya.by/kak-razvivayutsya-alternativnayia-energetika-v-belarusi/" TargetMode="External"/><Relationship Id="rId825" Type="http://schemas.openxmlformats.org/officeDocument/2006/relationships/hyperlink" Target="http://vegetarianskij.ru/kak-dobyvayut-mex-dlya-shub-iz-norki-lisicy-i-pesca/" TargetMode="External"/><Relationship Id="rId1192" Type="http://schemas.openxmlformats.org/officeDocument/2006/relationships/hyperlink" Target="http://www.ako.ru/PRESS/MESS/TEXT/impotrozameshenie.asp" TargetMode="External"/><Relationship Id="rId1206" Type="http://schemas.openxmlformats.org/officeDocument/2006/relationships/hyperlink" Target="http://biz.a42.ru/lenta/show/201606031656-vnesla-li-politika-importozamescheniya-suschestvennyie-izmeneniya-v-kuzbasskoy-ekonomike.html" TargetMode="External"/><Relationship Id="rId1248" Type="http://schemas.openxmlformats.org/officeDocument/2006/relationships/hyperlink" Target="http://press-service.uz/ru/news/5226/" TargetMode="External"/><Relationship Id="rId1413" Type="http://schemas.openxmlformats.org/officeDocument/2006/relationships/hyperlink" Target="http://cheloveknauka.com/adaptatsiya-molodyh-spetsialistov-v-sovremennyh-rossiyskih-organizatsiyah" TargetMode="External"/><Relationship Id="rId215" Type="http://schemas.openxmlformats.org/officeDocument/2006/relationships/hyperlink" Target="http://elib.bspu.by/bitstream/doc/5098/1/%D0%9E%D0%B1%D1%80%D0%B0%D0%B7%D0%BE%D0%B2%D0%B0%D0%BD%D0%B8%D0%B5%20%D0%B2%20%D0%B8%D0%BD%D1%82.pdf" TargetMode="External"/><Relationship Id="rId257" Type="http://schemas.openxmlformats.org/officeDocument/2006/relationships/hyperlink" Target="http://elib.bspu.by/bitstream/doc/5098/1/%D0%9E%D0%B1%D1%80%D0%B0%D0%B7%D0%BE%D0%B2%D0%B0%D0%BD%D0%B8%D0%B5%20%D0%B2%20%D0%B8%D0%BD%D1%82.pdf" TargetMode="External"/><Relationship Id="rId422" Type="http://schemas.openxmlformats.org/officeDocument/2006/relationships/hyperlink" Target="http://www.belstat.gov.by/ofitsialnaya-statistika/ssrd-mvf_2/natsionalnaya-stranitsa-svodnyh-dannyh/zarabotnaya-plata_2/" TargetMode="External"/><Relationship Id="rId464" Type="http://schemas.openxmlformats.org/officeDocument/2006/relationships/hyperlink" Target="http://zarplatyinfo.ru/v_mire/zarplata-v-belarusi-v-dollarax-i-rossijskix-rublyax-srednyaya-v-2015-2016-godu.html.%20&#8211;%20&#1044;&#1072;&#1090;&#1072;%20&#1076;&#1086;&#1089;&#1090;&#1091;&#1087;&#1072;%2014.04.2017" TargetMode="External"/><Relationship Id="rId867" Type="http://schemas.openxmlformats.org/officeDocument/2006/relationships/hyperlink" Target="http://alfa.moreprom.ru/index.php?option=com_content&amp;view=article&amp;id=91:2013-" TargetMode="External"/><Relationship Id="rId1010" Type="http://schemas.openxmlformats.org/officeDocument/2006/relationships/footer" Target="footer8.xml"/><Relationship Id="rId1052" Type="http://schemas.openxmlformats.org/officeDocument/2006/relationships/hyperlink" Target="http://research.cmsmagazine.ru/report-on-communication-policy-of-banks-on-internet-russia/" TargetMode="External"/><Relationship Id="rId1094" Type="http://schemas.openxmlformats.org/officeDocument/2006/relationships/hyperlink" Target="http://works.doklad.ru/view/-HnnOdfnLYo.html" TargetMode="External"/><Relationship Id="rId1108" Type="http://schemas.openxmlformats.org/officeDocument/2006/relationships/hyperlink" Target="http://heaclub.ru/pravilnoe-pitanie-dlya-zhenskoj-krasoty-poleznye-produkty-dlya-krasoty-i-zdorovya-kozhi-i-volos" TargetMode="External"/><Relationship Id="rId1315" Type="http://schemas.openxmlformats.org/officeDocument/2006/relationships/hyperlink" Target="https://ru.wikipedia.org/wiki/%D0%A1%D0%BE%D1%86%D0%B8%D0%B0%D0%BB-%D0%B4%D0%B5%D0%BC%D0%BE%D0%BA%D1%80%D0%B0%D1%82%D0%B8%D1%8F" TargetMode="External"/><Relationship Id="rId299"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727" Type="http://schemas.openxmlformats.org/officeDocument/2006/relationships/hyperlink" Target="https://www.autostat.ru/infographics/29458/" TargetMode="External"/><Relationship Id="rId934" Type="http://schemas.openxmlformats.org/officeDocument/2006/relationships/hyperlink" Target="http://www.grandars.ru/student/finansy/valyutnyy-kurs.html" TargetMode="External"/><Relationship Id="rId1357" Type="http://schemas.openxmlformats.org/officeDocument/2006/relationships/hyperlink" Target="https://ru.wikipedia.org/wiki/%D0%A1%D0%B0%D0%BD%D0%B8%D1%82%D0%B0%D1%80%D0%B8%D1%8F" TargetMode="External"/><Relationship Id="rId63" Type="http://schemas.openxmlformats.org/officeDocument/2006/relationships/hyperlink" Target="https://www.audit-it.ru/finanaliz/terms/liquidity/working_capital_ratio_means.html" TargetMode="External"/><Relationship Id="rId159" Type="http://schemas.openxmlformats.org/officeDocument/2006/relationships/image" Target="media/image14.png"/><Relationship Id="rId366"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573" Type="http://schemas.openxmlformats.org/officeDocument/2006/relationships/hyperlink" Target="http://ecoyear.ru/documentation/ukaz7/" TargetMode="External"/><Relationship Id="rId780" Type="http://schemas.openxmlformats.org/officeDocument/2006/relationships/hyperlink" Target="https://thenextweb.com/insider/2017/03/14/5-ways-voice-search-will-affect-seo-2017/" TargetMode="External"/><Relationship Id="rId1217" Type="http://schemas.openxmlformats.org/officeDocument/2006/relationships/image" Target="media/image74.jpg"/><Relationship Id="rId1424" Type="http://schemas.openxmlformats.org/officeDocument/2006/relationships/header" Target="header11.xml"/><Relationship Id="rId226" Type="http://schemas.openxmlformats.org/officeDocument/2006/relationships/hyperlink" Target="http://elib.bspu.by/bitstream/doc/5098/1/%D0%9E%D0%B1%D1%80%D0%B0%D0%B7%D0%BE%D0%B2%D0%B0%D0%BD%D0%B8%D0%B5%20%D0%B2%20%D0%B8%D0%BD%D1%82.pdf" TargetMode="External"/><Relationship Id="rId433"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878" Type="http://schemas.openxmlformats.org/officeDocument/2006/relationships/hyperlink" Target="http://greenologia.ru/eko-problemy/tyazhelye-metally-pochvu.html" TargetMode="External"/><Relationship Id="rId1063" Type="http://schemas.openxmlformats.org/officeDocument/2006/relationships/hyperlink" Target="http://science.kuzstu.ru/wp-content/Events/Conference/RM/2015/RM15/pages/Articles/IEU/2/70.pdf" TargetMode="External"/><Relationship Id="rId1270" Type="http://schemas.openxmlformats.org/officeDocument/2006/relationships/hyperlink" Target="https://ru.wikipedia.org/wiki/%D0%9E%D0%B1%D1%81%D0%BB%D0%B5%D0%B4%D0%BE%D0%B2%D0%B0%D0%BD%D0%B8%D0%B5_%D0%BD%D0%B0%D1%81%D0%B5%D0%BB%D0%B5%D0%BD%D0%B8%D1%8F_%D0%BF%D0%BE_%D0%BF%D1%80%D0%BE%D0%B1%D0%BB%D0%B5%D0%BC%D0%B0%D0%BC_%D0%B7%D0%B0%D0%BD%D1%8F%D1%82%D0%BE%D1%81%D1%82%D0%B8" TargetMode="External"/><Relationship Id="rId640"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738" Type="http://schemas.openxmlformats.org/officeDocument/2006/relationships/hyperlink" Target="https://www.autostat.ru/news/29544/" TargetMode="External"/><Relationship Id="rId945" Type="http://schemas.openxmlformats.org/officeDocument/2006/relationships/hyperlink" Target="http://www.nat-geo.ru/planet/50995-na-zemle-mozhet-ne-ostatsya-pchel/" TargetMode="External"/><Relationship Id="rId1368" Type="http://schemas.openxmlformats.org/officeDocument/2006/relationships/hyperlink" Target="http://www.gks.ru/wps/wcm/" TargetMode="External"/><Relationship Id="rId74" Type="http://schemas.openxmlformats.org/officeDocument/2006/relationships/hyperlink" Target="http://megabook.ru/article/%d0%9a%d0%be%d0%bb%d1%8c%d1%86%d0%b0" TargetMode="External"/><Relationship Id="rId377" Type="http://schemas.openxmlformats.org/officeDocument/2006/relationships/hyperlink" Target="http://www.belstat.gov.by/metodologiya/kratkiy-glossariy-statisticheskikh-terminov/26/" TargetMode="External"/><Relationship Id="rId500" Type="http://schemas.openxmlformats.org/officeDocument/2006/relationships/hyperlink" Target="http://zarplatyinfo.ru/v_mire/zarplata-v-belarusi-v-dollarax-i-rossijskix-rublyax-srednyaya-v-2015-2016-godu.html.%20&#8211;%20&#1044;&#1072;&#1090;&#1072;%20&#1076;&#1086;&#1089;&#1090;&#1091;&#1087;&#1072;%2014.04.2017" TargetMode="External"/><Relationship Id="rId584" Type="http://schemas.openxmlformats.org/officeDocument/2006/relationships/hyperlink" Target="http://gtmarket.ru/ratings/environmental-performance-index/info" TargetMode="External"/><Relationship Id="rId805" Type="http://schemas.openxmlformats.org/officeDocument/2006/relationships/hyperlink" Target="http://searchengineland.com/google-reveals-20-percent-queries-voice-queries-249917" TargetMode="External"/><Relationship Id="rId1130" Type="http://schemas.openxmlformats.org/officeDocument/2006/relationships/hyperlink" Target="http://zapiskiprofana.ru/pravilnoe-pitanie-dlya-zhenshhin/" TargetMode="External"/><Relationship Id="rId1228" Type="http://schemas.openxmlformats.org/officeDocument/2006/relationships/hyperlink" Target="https://myfin.by/wiki/term/saldo" TargetMode="External"/><Relationship Id="rId5" Type="http://schemas.openxmlformats.org/officeDocument/2006/relationships/footnotes" Target="footnotes.xml"/><Relationship Id="rId237" Type="http://schemas.openxmlformats.org/officeDocument/2006/relationships/hyperlink" Target="http://elib.bspu.by/bitstream/doc/5098/1/%D0%9E%D0%B1%D1%80%D0%B0%D0%B7%D0%BE%D0%B2%D0%B0%D0%BD%D0%B8%D0%B5%20%D0%B2%20%D0%B8%D0%BD%D1%82.pdf" TargetMode="External"/><Relationship Id="rId791" Type="http://schemas.openxmlformats.org/officeDocument/2006/relationships/hyperlink" Target="http://searchengineland.com/google-reveals-20-percent-queries-voice-queries-249917" TargetMode="External"/><Relationship Id="rId889" Type="http://schemas.openxmlformats.org/officeDocument/2006/relationships/hyperlink" Target="http://ru-ecology.info/post/100767101910002/" TargetMode="External"/><Relationship Id="rId1074" Type="http://schemas.openxmlformats.org/officeDocument/2006/relationships/hyperlink" Target="http://novainfo.ru/article/10107/pdf" TargetMode="External"/><Relationship Id="rId444"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51" Type="http://schemas.openxmlformats.org/officeDocument/2006/relationships/hyperlink" Target="https://sb-vnedr.ru/about/publication/12468/" TargetMode="External"/><Relationship Id="rId749" Type="http://schemas.openxmlformats.org/officeDocument/2006/relationships/hyperlink" Target="http://autodrop.ru/autonews/1184-ceny-na-avto-2017.html" TargetMode="External"/><Relationship Id="rId1281" Type="http://schemas.openxmlformats.org/officeDocument/2006/relationships/hyperlink" Target="http://www.gks.ru/free_doc/new_site/population/trud/Untitled452-10.pdf" TargetMode="External"/><Relationship Id="rId1379" Type="http://schemas.openxmlformats.org/officeDocument/2006/relationships/hyperlink" Target="http://kemerovostat.gks.ru/wps/wcm/connect/rosstat_ts/" TargetMode="External"/><Relationship Id="rId290"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4"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88" Type="http://schemas.openxmlformats.org/officeDocument/2006/relationships/hyperlink" Target="https://docviewer.yandex.by/view/437124499/?*=iuzvh3LgCxvFbhvoxTFCdZ5KdGp7InVybCI6Imh0dHA6Ly93d3cuc3JyYi5uaWtzLmJ5L2luZm8vcHJvZ3JhbS5wZGYiLCJ0aXRsZSI6InByb2dyYW0ucGRmIiwidWlkIjoiNDM3MTI0NDk5IiwieXUiOiI4Mjg0NDg1MzYxNDc3NjA1ODM0Iiwibm9pZnJhbWUiOnRydWUsInRzIjoxNDkxNzYzMTE0MzczfQ%3D%3D&amp;lang=ru" TargetMode="External"/><Relationship Id="rId511" Type="http://schemas.openxmlformats.org/officeDocument/2006/relationships/hyperlink" Target="http://ya62.ru/articles/publishing/kadry-dlya-biznesa-zachem-nuzhny-kadrovye-agentstva/" TargetMode="External"/><Relationship Id="rId609" Type="http://schemas.openxmlformats.org/officeDocument/2006/relationships/hyperlink" Target="http://www.oecdbetterlifeindex.org/ru/" TargetMode="External"/><Relationship Id="rId956" Type="http://schemas.openxmlformats.org/officeDocument/2006/relationships/hyperlink" Target="http://www.nat-geo.ru/planet/50995-na-zemle-mozhet-ne-ostatsya-pchel/" TargetMode="External"/><Relationship Id="rId1141" Type="http://schemas.openxmlformats.org/officeDocument/2006/relationships/hyperlink" Target="https://healthy-zone.ru/pravilnoe-pitanie-dlya-zhenshhin-produktyi-dlya-zhenskogo-zdorovya-i-krasotyi" TargetMode="External"/><Relationship Id="rId1239" Type="http://schemas.openxmlformats.org/officeDocument/2006/relationships/hyperlink" Target="https://www.gov.uk/government/uploads/system/uploads/attachment_data/file/32450/11-1387-innovation-and-research-strategy-for-growth.pdf" TargetMode="External"/><Relationship Id="rId85" Type="http://schemas.openxmlformats.org/officeDocument/2006/relationships/hyperlink" Target="http://megabook.ru/article/%d0%9e%d0%bb%d0%b8%d0%bc%d0%bf%d0%b8%d0%b9%d1%81%d0%ba%d0%b8%d0%b5%20%d0%b8%d0%b3%d1%80%d1%8b%20(%d0%bb%d0%b5%d1%82%d0%bd%d0%b8%d0%b5)" TargetMode="External"/><Relationship Id="rId150" Type="http://schemas.openxmlformats.org/officeDocument/2006/relationships/hyperlink" Target="http://www.customs.ru/index.php?option=com_content&amp;view=article&amp;id=24772:-------2016-&amp;catid=53:2011-01-24-16-29-43" TargetMode="External"/><Relationship Id="rId595" Type="http://schemas.openxmlformats.org/officeDocument/2006/relationships/hyperlink" Target="http://www.ecologytarget.ru/tarecs-34-1.html" TargetMode="External"/><Relationship Id="rId816" Type="http://schemas.openxmlformats.org/officeDocument/2006/relationships/hyperlink" Target="https://spark.ru/startup/se-ranking/blog/19483/pochemu-golosovoj-poisk-glavnij-trend-2017" TargetMode="External"/><Relationship Id="rId1001" Type="http://schemas.openxmlformats.org/officeDocument/2006/relationships/hyperlink" Target="https://hi-news.ru/eto-interesno/video-roboty-pomogayushhie-uchyonym-nablyudat-za-dikoj-prirodoj.html%20-%20Hi-news.ru" TargetMode="External"/><Relationship Id="rId248" Type="http://schemas.openxmlformats.org/officeDocument/2006/relationships/hyperlink" Target="http://elib.bspu.by/bitstream/doc/5098/1/%D0%9E%D0%B1%D1%80%D0%B0%D0%B7%D0%BE%D0%B2%D0%B0%D0%BD%D0%B8%D0%B5%20%D0%B2%20%D0%B8%D0%BD%D1%82.pdf" TargetMode="External"/><Relationship Id="rId455"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62" Type="http://schemas.openxmlformats.org/officeDocument/2006/relationships/image" Target="media/image51.png"/><Relationship Id="rId1085" Type="http://schemas.openxmlformats.org/officeDocument/2006/relationships/hyperlink" Target="http://r.bookap.info/work/163626/Maloe-predprinimatelstvo-kak-subekt" TargetMode="External"/><Relationship Id="rId1292" Type="http://schemas.openxmlformats.org/officeDocument/2006/relationships/hyperlink" Target="http://rulaws.ru/Lesnoy-kodeks/" TargetMode="External"/><Relationship Id="rId1306" Type="http://schemas.openxmlformats.org/officeDocument/2006/relationships/hyperlink" Target="http://elibrary.ru/contents.asp?issueid=1018977&amp;selid=17783263" TargetMode="External"/><Relationship Id="rId108" Type="http://schemas.openxmlformats.org/officeDocument/2006/relationships/hyperlink" Target="http://megabook.ru/article/%d0%94%d0%b8%d1%82%d1%8f%d1%82%d0%b8%d0%bd%20%d0%90%d0%bb%d0%b5%d0%ba%d1%81%d0%b0%d0%bd%d0%b4%d1%80%20%d0%9d%d0%b8%d0%ba%d0%be%d0%bb%d0%b0%d0%b5%d0%b2%d0%b8%d1%87%20%5b%d1%81%d0%bf%d0%be%d1%80%d1%82%5d" TargetMode="External"/><Relationship Id="rId315" Type="http://schemas.openxmlformats.org/officeDocument/2006/relationships/hyperlink" Target="http://www.research.by/webroot/delivery/files/pdp2016r04.pdf" TargetMode="External"/><Relationship Id="rId522" Type="http://schemas.openxmlformats.org/officeDocument/2006/relationships/hyperlink" Target="http://economy.gov.ru/" TargetMode="External"/><Relationship Id="rId967" Type="http://schemas.openxmlformats.org/officeDocument/2006/relationships/hyperlink" Target="http://www.popmech.ru/science/327552-roboty-pchely-i-neobychnyy-gel-smogut-li-drony-zamenit-nasekomykh/" TargetMode="External"/><Relationship Id="rId1152" Type="http://schemas.openxmlformats.org/officeDocument/2006/relationships/hyperlink" Target="https://healthy-zone.ru/pravilnoe-pitanie-dlya-zhenshhin-produktyi-dlya-zhenskogo-zdorovya-i-krasotyi" TargetMode="External"/><Relationship Id="rId96" Type="http://schemas.openxmlformats.org/officeDocument/2006/relationships/hyperlink" Target="http://megabook.ru/article/%d0%a8%d0%b0%d1%85%d0%bb%d0%b8%d0%bd%20%d0%91%d0%be%d1%80%d0%b8%d1%81%20%d0%90%d0%bd%d1%84%d0%b8%d1%8f%d0%bd%d0%be%d0%b2%d0%b8%d1%87" TargetMode="External"/><Relationship Id="rId161" Type="http://schemas.openxmlformats.org/officeDocument/2006/relationships/image" Target="media/image16.png"/><Relationship Id="rId399" Type="http://schemas.openxmlformats.org/officeDocument/2006/relationships/image" Target="media/image34.png"/><Relationship Id="rId827" Type="http://schemas.openxmlformats.org/officeDocument/2006/relationships/hyperlink" Target="http://vegetarianskij.ru/kak-dobyvayut-mex-dlya-shub-iz-norki-lisicy-i-pesca/" TargetMode="External"/><Relationship Id="rId1012" Type="http://schemas.openxmlformats.org/officeDocument/2006/relationships/footer" Target="footer9.xml"/><Relationship Id="rId259" Type="http://schemas.openxmlformats.org/officeDocument/2006/relationships/hyperlink" Target="http://elib.bspu.by/bitstream/doc/5098/1/%D0%9E%D0%B1%D1%80%D0%B0%D0%B7%D0%BE%D0%B2%D0%B0%D0%BD%D0%B8%D0%B5%20%D0%B2%20%D0%B8%D0%BD%D1%82.pdf" TargetMode="External"/><Relationship Id="rId466" Type="http://schemas.openxmlformats.org/officeDocument/2006/relationships/hyperlink" Target="http://zarplatyinfo.ru/v_mire/zarplata-v-belarusi-v-dollarax-i-rossijskix-rublyax-srednyaya-v-2015-2016-godu.html.%20&#8211;%20&#1044;&#1072;&#1090;&#1072;%20&#1076;&#1086;&#1089;&#1090;&#1091;&#1087;&#1072;%2014.04.2017" TargetMode="External"/><Relationship Id="rId673" Type="http://schemas.openxmlformats.org/officeDocument/2006/relationships/hyperlink" Target="https://myfin.by/wiki/term/posobie-po-bezrabotice" TargetMode="External"/><Relationship Id="rId880" Type="http://schemas.openxmlformats.org/officeDocument/2006/relationships/hyperlink" Target="http://greenologia.ru/eko-problemy/tyazhelye-metally-pochvu.html" TargetMode="External"/><Relationship Id="rId1096" Type="http://schemas.openxmlformats.org/officeDocument/2006/relationships/hyperlink" Target="http://www.scienceforum.ru/2015/pdf/11632.pdf" TargetMode="External"/><Relationship Id="rId1317" Type="http://schemas.openxmlformats.org/officeDocument/2006/relationships/hyperlink" Target="https://ru.wikipedia.org/wiki/%D0%A1%D0%BE%D1%86%D0%B8%D0%B0%D0%BB-%D0%B4%D0%B5%D0%BC%D0%BE%D0%BA%D1%80%D0%B0%D1%82%D0%B8%D1%8F" TargetMode="External"/><Relationship Id="rId119" Type="http://schemas.openxmlformats.org/officeDocument/2006/relationships/hyperlink" Target="http://pandia.ru/text/80/149/9122.php" TargetMode="External"/><Relationship Id="rId326" Type="http://schemas.openxmlformats.org/officeDocument/2006/relationships/hyperlink" Target="https://vk.com/away.php?to=http%3A%2F%2Fwww.belstat.gov.by%2Fofitsialnaya-statistika%2Fmakroekonomika-i-okruzhayushchaya-sreda%2Ffinansy%2Fgodovye-dannye_14%2Ffinansovye-rezultaty-raboty-organizatsii%2F&amp;cc_key=" TargetMode="External"/><Relationship Id="rId533" Type="http://schemas.openxmlformats.org/officeDocument/2006/relationships/hyperlink" Target="http://www.cfin.ru/finanalysis/banks/scoring.shtml" TargetMode="External"/><Relationship Id="rId978" Type="http://schemas.openxmlformats.org/officeDocument/2006/relationships/hyperlink" Target="http://www.popmech.ru/science/327552-roboty-pchely-i-neobychnyy-gel-smogut-li-drony-zamenit-nasekomykh/" TargetMode="External"/><Relationship Id="rId1163" Type="http://schemas.openxmlformats.org/officeDocument/2006/relationships/hyperlink" Target="http://www.hr-portal.ru/article/trendy-razvitiya-hrm-tehnologiy-2014" TargetMode="External"/><Relationship Id="rId1370" Type="http://schemas.openxmlformats.org/officeDocument/2006/relationships/hyperlink" Target="http://www.gks.ru/wps/wcm/" TargetMode="External"/><Relationship Id="rId740" Type="http://schemas.openxmlformats.org/officeDocument/2006/relationships/hyperlink" Target="https://www.autostat.ru/news/29544/" TargetMode="External"/><Relationship Id="rId838" Type="http://schemas.openxmlformats.org/officeDocument/2006/relationships/hyperlink" Target="http://vegetarianskij.ru/kak-dobyvayut-mex-dlya-shub-iz-norki-lisicy-i-pesca/" TargetMode="External"/><Relationship Id="rId1023" Type="http://schemas.openxmlformats.org/officeDocument/2006/relationships/image" Target="media/image62.png"/><Relationship Id="rId172" Type="http://schemas.openxmlformats.org/officeDocument/2006/relationships/hyperlink" Target="http://www.belstat.gov.by/ofitsialnaya-statistika/solialnaya-sfera/obrazovanie/godovye-dannye_5/osnovnye-pokazateli-obrazovaniya/" TargetMode="External"/><Relationship Id="rId477" Type="http://schemas.openxmlformats.org/officeDocument/2006/relationships/hyperlink" Target="http://zarplatyinfo.ru/v_mire/zarplata-v-belarusi-v-dollarax-i-rossijskix-rublyax-srednyaya-v-2015-2016-godu.html.%20&#8211;%20&#1044;&#1072;&#1090;&#1072;%20&#1076;&#1086;&#1089;&#1090;&#1091;&#1087;&#1072;%2014.04.2017" TargetMode="External"/><Relationship Id="rId600" Type="http://schemas.openxmlformats.org/officeDocument/2006/relationships/hyperlink" Target="http://www.ecologytarget.ru/tarecs-34-1.html" TargetMode="External"/><Relationship Id="rId684"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230" Type="http://schemas.openxmlformats.org/officeDocument/2006/relationships/hyperlink" Target="https://www.gov.uk/government/uploads/system/uploads/attachment_data/file/32450/11-1387-innovation-and-research-strategy-for-growth.pdf" TargetMode="External"/><Relationship Id="rId1328" Type="http://schemas.openxmlformats.org/officeDocument/2006/relationships/hyperlink" Target="http://old.dnr-online.ru/wp-content/uploads/2016/05/PrikazMinTSP_N4_2_04022015.pdf" TargetMode="External"/><Relationship Id="rId337" Type="http://schemas.openxmlformats.org/officeDocument/2006/relationships/hyperlink" Target="http://www.belstat.gov.by/ofitsialnaya-statistika/publications/izdania/public_bulletin/index_6948/" TargetMode="External"/><Relationship Id="rId891" Type="http://schemas.openxmlformats.org/officeDocument/2006/relationships/hyperlink" Target="http://ru-ecology.info/post/100767101910002/" TargetMode="External"/><Relationship Id="rId905" Type="http://schemas.openxmlformats.org/officeDocument/2006/relationships/hyperlink" Target="http://www.grandars.ru/student/nac-ekonomika/rynochnaya-ekonomika.html" TargetMode="External"/><Relationship Id="rId989" Type="http://schemas.openxmlformats.org/officeDocument/2006/relationships/hyperlink" Target="https://hi-news.ru/eto-interesno/video-roboty-pomogayushhie-uchyonym-nablyudat-za-dikoj-prirodoj.html%20-%20Hi-news.ru" TargetMode="External"/><Relationship Id="rId34" Type="http://schemas.openxmlformats.org/officeDocument/2006/relationships/header" Target="header3.xml"/><Relationship Id="rId544" Type="http://schemas.openxmlformats.org/officeDocument/2006/relationships/hyperlink" Target="http://progmk.ru/avtoinformator-na-arduino-ozvuchivanie-komand/" TargetMode="External"/><Relationship Id="rId751" Type="http://schemas.openxmlformats.org/officeDocument/2006/relationships/hyperlink" Target="http://autodrop.ru/autonews/1184-ceny-na-avto-2017.html" TargetMode="External"/><Relationship Id="rId849" Type="http://schemas.openxmlformats.org/officeDocument/2006/relationships/hyperlink" Target="http://vegetarianskij.ru/kak-dobyvayut-mex-dlya-shub-iz-norki-lisicy-i-pesca/" TargetMode="External"/><Relationship Id="rId1174" Type="http://schemas.openxmlformats.org/officeDocument/2006/relationships/hyperlink" Target="http://www.hr-portal.ru/article/trendy-razvitiya-hrm-tehnologiy-2014" TargetMode="External"/><Relationship Id="rId1381" Type="http://schemas.openxmlformats.org/officeDocument/2006/relationships/hyperlink" Target="http://kemerovostat.gks.ru/wps/wcm/connect/rosstat_ts/" TargetMode="External"/><Relationship Id="rId183" Type="http://schemas.openxmlformats.org/officeDocument/2006/relationships/hyperlink" Target="http://www.belstat.gov.by/ofitsialnaya-statistika/solialnaya-sfera/obrazovanie/godovye-dannye_5/osnovnye-pokazateli-obrazovaniya/" TargetMode="External"/><Relationship Id="rId390" Type="http://schemas.openxmlformats.org/officeDocument/2006/relationships/image" Target="media/image31.jpg"/><Relationship Id="rId404" Type="http://schemas.openxmlformats.org/officeDocument/2006/relationships/hyperlink" Target="https://myfin.by/wiki/term/indeks-potrebitelskih-cen" TargetMode="External"/><Relationship Id="rId611" Type="http://schemas.openxmlformats.org/officeDocument/2006/relationships/hyperlink" Target="http://www.oecdbetterlifeindex.org/ru/" TargetMode="External"/><Relationship Id="rId1034" Type="http://schemas.openxmlformats.org/officeDocument/2006/relationships/hyperlink" Target="http://rulaws.ru/Lesnoy-kodeks/" TargetMode="External"/><Relationship Id="rId1241" Type="http://schemas.openxmlformats.org/officeDocument/2006/relationships/hyperlink" Target="https://www.gov.uk/government/uploads/system/uploads/attachment_data/file/32450/11-1387-innovation-and-research-strategy-for-growth.pdf" TargetMode="External"/><Relationship Id="rId1339" Type="http://schemas.openxmlformats.org/officeDocument/2006/relationships/hyperlink" Target="http://seoklub.ru/seo/avtorskie-prava-v-internete.html" TargetMode="External"/><Relationship Id="rId250" Type="http://schemas.openxmlformats.org/officeDocument/2006/relationships/hyperlink" Target="http://elib.bspu.by/bitstream/doc/5098/1/%D0%9E%D0%B1%D1%80%D0%B0%D0%B7%D0%BE%D0%B2%D0%B0%D0%BD%D0%B8%D0%B5%20%D0%B2%20%D0%B8%D0%BD%D1%82.pdf" TargetMode="External"/><Relationship Id="rId488" Type="http://schemas.openxmlformats.org/officeDocument/2006/relationships/hyperlink" Target="http://zarplatyinfo.ru/v_mire/zarplata-v-belarusi-v-dollarax-i-rossijskix-rublyax-srednyaya-v-2015-2016-godu.html.%20&#8211;%20&#1044;&#1072;&#1090;&#1072;%20&#1076;&#1086;&#1089;&#1090;&#1091;&#1087;&#1072;%2014.04.2017" TargetMode="External"/><Relationship Id="rId695"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09"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6" Type="http://schemas.openxmlformats.org/officeDocument/2006/relationships/hyperlink" Target="http://www.grandars.ru/student/fin-m/denezhnyy-potok.html" TargetMode="External"/><Relationship Id="rId1101" Type="http://schemas.openxmlformats.org/officeDocument/2006/relationships/hyperlink" Target="http://heaclub.ru/pravilnoe-pitanie-dlya-zhenskoj-krasoty-poleznye-produkty-dlya-krasoty-i-zdorovya-kozhi-i-volos" TargetMode="External"/><Relationship Id="rId45" Type="http://schemas.openxmlformats.org/officeDocument/2006/relationships/hyperlink" Target="https://psibook.com/religion/demograficheskiy-potentsial-respubliki-belarus-osnovnye-tendentsii-razvitiya.html" TargetMode="External"/><Relationship Id="rId110" Type="http://schemas.openxmlformats.org/officeDocument/2006/relationships/hyperlink" Target="http://megabook.ru/article/%d0%a9%d0%b5%d1%80%d0%b1%d0%be%20%d0%92%d0%b8%d1%82%d0%b0%d0%bb%d0%b8%d0%b9%20%d0%92%d0%b5%d0%bd%d0%b5%d0%b4%d0%b8%d0%ba%d1%82%d0%be%d0%b2%d0%b8%d1%87" TargetMode="External"/><Relationship Id="rId348" Type="http://schemas.openxmlformats.org/officeDocument/2006/relationships/hyperlink" Target="http://gagarskiy.narod.ru/" TargetMode="External"/><Relationship Id="rId555" Type="http://schemas.openxmlformats.org/officeDocument/2006/relationships/hyperlink" Target="http://robotosha.ru/arduino/fritzing-intro.html" TargetMode="External"/><Relationship Id="rId762" Type="http://schemas.openxmlformats.org/officeDocument/2006/relationships/image" Target="media/image53.jpg"/><Relationship Id="rId1185" Type="http://schemas.openxmlformats.org/officeDocument/2006/relationships/hyperlink" Target="http://government.ru/docs/11912/" TargetMode="External"/><Relationship Id="rId1392" Type="http://schemas.openxmlformats.org/officeDocument/2006/relationships/hyperlink" Target="http://kemerovostat.gks.ru/wps/wcm/connect/rosstat_ts/" TargetMode="External"/><Relationship Id="rId1406" Type="http://schemas.openxmlformats.org/officeDocument/2006/relationships/hyperlink" Target="http://cheloveknauka.com/adaptatsiya-molodyh-spetsialistov-v-sovremennyh-rossiyskih-organizatsiyah" TargetMode="External"/><Relationship Id="rId194" Type="http://schemas.openxmlformats.org/officeDocument/2006/relationships/hyperlink" Target="http://elib.bspu.by/bitstream/doc/5098/1/%D0%9E%D0%B1%D1%80%D0%B0%D0%B7%D0%BE%D0%B2%D0%B0%D0%BD%D0%B8%D0%B5%20%D0%B2%20%D0%B8%D0%BD%D1%82.pdf" TargetMode="External"/><Relationship Id="rId208" Type="http://schemas.openxmlformats.org/officeDocument/2006/relationships/hyperlink" Target="http://elib.bspu.by/bitstream/doc/5098/1/%D0%9E%D0%B1%D1%80%D0%B0%D0%B7%D0%BE%D0%B2%D0%B0%D0%BD%D0%B8%D0%B5%20%D0%B2%20%D0%B8%D0%BD%D1%82.pdf" TargetMode="External"/><Relationship Id="rId415" Type="http://schemas.openxmlformats.org/officeDocument/2006/relationships/hyperlink" Target="http://www.belstat.gov.by/ofitsialnaya-statistika/ssrd-mvf_2/natsionalnaya-stranitsa-svodnyh-dannyh/zarabotnaya-plata_2/" TargetMode="External"/><Relationship Id="rId622" Type="http://schemas.openxmlformats.org/officeDocument/2006/relationships/hyperlink" Target="http://www.energya.by/kak-razvivayutsya-alternativnayia-energetika-v-belarusi/" TargetMode="External"/><Relationship Id="rId1045" Type="http://schemas.openxmlformats.org/officeDocument/2006/relationships/hyperlink" Target="http://research.cmsmagazine.ru/report-on-communication-policy-of-banks-on-internet-russia/" TargetMode="External"/><Relationship Id="rId1252" Type="http://schemas.openxmlformats.org/officeDocument/2006/relationships/hyperlink" Target="http://www.gks.ru/wps/wcm/connect/rosstat_main/rosstat/ru/statistics/publications/catalog/doc" TargetMode="External"/><Relationship Id="rId261" Type="http://schemas.openxmlformats.org/officeDocument/2006/relationships/hyperlink" Target="http://elib.bspu.by/bitstream/doc/5098/1/%D0%9E%D0%B1%D1%80%D0%B0%D0%B7%D0%BE%D0%B2%D0%B0%D0%BD%D0%B8%D0%B5%20%D0%B2%20%D0%B8%D0%BD%D1%82.pdf" TargetMode="External"/><Relationship Id="rId499" Type="http://schemas.openxmlformats.org/officeDocument/2006/relationships/hyperlink" Target="http://zarplatyinfo.ru/v_mire/zarplata-v-belarusi-v-dollarax-i-rossijskix-rublyax-srednyaya-v-2015-2016-godu.html.%20&#8211;%20&#1044;&#1072;&#1090;&#1072;%20&#1076;&#1086;&#1089;&#1090;&#1091;&#1087;&#1072;%2014.04.2017" TargetMode="External"/><Relationship Id="rId927" Type="http://schemas.openxmlformats.org/officeDocument/2006/relationships/hyperlink" Target="http://www.grandars.ru/student/ekonomicheskaya-teoriya/valovyy-vnutrenniy-produkt.html" TargetMode="External"/><Relationship Id="rId1112" Type="http://schemas.openxmlformats.org/officeDocument/2006/relationships/hyperlink" Target="http://heaclub.ru/pravilnoe-pitanie-dlya-zhenskoj-krasoty-poleznye-produkty-dlya-krasoty-i-zdorovya-kozhi-i-volos" TargetMode="External"/><Relationship Id="rId56" Type="http://schemas.openxmlformats.org/officeDocument/2006/relationships/hyperlink" Target="http://www.vedu.ru/bigencdic/18087/" TargetMode="External"/><Relationship Id="rId359" Type="http://schemas.openxmlformats.org/officeDocument/2006/relationships/hyperlink" Target="http://www.smartmanage.ru/deels-441-1.html" TargetMode="External"/><Relationship Id="rId566" Type="http://schemas.openxmlformats.org/officeDocument/2006/relationships/hyperlink" Target="http://ru-ecology.info/post/104037401150002/" TargetMode="External"/><Relationship Id="rId773" Type="http://schemas.openxmlformats.org/officeDocument/2006/relationships/hyperlink" Target="https://thenextweb.com/insider/2017/03/14/5-ways-voice-search-will-affect-seo-2017/" TargetMode="External"/><Relationship Id="rId1196" Type="http://schemas.openxmlformats.org/officeDocument/2006/relationships/hyperlink" Target="http://biz.a42.ru/lenta/show/201606031656-vnesla-li-politika-importozamescheniya-suschestvennyie-izmeneniya-v-kuzbasskoy-ekonomike.html" TargetMode="External"/><Relationship Id="rId1417" Type="http://schemas.openxmlformats.org/officeDocument/2006/relationships/hyperlink" Target="http://cheloveknauka.com/adaptatsiya-molodyh-spetsialistov-v-sovremennyh-rossiyskih-organizatsiyah" TargetMode="External"/><Relationship Id="rId121" Type="http://schemas.openxmlformats.org/officeDocument/2006/relationships/hyperlink" Target="http://vedkuzbass.ru/index.php/mezhdunarodnoe-i-mezhregionalnoe-sotrudnichestvo/itogived" TargetMode="External"/><Relationship Id="rId219" Type="http://schemas.openxmlformats.org/officeDocument/2006/relationships/hyperlink" Target="http://elib.bspu.by/bitstream/doc/5098/1/%D0%9E%D0%B1%D1%80%D0%B0%D0%B7%D0%BE%D0%B2%D0%B0%D0%BD%D0%B8%D0%B5%20%D0%B2%20%D0%B8%D0%BD%D1%82.pdf" TargetMode="External"/><Relationship Id="rId426"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33"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980" Type="http://schemas.openxmlformats.org/officeDocument/2006/relationships/hyperlink" Target="http://www.popmech.ru/science/327552-roboty-pchely-i-neobychnyy-gel-smogut-li-drony-zamenit-nasekomykh/" TargetMode="External"/><Relationship Id="rId1056" Type="http://schemas.openxmlformats.org/officeDocument/2006/relationships/hyperlink" Target="http://www.sberbank.ru/ru/person" TargetMode="External"/><Relationship Id="rId1263" Type="http://schemas.openxmlformats.org/officeDocument/2006/relationships/hyperlink" Target="https://ru.wikipedia.org/wiki/%D0%A0%D0%BE%D1%81%D1%81%D0%B8%D1%8F" TargetMode="External"/><Relationship Id="rId840" Type="http://schemas.openxmlformats.org/officeDocument/2006/relationships/hyperlink" Target="http://vegetarianskij.ru/kak-dobyvayut-mex-dlya-shub-iz-norki-lisicy-i-pesca/" TargetMode="External"/><Relationship Id="rId938" Type="http://schemas.openxmlformats.org/officeDocument/2006/relationships/hyperlink" Target="http://media.rspp.ru/document/1/f/2/f2eb3b415cffeb9aa7001c155904efea.pdf" TargetMode="External"/><Relationship Id="rId67" Type="http://schemas.openxmlformats.org/officeDocument/2006/relationships/hyperlink" Target="https://www.audit-it.ru/finanaliz/terms/solvency/" TargetMode="External"/><Relationship Id="rId272" Type="http://schemas.openxmlformats.org/officeDocument/2006/relationships/hyperlink" Target="http://www.pravo.by/document%20/?guid=3871&amp;p0=H11000148" TargetMode="External"/><Relationship Id="rId577" Type="http://schemas.openxmlformats.org/officeDocument/2006/relationships/hyperlink" Target="http://www.mnr.gov.ru/regulatory/" TargetMode="External"/><Relationship Id="rId700"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123" Type="http://schemas.openxmlformats.org/officeDocument/2006/relationships/hyperlink" Target="http://heaclub.ru/pravilnoe-pitanie-dlya-zhenskoj-krasoty-poleznye-produkty-dlya-krasoty-i-zdorovya-kozhi-i-volos" TargetMode="External"/><Relationship Id="rId1330" Type="http://schemas.openxmlformats.org/officeDocument/2006/relationships/hyperlink" Target="http://old.dnr-online.ru/wp-content/uploads/2016/05/PrikazMinTSP_N4_2_04022015.pdf" TargetMode="External"/><Relationship Id="rId1428" Type="http://schemas.openxmlformats.org/officeDocument/2006/relationships/footer" Target="footer12.xml"/><Relationship Id="rId132" Type="http://schemas.openxmlformats.org/officeDocument/2006/relationships/hyperlink" Target="http://www.metaltorg.ru/margantsevyj-kontsentrat.htm" TargetMode="External"/><Relationship Id="rId784" Type="http://schemas.openxmlformats.org/officeDocument/2006/relationships/hyperlink" Target="https://thenextweb.com/insider/2017/03/14/5-ways-voice-search-will-affect-seo-2017/" TargetMode="External"/><Relationship Id="rId991" Type="http://schemas.openxmlformats.org/officeDocument/2006/relationships/hyperlink" Target="https://hi-news.ru/eto-interesno/video-roboty-pomogayushhie-uchyonym-nablyudat-za-dikoj-prirodoj.html%20-%20Hi-news.ru" TargetMode="External"/><Relationship Id="rId1067" Type="http://schemas.openxmlformats.org/officeDocument/2006/relationships/hyperlink" Target="http://www.kemerovo.ru/archive/file/2027/invest_pasport_kemerovo.pdf" TargetMode="External"/><Relationship Id="rId437"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44" Type="http://schemas.openxmlformats.org/officeDocument/2006/relationships/hyperlink" Target="https://sb-vnedr.ru/about/publication/12468/" TargetMode="External"/><Relationship Id="rId851" Type="http://schemas.openxmlformats.org/officeDocument/2006/relationships/hyperlink" Target="http://www.ikirov.ru/news/13425-krasivaya-i-stilnaya-alternativa-naturalnym-meham" TargetMode="External"/><Relationship Id="rId1274" Type="http://schemas.openxmlformats.org/officeDocument/2006/relationships/hyperlink" Target="http://economy.gov35.ru/departments/employment/" TargetMode="External"/><Relationship Id="rId283"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90" Type="http://schemas.openxmlformats.org/officeDocument/2006/relationships/hyperlink" Target="https://myfin.by/info/srednyaya-zarplata-v-belarusi" TargetMode="External"/><Relationship Id="rId504" Type="http://schemas.openxmlformats.org/officeDocument/2006/relationships/hyperlink" Target="http://zarplatyinfo.ru/v_mire/zarplata-v-belarusi-v-dollarax-i-rossijskix-rublyax-srednyaya-v-2015-2016-godu.html.%20&#8211;%20&#1044;&#1072;&#1090;&#1072;%20&#1076;&#1086;&#1089;&#1090;&#1091;&#1087;&#1072;%2014.04.2017" TargetMode="External"/><Relationship Id="rId711"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49" Type="http://schemas.openxmlformats.org/officeDocument/2006/relationships/hyperlink" Target="http://www.nat-geo.ru/planet/50995-na-zemle-mozhet-ne-ostatsya-pchel/" TargetMode="External"/><Relationship Id="rId1134" Type="http://schemas.openxmlformats.org/officeDocument/2006/relationships/hyperlink" Target="http://zapiskiprofana.ru/pravilnoe-pitanie-dlya-zhenshhin/" TargetMode="External"/><Relationship Id="rId1341" Type="http://schemas.openxmlformats.org/officeDocument/2006/relationships/hyperlink" Target="http://www.windpower.by/ru/" TargetMode="External"/><Relationship Id="rId78" Type="http://schemas.openxmlformats.org/officeDocument/2006/relationships/hyperlink" Target="http://megabook.ru/article/%d0%91%d1%80%d0%b5%d0%b2%d0%bd%d0%be%20%d0%b3%d0%b8%d0%bc%d0%bd%d0%b0%d1%81%d1%82%d0%b8%d1%87%d0%b5%d1%81%d0%ba%d0%be%d0%b5" TargetMode="External"/><Relationship Id="rId143" Type="http://schemas.openxmlformats.org/officeDocument/2006/relationships/hyperlink" Target="http://www.customs.ru/index.php?option=com_content&amp;view=article&amp;id=24772:-------2016-&amp;catid=53:2011-01-24-16-29-43" TargetMode="External"/><Relationship Id="rId350" Type="http://schemas.openxmlformats.org/officeDocument/2006/relationships/image" Target="media/image29.png"/><Relationship Id="rId588" Type="http://schemas.openxmlformats.org/officeDocument/2006/relationships/hyperlink" Target="http://ecoyear.ru/" TargetMode="External"/><Relationship Id="rId795" Type="http://schemas.openxmlformats.org/officeDocument/2006/relationships/hyperlink" Target="http://searchengineland.com/google-reveals-20-percent-queries-voice-queries-249917" TargetMode="External"/><Relationship Id="rId809" Type="http://schemas.openxmlformats.org/officeDocument/2006/relationships/hyperlink" Target="http://searchengineland.com/google-reveals-20-percent-queries-voice-queries-249917" TargetMode="External"/><Relationship Id="rId1201" Type="http://schemas.openxmlformats.org/officeDocument/2006/relationships/hyperlink" Target="http://biz.a42.ru/lenta/show/201606031656-vnesla-li-politika-importozamescheniya-suschestvennyie-izmeneniya-v-kuzbasskoy-ekonomike.html" TargetMode="External"/><Relationship Id="rId210" Type="http://schemas.openxmlformats.org/officeDocument/2006/relationships/hyperlink" Target="http://elib.bspu.by/bitstream/doc/5098/1/%D0%9E%D0%B1%D1%80%D0%B0%D0%B7%D0%BE%D0%B2%D0%B0%D0%BD%D0%B8%D0%B5%20%D0%B2%20%D0%B8%D0%BD%D1%82.pdf" TargetMode="External"/><Relationship Id="rId448"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55" Type="http://schemas.openxmlformats.org/officeDocument/2006/relationships/hyperlink" Target="https://sb-vnedr.ru/about/publication/12468/" TargetMode="External"/><Relationship Id="rId862" Type="http://schemas.openxmlformats.org/officeDocument/2006/relationships/hyperlink" Target="http://www.ikirov.ru/news/13425-krasivaya-i-stilnaya-alternativa-naturalnym-meham" TargetMode="External"/><Relationship Id="rId1078" Type="http://schemas.openxmlformats.org/officeDocument/2006/relationships/hyperlink" Target="https://www.sba.gov/about-sba/sba-newsroom" TargetMode="External"/><Relationship Id="rId1285" Type="http://schemas.openxmlformats.org/officeDocument/2006/relationships/hyperlink" Target="http://www.iphones.ru/iNotes/494059" TargetMode="External"/><Relationship Id="rId294"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8"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15" Type="http://schemas.openxmlformats.org/officeDocument/2006/relationships/hyperlink" Target="http://ya62.ru/articles/publishing/kadry-dlya-biznesa-zachem-nuzhny-kadrovye-agentstva/" TargetMode="External"/><Relationship Id="rId722"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145" Type="http://schemas.openxmlformats.org/officeDocument/2006/relationships/hyperlink" Target="https://healthy-zone.ru/pravilnoe-pitanie-dlya-zhenshhin-produktyi-dlya-zhenskogo-zdorovya-i-krasotyi" TargetMode="External"/><Relationship Id="rId1352" Type="http://schemas.openxmlformats.org/officeDocument/2006/relationships/hyperlink" Target="https://ru.wikipedia.org/wiki/%D0%92%D0%BE%D0%B4%D0%B0" TargetMode="External"/><Relationship Id="rId89" Type="http://schemas.openxmlformats.org/officeDocument/2006/relationships/hyperlink" Target="http://megabook.ru/article/%d0%a7%d1%83%d0%ba%d0%b0%d1%80%d0%b8%d0%bd%20%d0%92%d0%b8%d0%ba%d1%82%d0%be%d1%80%20%d0%98%d0%b2%d0%b0%d0%bd%d0%be%d0%b2%d0%b8%d1%87" TargetMode="External"/><Relationship Id="rId154" Type="http://schemas.openxmlformats.org/officeDocument/2006/relationships/hyperlink" Target="http://www.be5.biz/ekonomika1/r2013/1037.htm" TargetMode="External"/><Relationship Id="rId361" Type="http://schemas.openxmlformats.org/officeDocument/2006/relationships/hyperlink" Target="http://www.smartmanage.ru/deels-441-1.html" TargetMode="External"/><Relationship Id="rId599" Type="http://schemas.openxmlformats.org/officeDocument/2006/relationships/hyperlink" Target="http://www.ecologytarget.ru/tarecs-34-1.html" TargetMode="External"/><Relationship Id="rId1005" Type="http://schemas.openxmlformats.org/officeDocument/2006/relationships/hyperlink" Target="https://hi-news.ru/eto-interesno/video-roboty-pomogayushhie-uchyonym-nablyudat-za-dikoj-prirodoj.html%20-%20Hi-news.ru" TargetMode="External"/><Relationship Id="rId1212" Type="http://schemas.openxmlformats.org/officeDocument/2006/relationships/hyperlink" Target="http://biz.a42.ru/lenta/show/201606031656-vnesla-li-politika-importozamescheniya-suschestvennyie-izmeneniya-v-kuzbasskoy-ekonomike.html" TargetMode="External"/><Relationship Id="rId459"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66" Type="http://schemas.openxmlformats.org/officeDocument/2006/relationships/hyperlink" Target="http://mintrud.gov.by/ru/sostojanie/" TargetMode="External"/><Relationship Id="rId873" Type="http://schemas.openxmlformats.org/officeDocument/2006/relationships/hyperlink" Target="http://www.donbass-info.com/content/view/26369/26380" TargetMode="External"/><Relationship Id="rId1089" Type="http://schemas.openxmlformats.org/officeDocument/2006/relationships/hyperlink" Target="http://r.bookap.info/work/163626/Maloe-predprinimatelstvo-kak-subekt" TargetMode="External"/><Relationship Id="rId1296" Type="http://schemas.openxmlformats.org/officeDocument/2006/relationships/hyperlink" Target="http://elibrary.ru/contents.asp?issueid=1113904&amp;selid=18923818" TargetMode="External"/><Relationship Id="rId221" Type="http://schemas.openxmlformats.org/officeDocument/2006/relationships/hyperlink" Target="http://elib.bspu.by/bitstream/doc/5098/1/%D0%9E%D0%B1%D1%80%D0%B0%D0%B7%D0%BE%D0%B2%D0%B0%D0%BD%D0%B8%D0%B5%20%D0%B2%20%D0%B8%D0%BD%D1%82.pdf" TargetMode="External"/><Relationship Id="rId319" Type="http://schemas.openxmlformats.org/officeDocument/2006/relationships/hyperlink" Target="https://vk.com/away.php?to=http%3A%2F%2Fwww.nalog.gov.by%2Fru%2Fnalog-nagruzka-economica-ru%2F&amp;cc_key=" TargetMode="External"/><Relationship Id="rId526" Type="http://schemas.openxmlformats.org/officeDocument/2006/relationships/hyperlink" Target="http://economy.gov.ru/" TargetMode="External"/><Relationship Id="rId1156" Type="http://schemas.openxmlformats.org/officeDocument/2006/relationships/hyperlink" Target="https://healthy-zone.ru/pravilnoe-pitanie-dlya-zhenshhin-produktyi-dlya-zhenskogo-zdorovya-i-krasotyi" TargetMode="External"/><Relationship Id="rId1363" Type="http://schemas.openxmlformats.org/officeDocument/2006/relationships/image" Target="media/image87.jpg"/><Relationship Id="rId733" Type="http://schemas.openxmlformats.org/officeDocument/2006/relationships/hyperlink" Target="https://www.autostat.ru/test_draiv_7d/29315/" TargetMode="External"/><Relationship Id="rId940" Type="http://schemas.openxmlformats.org/officeDocument/2006/relationships/hyperlink" Target="http://inosmi.ru/world/20131210/215530594.html-%20&#1048;&#1053;&#1054;&#1057;&#1052;&#1048;.&#1056;&#1059;" TargetMode="External"/><Relationship Id="rId1016" Type="http://schemas.openxmlformats.org/officeDocument/2006/relationships/hyperlink" Target="https://ru.wikipedia.org/wiki/%D0%90%D0%B2%D0%B0%D1%80%D0%B8%D0%B9%D0%BD%D0%BE-%D1%81%D0%BF%D0%B0%D1%81%D0%B0%D1%82%D0%B5%D0%BB%D1%8C%D0%BD%D0%B0%D1%8F_%D1%81%D0%BB%D1%83%D0%B6%D0%B1%D0%B0" TargetMode="External"/><Relationship Id="rId165" Type="http://schemas.openxmlformats.org/officeDocument/2006/relationships/hyperlink" Target="http://www.belstat.gov.by/ofitsialnaya-statistika/solialnaya-sfera/obrazovanie/godovye-dannye_5/osnovnye-pokazateli-obrazovaniya/" TargetMode="External"/><Relationship Id="rId372"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677"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00" Type="http://schemas.openxmlformats.org/officeDocument/2006/relationships/hyperlink" Target="http://searchengineland.com/google-reveals-20-percent-queries-voice-queries-249917" TargetMode="External"/><Relationship Id="rId1223" Type="http://schemas.openxmlformats.org/officeDocument/2006/relationships/image" Target="media/image78.png"/><Relationship Id="rId1430" Type="http://schemas.openxmlformats.org/officeDocument/2006/relationships/theme" Target="theme/theme1.xml"/><Relationship Id="rId232" Type="http://schemas.openxmlformats.org/officeDocument/2006/relationships/hyperlink" Target="http://elib.bspu.by/bitstream/doc/5098/1/%D0%9E%D0%B1%D1%80%D0%B0%D0%B7%D0%BE%D0%B2%D0%B0%D0%BD%D0%B8%D0%B5%20%D0%B2%20%D0%B8%D0%BD%D1%82.pdf" TargetMode="External"/><Relationship Id="rId884" Type="http://schemas.openxmlformats.org/officeDocument/2006/relationships/hyperlink" Target="http://greenologia.ru/eko-problemy/tyazhelye-metally-pochvu.html" TargetMode="External"/><Relationship Id="rId27" Type="http://schemas.openxmlformats.org/officeDocument/2006/relationships/image" Target="media/image3.png"/><Relationship Id="rId537" Type="http://schemas.openxmlformats.org/officeDocument/2006/relationships/image" Target="media/image41.jpg"/><Relationship Id="rId744" Type="http://schemas.openxmlformats.org/officeDocument/2006/relationships/hyperlink" Target="http://autodrop.ru/autonews/1184-ceny-na-avto-2017.html" TargetMode="External"/><Relationship Id="rId951" Type="http://schemas.openxmlformats.org/officeDocument/2006/relationships/hyperlink" Target="http://www.nat-geo.ru/planet/50995-na-zemle-mozhet-ne-ostatsya-pchel/" TargetMode="External"/><Relationship Id="rId1167" Type="http://schemas.openxmlformats.org/officeDocument/2006/relationships/hyperlink" Target="http://www.hr-portal.ru/article/trendy-razvitiya-hrm-tehnologiy-2014" TargetMode="External"/><Relationship Id="rId1374" Type="http://schemas.openxmlformats.org/officeDocument/2006/relationships/hyperlink" Target="http://www.gks.ru/wps/wcm/" TargetMode="External"/><Relationship Id="rId80" Type="http://schemas.openxmlformats.org/officeDocument/2006/relationships/hyperlink" Target="http://megabook.ru/article/%d0%91%d1%80%d0%b5%d0%b2%d0%bd%d0%be%20%d0%b3%d0%b8%d0%bc%d0%bd%d0%b0%d1%81%d1%82%d0%b8%d1%87%d0%b5%d1%81%d0%ba%d0%be%d0%b5" TargetMode="External"/><Relationship Id="rId176" Type="http://schemas.openxmlformats.org/officeDocument/2006/relationships/hyperlink" Target="http://www.belstat.gov.by/ofitsialnaya-statistika/solialnaya-sfera/obrazovanie/godovye-dannye_5/osnovnye-pokazateli-obrazovaniya/" TargetMode="External"/><Relationship Id="rId383" Type="http://schemas.openxmlformats.org/officeDocument/2006/relationships/hyperlink" Target="http://www.belstat.gov.by/metodologiya/kratkiy-glossariy-statisticheskikh-terminov/26/" TargetMode="External"/><Relationship Id="rId590" Type="http://schemas.openxmlformats.org/officeDocument/2006/relationships/hyperlink" Target="http://www.ecologytarget.ru/tarecs-34-1.html" TargetMode="External"/><Relationship Id="rId604" Type="http://schemas.openxmlformats.org/officeDocument/2006/relationships/hyperlink" Target="http://www.oecdbetterlifeindex.org/ru/" TargetMode="External"/><Relationship Id="rId811" Type="http://schemas.openxmlformats.org/officeDocument/2006/relationships/hyperlink" Target="https://spark.ru/startup/se-ranking/blog/19483/pochemu-golosovoj-poisk-glavnij-trend-2017" TargetMode="External"/><Relationship Id="rId1027" Type="http://schemas.openxmlformats.org/officeDocument/2006/relationships/image" Target="media/image64.jpg"/><Relationship Id="rId1234" Type="http://schemas.openxmlformats.org/officeDocument/2006/relationships/hyperlink" Target="https://www.gov.uk/government/uploads/system/uploads/attachment_data/file/32450/11-1387-innovation-and-research-strategy-for-growth.pdf" TargetMode="External"/><Relationship Id="rId243" Type="http://schemas.openxmlformats.org/officeDocument/2006/relationships/hyperlink" Target="http://elib.bspu.by/bitstream/doc/5098/1/%D0%9E%D0%B1%D1%80%D0%B0%D0%B7%D0%BE%D0%B2%D0%B0%D0%BD%D0%B8%D0%B5%20%D0%B2%20%D0%B8%D0%BD%D1%82.pdf" TargetMode="External"/><Relationship Id="rId450"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88"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95" Type="http://schemas.openxmlformats.org/officeDocument/2006/relationships/hyperlink" Target="https://www.psycho.ru/library/3419" TargetMode="External"/><Relationship Id="rId909" Type="http://schemas.openxmlformats.org/officeDocument/2006/relationships/hyperlink" Target="http://www.grandars.ru/student/mirovaya-ekonomika/sistema-zolotogo-standarta.html" TargetMode="External"/><Relationship Id="rId1080" Type="http://schemas.openxmlformats.org/officeDocument/2006/relationships/hyperlink" Target="https://www.sba.gov/about-sba/sba-newsroom" TargetMode="External"/><Relationship Id="rId1301" Type="http://schemas.openxmlformats.org/officeDocument/2006/relationships/hyperlink" Target="http://elibrary.ru/contents.asp?issueid=1564727&amp;selid=25715733" TargetMode="External"/><Relationship Id="rId38" Type="http://schemas.openxmlformats.org/officeDocument/2006/relationships/header" Target="header5.xml"/><Relationship Id="rId103" Type="http://schemas.openxmlformats.org/officeDocument/2006/relationships/hyperlink" Target="http://megabook.ru/article/%d0%9a%d0%be%d0%bc%d1%8d%d0%bd%d0%b5%d1%87%20%d0%9d%d0%b0%d0%b4%d1%8f%20%5b%d1%81%d0%bf%d0%be%d1%80%d1%82%5d" TargetMode="External"/><Relationship Id="rId310"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48" Type="http://schemas.openxmlformats.org/officeDocument/2006/relationships/hyperlink" Target="http://progmk.ru/avtoinformator-na-arduino-ozvuchivanie-komand/" TargetMode="External"/><Relationship Id="rId755" Type="http://schemas.openxmlformats.org/officeDocument/2006/relationships/hyperlink" Target="http://www.oracle.com/" TargetMode="External"/><Relationship Id="rId962" Type="http://schemas.openxmlformats.org/officeDocument/2006/relationships/hyperlink" Target="http://www.popmech.ru/science/327552-roboty-pchely-i-neobychnyy-gel-smogut-li-drony-zamenit-nasekomykh/" TargetMode="External"/><Relationship Id="rId1178" Type="http://schemas.openxmlformats.org/officeDocument/2006/relationships/image" Target="media/image70.jpg"/><Relationship Id="rId1385" Type="http://schemas.openxmlformats.org/officeDocument/2006/relationships/hyperlink" Target="http://kemerovostat.gks.ru/wps/wcm/connect/rosstat_ts/" TargetMode="External"/><Relationship Id="rId91" Type="http://schemas.openxmlformats.org/officeDocument/2006/relationships/hyperlink" Target="http://megabook.ru/article/%d0%93%d0%be%d1%80%d0%be%d1%85%d0%be%d0%b2%d1%81%d0%ba%d0%b0%d1%8f%20%d0%9c%d0%b0%d1%80%d0%b8%d1%8f%20%d0%9a%d0%be%d0%bd%d0%b4%d1%80%d0%b0%d1%82%d1%8c%d0%b5%d0%b2%d0%bd%d0%b0" TargetMode="External"/><Relationship Id="rId187" Type="http://schemas.openxmlformats.org/officeDocument/2006/relationships/hyperlink" Target="http://www.belstat.gov.by/ofitsialnaya-statistika/solialnaya-sfera/obrazovanie/godovye-dannye_5/osnovnye-pokazateli-obrazovaniya/" TargetMode="External"/><Relationship Id="rId394" Type="http://schemas.openxmlformats.org/officeDocument/2006/relationships/hyperlink" Target="http://admrzn.ru/" TargetMode="External"/><Relationship Id="rId408" Type="http://schemas.openxmlformats.org/officeDocument/2006/relationships/image" Target="media/image38.png"/><Relationship Id="rId615" Type="http://schemas.openxmlformats.org/officeDocument/2006/relationships/hyperlink" Target="https://www.eneca.by/ru_news2/" TargetMode="External"/><Relationship Id="rId822" Type="http://schemas.openxmlformats.org/officeDocument/2006/relationships/hyperlink" Target="https://spark.ru/startup/se-ranking/blog/19483/pochemu-golosovoj-poisk-glavnij-trend-2017" TargetMode="External"/><Relationship Id="rId1038" Type="http://schemas.openxmlformats.org/officeDocument/2006/relationships/hyperlink" Target="http://research.cmsmagazine.ru/report-on-communication-policy-of-banks-on-internet-russia/" TargetMode="External"/><Relationship Id="rId1245" Type="http://schemas.openxmlformats.org/officeDocument/2006/relationships/hyperlink" Target="https://www.gov.uk/government/uploads/system/uploads/attachment_data/file/32450/11-1387-innovation-and-research-strategy-for-growth.pdf" TargetMode="External"/><Relationship Id="rId254" Type="http://schemas.openxmlformats.org/officeDocument/2006/relationships/hyperlink" Target="http://elib.bspu.by/bitstream/doc/5098/1/%D0%9E%D0%B1%D1%80%D0%B0%D0%B7%D0%BE%D0%B2%D0%B0%D0%BD%D0%B8%D0%B5%20%D0%B2%20%D0%B8%D0%BD%D1%82.pdf" TargetMode="External"/><Relationship Id="rId699"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091" Type="http://schemas.openxmlformats.org/officeDocument/2006/relationships/hyperlink" Target="http://works.doklad.ru/view/-HnnOdfnLYo.html" TargetMode="External"/><Relationship Id="rId1105" Type="http://schemas.openxmlformats.org/officeDocument/2006/relationships/hyperlink" Target="http://heaclub.ru/pravilnoe-pitanie-dlya-zhenskoj-krasoty-poleznye-produkty-dlya-krasoty-i-zdorovya-kozhi-i-volos" TargetMode="External"/><Relationship Id="rId1312" Type="http://schemas.openxmlformats.org/officeDocument/2006/relationships/hyperlink" Target="https://ru.wikipedia.org/wiki/%D0%A1%D0%BE%D1%86%D0%B8%D0%B0%D0%BB%D1%8C%D0%BD%D0%B0%D1%8F_%D1%81%D0%BF%D1%80%D0%B0%D0%B2%D0%B5%D0%B4%D0%BB%D0%B8%D0%B2%D0%BE%D1%81%D1%82%D1%8C" TargetMode="External"/><Relationship Id="rId49" Type="http://schemas.openxmlformats.org/officeDocument/2006/relationships/hyperlink" Target="https://psibook.com/religion/demograficheskiy-potentsial-respubliki-belarus-osnovnye-tendentsii-razvitiya.html" TargetMode="External"/><Relationship Id="rId114" Type="http://schemas.openxmlformats.org/officeDocument/2006/relationships/hyperlink" Target="http://megabook.ru/article/%d0%9d%d0%b5%d0%bc%d0%be%d0%b2%20%d0%90%d0%bb%d0%b5%d0%ba%d1%81%d0%b5%d0%b9%20%d0%ae%d1%80%d1%8c%d0%b5%d0%b2%d0%b8%d1%87" TargetMode="External"/><Relationship Id="rId461" Type="http://schemas.openxmlformats.org/officeDocument/2006/relationships/hyperlink" Target="https://finance.tut.by/news433195.html" TargetMode="External"/><Relationship Id="rId559" Type="http://schemas.openxmlformats.org/officeDocument/2006/relationships/hyperlink" Target="http://ru-ecology.info/post/104037401150002/" TargetMode="External"/><Relationship Id="rId766" Type="http://schemas.openxmlformats.org/officeDocument/2006/relationships/hyperlink" Target="https://thenextweb.com/insider/2017/03/14/5-ways-voice-search-will-affect-seo-2017/" TargetMode="External"/><Relationship Id="rId1189" Type="http://schemas.openxmlformats.org/officeDocument/2006/relationships/hyperlink" Target="http://government.ru/docs/11912/" TargetMode="External"/><Relationship Id="rId1396" Type="http://schemas.openxmlformats.org/officeDocument/2006/relationships/hyperlink" Target="http://kemerovostat.gks.ru/wps/wcm/connect/rosstat_ts/" TargetMode="External"/><Relationship Id="rId198" Type="http://schemas.openxmlformats.org/officeDocument/2006/relationships/hyperlink" Target="http://elib.bspu.by/bitstream/doc/5098/1/%D0%9E%D0%B1%D1%80%D0%B0%D0%B7%D0%BE%D0%B2%D0%B0%D0%BD%D0%B8%D0%B5%20%D0%B2%20%D0%B8%D0%BD%D1%82.pdf" TargetMode="External"/><Relationship Id="rId321" Type="http://schemas.openxmlformats.org/officeDocument/2006/relationships/hyperlink" Target="https://vk.com/away.php?to=http%3A%2F%2Fwww.nalog.gov.by%2Fru%2Fnalog-nagruzka-economica-ru%2F&amp;cc_key=" TargetMode="External"/><Relationship Id="rId419" Type="http://schemas.openxmlformats.org/officeDocument/2006/relationships/hyperlink" Target="http://www.belstat.gov.by/ofitsialnaya-statistika/ssrd-mvf_2/natsionalnaya-stranitsa-svodnyh-dannyh/zarabotnaya-plata_2/" TargetMode="External"/><Relationship Id="rId626" Type="http://schemas.openxmlformats.org/officeDocument/2006/relationships/hyperlink" Target="http://www.energya.by/kak-razvivayutsya-alternativnayia-energetika-v-belarusi/" TargetMode="External"/><Relationship Id="rId973" Type="http://schemas.openxmlformats.org/officeDocument/2006/relationships/hyperlink" Target="http://www.popmech.ru/science/327552-roboty-pchely-i-neobychnyy-gel-smogut-li-drony-zamenit-nasekomykh/" TargetMode="External"/><Relationship Id="rId1049" Type="http://schemas.openxmlformats.org/officeDocument/2006/relationships/hyperlink" Target="http://research.cmsmagazine.ru/report-on-communication-policy-of-banks-on-internet-russia/" TargetMode="External"/><Relationship Id="rId1256" Type="http://schemas.openxmlformats.org/officeDocument/2006/relationships/hyperlink" Target="http://www.grandars.ru/student/statistika/zanyatye-i-bezrabotnye.html" TargetMode="External"/><Relationship Id="rId833" Type="http://schemas.openxmlformats.org/officeDocument/2006/relationships/hyperlink" Target="http://vegetarianskij.ru/kak-dobyvayut-mex-dlya-shub-iz-norki-lisicy-i-pesca/" TargetMode="External"/><Relationship Id="rId1116" Type="http://schemas.openxmlformats.org/officeDocument/2006/relationships/hyperlink" Target="http://heaclub.ru/pravilnoe-pitanie-dlya-zhenskoj-krasoty-poleznye-produkty-dlya-krasoty-i-zdorovya-kozhi-i-volos" TargetMode="External"/><Relationship Id="rId265" Type="http://schemas.openxmlformats.org/officeDocument/2006/relationships/hyperlink" Target="http://elib.bspu.by/bitstream/doc/5098/1/%D0%9E%D0%B1%D1%80%D0%B0%D0%B7%D0%BE%D0%B2%D0%B0%D0%BD%D0%B8%D0%B5%20%D0%B2%20%D0%B8%D0%BD%D1%82.pdf" TargetMode="External"/><Relationship Id="rId472" Type="http://schemas.openxmlformats.org/officeDocument/2006/relationships/hyperlink" Target="http://zarplatyinfo.ru/v_mire/zarplata-v-belarusi-v-dollarax-i-rossijskix-rublyax-srednyaya-v-2015-2016-godu.html.%20&#8211;%20&#1044;&#1072;&#1090;&#1072;%20&#1076;&#1086;&#1089;&#1090;&#1091;&#1087;&#1072;%2014.04.2017" TargetMode="External"/><Relationship Id="rId900" Type="http://schemas.openxmlformats.org/officeDocument/2006/relationships/hyperlink" Target="http://www.one-idol.ru/" TargetMode="External"/><Relationship Id="rId1323" Type="http://schemas.openxmlformats.org/officeDocument/2006/relationships/hyperlink" Target="https://ru.wikipedia.org/wiki/%D0%93%D0%BE%D1%81%D1%83%D0%B4%D0%B0%D1%80%D1%81%D1%82%D0%B2%D0%B5%D0%BD%D0%BD%D0%BE%D0%B5_%D1%80%D0%B5%D0%B3%D1%83%D0%BB%D0%B8%D1%80%D0%BE%D0%B2%D0%B0%D0%BD%D0%B8%D0%B5_%D1%8D%D0%BA%D0%BE%D0%BD%D0%BE%D0%BC%D0%B8%D0%BA%D0%B8" TargetMode="External"/><Relationship Id="rId125" Type="http://schemas.openxmlformats.org/officeDocument/2006/relationships/hyperlink" Target="http://vedkuzbass.ru/index.php/mezhdunarodnoe-i-mezhregionalnoe-sotrudnichestvo/itogived" TargetMode="External"/><Relationship Id="rId332" Type="http://schemas.openxmlformats.org/officeDocument/2006/relationships/hyperlink" Target="https://vk.com/away.php?to=http%3A%2F%2Fwww.nalog.gov.by%2Fru%2Fkrupnie-platelschiki%2Fview%2Fob-uchastii-krupnyx-platelschikov-v-formirovanii-doxodov-bjudzheta-za-2015-god-21637%2F&amp;cc_key=" TargetMode="External"/><Relationship Id="rId777" Type="http://schemas.openxmlformats.org/officeDocument/2006/relationships/hyperlink" Target="https://thenextweb.com/insider/2017/03/14/5-ways-voice-search-will-affect-seo-2017/" TargetMode="External"/><Relationship Id="rId984" Type="http://schemas.openxmlformats.org/officeDocument/2006/relationships/hyperlink" Target="https://hi-news.ru/eto-interesno/video-roboty-pomogayushhie-uchyonym-nablyudat-za-dikoj-prirodoj.html%20-%20Hi-news.ru" TargetMode="External"/><Relationship Id="rId637"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844" Type="http://schemas.openxmlformats.org/officeDocument/2006/relationships/hyperlink" Target="http://vegetarianskij.ru/kak-dobyvayut-mex-dlya-shub-iz-norki-lisicy-i-pesca/" TargetMode="External"/><Relationship Id="rId1267" Type="http://schemas.openxmlformats.org/officeDocument/2006/relationships/hyperlink" Target="https://ru.wikipedia.org/wiki/%D0%9E%D0%B1%D1%81%D0%BB%D0%B5%D0%B4%D0%BE%D0%B2%D0%B0%D0%BD%D0%B8%D0%B5_%D0%BD%D0%B0%D1%81%D0%B5%D0%BB%D0%B5%D0%BD%D0%B8%D1%8F_%D0%BF%D0%BE_%D0%BF%D1%80%D0%BE%D0%B1%D0%BB%D0%B5%D0%BC%D0%B0%D0%BC_%D0%B7%D0%B0%D0%BD%D1%8F%D1%82%D0%BE%D1%81%D1%82%D0%B8" TargetMode="External"/><Relationship Id="rId276"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83" Type="http://schemas.openxmlformats.org/officeDocument/2006/relationships/hyperlink" Target="http://zarplatyinfo.ru/v_mire/zarplata-v-belarusi-v-dollarax-i-rossijskix-rublyax-srednyaya-v-2015-2016-godu.html.%20&#8211;%20&#1044;&#1072;&#1090;&#1072;%20&#1076;&#1086;&#1089;&#1090;&#1091;&#1087;&#1072;%2014.04.2017" TargetMode="External"/><Relationship Id="rId690"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04"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1" Type="http://schemas.openxmlformats.org/officeDocument/2006/relationships/hyperlink" Target="http://www.grandars.ru/student/finansy/denezhnaya-reforma.html" TargetMode="External"/><Relationship Id="rId1127" Type="http://schemas.openxmlformats.org/officeDocument/2006/relationships/hyperlink" Target="http://zapiskiprofana.ru/pravilnoe-pitanie-dlya-zhenshhin/" TargetMode="External"/><Relationship Id="rId1334" Type="http://schemas.openxmlformats.org/officeDocument/2006/relationships/hyperlink" Target="http://teoria-practica.ru/-12-2012/law/dremanova.pdf" TargetMode="External"/><Relationship Id="rId40" Type="http://schemas.openxmlformats.org/officeDocument/2006/relationships/footer" Target="footer5.xml"/><Relationship Id="rId136" Type="http://schemas.openxmlformats.org/officeDocument/2006/relationships/hyperlink" Target="http://www.customs.ru/index.php?option=com_content&amp;view=article&amp;id=24772:-------2016-&amp;catid=53:2011-01-24-16-29-43" TargetMode="External"/><Relationship Id="rId343" Type="http://schemas.openxmlformats.org/officeDocument/2006/relationships/image" Target="media/image24.png"/><Relationship Id="rId550" Type="http://schemas.openxmlformats.org/officeDocument/2006/relationships/hyperlink" Target="http://progmk.ru/avtoinformator-na-arduino-ozvuchivanie-komand/" TargetMode="External"/><Relationship Id="rId788" Type="http://schemas.openxmlformats.org/officeDocument/2006/relationships/hyperlink" Target="https://thenextweb.com/insider/2017/03/14/5-ways-voice-search-will-affect-seo-2017/" TargetMode="External"/><Relationship Id="rId995" Type="http://schemas.openxmlformats.org/officeDocument/2006/relationships/hyperlink" Target="https://hi-news.ru/eto-interesno/video-roboty-pomogayushhie-uchyonym-nablyudat-za-dikoj-prirodoj.html%20-%20Hi-news.ru" TargetMode="External"/><Relationship Id="rId1180" Type="http://schemas.openxmlformats.org/officeDocument/2006/relationships/image" Target="media/image72.png"/><Relationship Id="rId1401" Type="http://schemas.openxmlformats.org/officeDocument/2006/relationships/image" Target="media/image93.png"/><Relationship Id="rId203" Type="http://schemas.openxmlformats.org/officeDocument/2006/relationships/hyperlink" Target="http://elib.bspu.by/bitstream/doc/5098/1/%D0%9E%D0%B1%D1%80%D0%B0%D0%B7%D0%BE%D0%B2%D0%B0%D0%BD%D0%B8%D0%B5%20%D0%B2%20%D0%B8%D0%BD%D1%82.pdf" TargetMode="External"/><Relationship Id="rId648" Type="http://schemas.openxmlformats.org/officeDocument/2006/relationships/hyperlink" Target="https://sb-vnedr.ru/about/publication/12468/" TargetMode="External"/><Relationship Id="rId855" Type="http://schemas.openxmlformats.org/officeDocument/2006/relationships/hyperlink" Target="http://www.ikirov.ru/news/13425-krasivaya-i-stilnaya-alternativa-naturalnym-meham" TargetMode="External"/><Relationship Id="rId1040" Type="http://schemas.openxmlformats.org/officeDocument/2006/relationships/hyperlink" Target="http://research.cmsmagazine.ru/report-on-communication-policy-of-banks-on-internet-russia/" TargetMode="External"/><Relationship Id="rId1278" Type="http://schemas.openxmlformats.org/officeDocument/2006/relationships/hyperlink" Target="http://www.gks.ru/free_doc/new_site/population/trud/Untitled452-10.pdf" TargetMode="External"/><Relationship Id="rId287"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10" Type="http://schemas.openxmlformats.org/officeDocument/2006/relationships/hyperlink" Target="http://www.belstat.gov.by/ofitsialnaya-statistika/ssrd-mvf_2/natsionalnaya-stranitsa-svodnyh-dannyh/zarabotnaya-plata_2/" TargetMode="External"/><Relationship Id="rId494" Type="http://schemas.openxmlformats.org/officeDocument/2006/relationships/hyperlink" Target="https://myfin.by/info/srednyaya-zarplata-v-belarusi" TargetMode="External"/><Relationship Id="rId508" Type="http://schemas.openxmlformats.org/officeDocument/2006/relationships/hyperlink" Target="http://ya62.ru/articles/publishing/kadry-dlya-biznesa-zachem-nuzhny-kadrovye-agentstva/" TargetMode="External"/><Relationship Id="rId715"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22" Type="http://schemas.openxmlformats.org/officeDocument/2006/relationships/hyperlink" Target="http://www.grandars.ru/student/finansy/finansovaya-sistema.html" TargetMode="External"/><Relationship Id="rId1138" Type="http://schemas.openxmlformats.org/officeDocument/2006/relationships/hyperlink" Target="https://healthy-zone.ru/pravilnoe-pitanie-dlya-zhenshhin-produktyi-dlya-zhenskogo-zdorovya-i-krasotyi" TargetMode="External"/><Relationship Id="rId1345" Type="http://schemas.openxmlformats.org/officeDocument/2006/relationships/hyperlink" Target="http://&#1101;&#1083;&#1077;&#1082;&#1090;&#1088;&#1086;&#1090;&#1077;&#1093;&#1085;&#1080;&#1095;&#1077;&#1089;&#1082;&#1080;&#1081;-&#1087;&#1086;&#1088;&#1090;&#1072;&#1083;.&#1088;&#1092;/vetroenergetika.html" TargetMode="External"/><Relationship Id="rId147" Type="http://schemas.openxmlformats.org/officeDocument/2006/relationships/hyperlink" Target="http://www.customs.ru/index.php?option=com_content&amp;view=article&amp;id=24772:-------2016-&amp;catid=53:2011-01-24-16-29-43" TargetMode="External"/><Relationship Id="rId354" Type="http://schemas.openxmlformats.org/officeDocument/2006/relationships/hyperlink" Target="https://vc.ru/p/ikea-story" TargetMode="External"/><Relationship Id="rId799" Type="http://schemas.openxmlformats.org/officeDocument/2006/relationships/hyperlink" Target="http://searchengineland.com/google-reveals-20-percent-queries-voice-queries-249917" TargetMode="External"/><Relationship Id="rId1191" Type="http://schemas.openxmlformats.org/officeDocument/2006/relationships/hyperlink" Target="http://www.ako.ru/PRESS/MESS/TEXT/impotrozameshenie.asp" TargetMode="External"/><Relationship Id="rId1205" Type="http://schemas.openxmlformats.org/officeDocument/2006/relationships/hyperlink" Target="http://biz.a42.ru/lenta/show/201606031656-vnesla-li-politika-importozamescheniya-suschestvennyie-izmeneniya-v-kuzbasskoy-ekonomike.html" TargetMode="External"/><Relationship Id="rId51" Type="http://schemas.openxmlformats.org/officeDocument/2006/relationships/hyperlink" Target="https://psibook.com/religion/demograficheskiy-potentsial-respubliki-belarus-osnovnye-tendentsii-razvitiya.html" TargetMode="External"/><Relationship Id="rId561" Type="http://schemas.openxmlformats.org/officeDocument/2006/relationships/hyperlink" Target="http://ru-ecology.info/post/104037401150002/" TargetMode="External"/><Relationship Id="rId659" Type="http://schemas.openxmlformats.org/officeDocument/2006/relationships/hyperlink" Target="https://ru.wikipedia.org/wiki/%D0%9A%D1%80%D0%B8%D0%BF%D1%82%D0%BE%D0%B3%D1%80%D0%B0%D1%84%D0%B8%D1%8F" TargetMode="External"/><Relationship Id="rId866" Type="http://schemas.openxmlformats.org/officeDocument/2006/relationships/hyperlink" Target="http://alfa.moreprom.ru/index.php?option=com_content&amp;view=article&amp;id=91:2013-" TargetMode="External"/><Relationship Id="rId1289" Type="http://schemas.openxmlformats.org/officeDocument/2006/relationships/hyperlink" Target="http://rulaws.ru/Lesnoy-kodeks/" TargetMode="External"/><Relationship Id="rId1412" Type="http://schemas.openxmlformats.org/officeDocument/2006/relationships/hyperlink" Target="http://cheloveknauka.com/adaptatsiya-molodyh-spetsialistov-v-sovremennyh-rossiyskih-organizatsiyah" TargetMode="External"/><Relationship Id="rId214" Type="http://schemas.openxmlformats.org/officeDocument/2006/relationships/hyperlink" Target="http://elib.bspu.by/bitstream/doc/5098/1/%D0%9E%D0%B1%D1%80%D0%B0%D0%B7%D0%BE%D0%B2%D0%B0%D0%BD%D0%B8%D0%B5%20%D0%B2%20%D0%B8%D0%BD%D1%82.pdf" TargetMode="External"/><Relationship Id="rId298"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421" Type="http://schemas.openxmlformats.org/officeDocument/2006/relationships/hyperlink" Target="http://www.belstat.gov.by/ofitsialnaya-statistika/ssrd-mvf_2/natsionalnaya-stranitsa-svodnyh-dannyh/zarabotnaya-plata_2/" TargetMode="External"/><Relationship Id="rId519" Type="http://schemas.openxmlformats.org/officeDocument/2006/relationships/hyperlink" Target="http://ya62.ru/articles/publishing/kadry-dlya-biznesa-zachem-nuzhny-kadrovye-agentstva/" TargetMode="External"/><Relationship Id="rId1051" Type="http://schemas.openxmlformats.org/officeDocument/2006/relationships/hyperlink" Target="http://research.cmsmagazine.ru/report-on-communication-policy-of-banks-on-internet-russia/" TargetMode="External"/><Relationship Id="rId1149" Type="http://schemas.openxmlformats.org/officeDocument/2006/relationships/hyperlink" Target="https://healthy-zone.ru/pravilnoe-pitanie-dlya-zhenshhin-produktyi-dlya-zhenskogo-zdorovya-i-krasotyi" TargetMode="External"/><Relationship Id="rId1356" Type="http://schemas.openxmlformats.org/officeDocument/2006/relationships/hyperlink" Target="https://ru.wikipedia.org/wiki/%D0%A1%D0%B0%D0%BD%D0%B8%D1%82%D0%B0%D1%80%D0%B8%D1%8F" TargetMode="External"/><Relationship Id="rId158" Type="http://schemas.openxmlformats.org/officeDocument/2006/relationships/image" Target="media/image13.png"/><Relationship Id="rId726" Type="http://schemas.openxmlformats.org/officeDocument/2006/relationships/hyperlink" Target="https://www.autostat.ru/infographics/29458/" TargetMode="External"/><Relationship Id="rId933" Type="http://schemas.openxmlformats.org/officeDocument/2006/relationships/hyperlink" Target="http://www.grandars.ru/student/finansy/valyutnyy-kurs.html" TargetMode="External"/><Relationship Id="rId1009" Type="http://schemas.openxmlformats.org/officeDocument/2006/relationships/footer" Target="footer7.xml"/><Relationship Id="rId62" Type="http://schemas.openxmlformats.org/officeDocument/2006/relationships/hyperlink" Target="https://www.audit-it.ru/finanaliz/terms/liquidity/working_capital_ratio_means.html" TargetMode="External"/><Relationship Id="rId365" Type="http://schemas.openxmlformats.org/officeDocument/2006/relationships/image" Target="media/image30.jpg"/><Relationship Id="rId572" Type="http://schemas.openxmlformats.org/officeDocument/2006/relationships/hyperlink" Target="http://ecoyear.ru/documentation/ukaz7/" TargetMode="External"/><Relationship Id="rId1216" Type="http://schemas.openxmlformats.org/officeDocument/2006/relationships/hyperlink" Target="http://docs.cntd.ru/document/412805057" TargetMode="External"/><Relationship Id="rId1423" Type="http://schemas.openxmlformats.org/officeDocument/2006/relationships/header" Target="header10.xml"/><Relationship Id="rId225" Type="http://schemas.openxmlformats.org/officeDocument/2006/relationships/hyperlink" Target="http://elib.bspu.by/bitstream/doc/5098/1/%D0%9E%D0%B1%D1%80%D0%B0%D0%B7%D0%BE%D0%B2%D0%B0%D0%BD%D0%B8%D0%B5%20%D0%B2%20%D0%B8%D0%BD%D1%82.pdf" TargetMode="External"/><Relationship Id="rId432"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877" Type="http://schemas.openxmlformats.org/officeDocument/2006/relationships/hyperlink" Target="http://encyclopedia.mil.ru/encyclopedia/dictionary/" TargetMode="External"/><Relationship Id="rId1062" Type="http://schemas.openxmlformats.org/officeDocument/2006/relationships/hyperlink" Target="http://science.kuzstu.ru/wp-content/Events/Conference/RM/2015/RM15/pages/Articles/IEU/2/70.pdf" TargetMode="External"/><Relationship Id="rId737" Type="http://schemas.openxmlformats.org/officeDocument/2006/relationships/hyperlink" Target="https://www.autostat.ru/news/29544/" TargetMode="External"/><Relationship Id="rId944" Type="http://schemas.openxmlformats.org/officeDocument/2006/relationships/hyperlink" Target="http://www.nat-geo.ru/planet/50995-na-zemle-mozhet-ne-ostatsya-pchel/" TargetMode="External"/><Relationship Id="rId1367" Type="http://schemas.openxmlformats.org/officeDocument/2006/relationships/hyperlink" Target="http://www.gks.ru/wps/wcm/" TargetMode="External"/><Relationship Id="rId73" Type="http://schemas.openxmlformats.org/officeDocument/2006/relationships/hyperlink" Target="http://megabook.ru/article/%d0%9a%d0%be%d0%bb%d1%8c%d1%86%d0%b0" TargetMode="External"/><Relationship Id="rId169" Type="http://schemas.openxmlformats.org/officeDocument/2006/relationships/hyperlink" Target="http://www.belstat.gov.by/ofitsialnaya-statistika/solialnaya-sfera/obrazovanie/godovye-dannye_5/osnovnye-pokazateli-obrazovaniya/" TargetMode="External"/><Relationship Id="rId376" Type="http://schemas.openxmlformats.org/officeDocument/2006/relationships/hyperlink" Target="http://www.belstat.gov.by/metodologiya/kratkiy-glossariy-statisticheskikh-terminov/26/" TargetMode="External"/><Relationship Id="rId583" Type="http://schemas.openxmlformats.org/officeDocument/2006/relationships/hyperlink" Target="http://gtmarket.ru/ratings/environmental-performance-index/info" TargetMode="External"/><Relationship Id="rId790" Type="http://schemas.openxmlformats.org/officeDocument/2006/relationships/hyperlink" Target="http://searchengineland.com/google-reveals-20-percent-queries-voice-queries-249917" TargetMode="External"/><Relationship Id="rId804" Type="http://schemas.openxmlformats.org/officeDocument/2006/relationships/hyperlink" Target="http://searchengineland.com/google-reveals-20-percent-queries-voice-queries-249917" TargetMode="External"/><Relationship Id="rId1227" Type="http://schemas.openxmlformats.org/officeDocument/2006/relationships/hyperlink" Target="https://myfin.by/wiki/term/saldo" TargetMode="External"/><Relationship Id="rId4" Type="http://schemas.openxmlformats.org/officeDocument/2006/relationships/webSettings" Target="webSettings.xml"/><Relationship Id="rId236" Type="http://schemas.openxmlformats.org/officeDocument/2006/relationships/hyperlink" Target="http://elib.bspu.by/bitstream/doc/5098/1/%D0%9E%D0%B1%D1%80%D0%B0%D0%B7%D0%BE%D0%B2%D0%B0%D0%BD%D0%B8%D0%B5%20%D0%B2%20%D0%B8%D0%BD%D1%82.pdf" TargetMode="External"/><Relationship Id="rId443"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50" Type="http://schemas.openxmlformats.org/officeDocument/2006/relationships/hyperlink" Target="https://sb-vnedr.ru/about/publication/12468/" TargetMode="External"/><Relationship Id="rId888" Type="http://schemas.openxmlformats.org/officeDocument/2006/relationships/hyperlink" Target="http://ru-ecology.info/post/100767101910002/" TargetMode="External"/><Relationship Id="rId1073" Type="http://schemas.openxmlformats.org/officeDocument/2006/relationships/hyperlink" Target="http://novainfo.ru/article/10107/pdf" TargetMode="External"/><Relationship Id="rId1280" Type="http://schemas.openxmlformats.org/officeDocument/2006/relationships/hyperlink" Target="http://www.gks.ru/free_doc/new_site/population/trud/Untitled452-10.pdf" TargetMode="External"/><Relationship Id="rId303"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748" Type="http://schemas.openxmlformats.org/officeDocument/2006/relationships/hyperlink" Target="http://autodrop.ru/autonews/1184-ceny-na-avto-2017.html" TargetMode="External"/><Relationship Id="rId955" Type="http://schemas.openxmlformats.org/officeDocument/2006/relationships/hyperlink" Target="http://www.nat-geo.ru/planet/50995-na-zemle-mozhet-ne-ostatsya-pchel/" TargetMode="External"/><Relationship Id="rId1140" Type="http://schemas.openxmlformats.org/officeDocument/2006/relationships/hyperlink" Target="https://healthy-zone.ru/pravilnoe-pitanie-dlya-zhenshhin-produktyi-dlya-zhenskogo-zdorovya-i-krasotyi" TargetMode="External"/><Relationship Id="rId1378" Type="http://schemas.openxmlformats.org/officeDocument/2006/relationships/hyperlink" Target="http://www.gks.ru/wps/wcm/" TargetMode="External"/><Relationship Id="rId84" Type="http://schemas.openxmlformats.org/officeDocument/2006/relationships/hyperlink" Target="http://megabook.ru/article/%d0%9e%d0%bb%d0%b8%d0%bc%d0%bf%d0%b8%d0%b9%d1%81%d0%ba%d0%b8%d0%b5%20%d0%b8%d0%b3%d1%80%d1%8b%20(%d0%bb%d0%b5%d1%82%d0%bd%d0%b8%d0%b5)" TargetMode="External"/><Relationship Id="rId387" Type="http://schemas.openxmlformats.org/officeDocument/2006/relationships/hyperlink" Target="https://docviewer.yandex.by/view/437124499/?*=iuzvh3LgCxvFbhvoxTFCdZ5KdGp7InVybCI6Imh0dHA6Ly93d3cuc3JyYi5uaWtzLmJ5L2luZm8vcHJvZ3JhbS5wZGYiLCJ0aXRsZSI6InByb2dyYW0ucGRmIiwidWlkIjoiNDM3MTI0NDk5IiwieXUiOiI4Mjg0NDg1MzYxNDc3NjA1ODM0Iiwibm9pZnJhbWUiOnRydWUsInRzIjoxNDkxNzYzMTE0MzczfQ%3D%3D&amp;lang=ru" TargetMode="External"/><Relationship Id="rId510" Type="http://schemas.openxmlformats.org/officeDocument/2006/relationships/hyperlink" Target="http://ya62.ru/articles/publishing/kadry-dlya-biznesa-zachem-nuzhny-kadrovye-agentstva/" TargetMode="External"/><Relationship Id="rId594" Type="http://schemas.openxmlformats.org/officeDocument/2006/relationships/hyperlink" Target="http://www.ecologytarget.ru/tarecs-34-1.html" TargetMode="External"/><Relationship Id="rId608" Type="http://schemas.openxmlformats.org/officeDocument/2006/relationships/hyperlink" Target="http://www.oecdbetterlifeindex.org/ru/" TargetMode="External"/><Relationship Id="rId815" Type="http://schemas.openxmlformats.org/officeDocument/2006/relationships/hyperlink" Target="https://spark.ru/startup/se-ranking/blog/19483/pochemu-golosovoj-poisk-glavnij-trend-2017" TargetMode="External"/><Relationship Id="rId1238" Type="http://schemas.openxmlformats.org/officeDocument/2006/relationships/hyperlink" Target="https://www.gov.uk/government/uploads/system/uploads/attachment_data/file/32450/11-1387-innovation-and-research-strategy-for-growth.pdf" TargetMode="External"/><Relationship Id="rId247" Type="http://schemas.openxmlformats.org/officeDocument/2006/relationships/hyperlink" Target="http://elib.bspu.by/bitstream/doc/5098/1/%D0%9E%D0%B1%D1%80%D0%B0%D0%B7%D0%BE%D0%B2%D0%B0%D0%BD%D0%B8%D0%B5%20%D0%B2%20%D0%B8%D0%BD%D1%82.pdf" TargetMode="External"/><Relationship Id="rId899" Type="http://schemas.openxmlformats.org/officeDocument/2006/relationships/hyperlink" Target="http://www.one-idol.ru/" TargetMode="External"/><Relationship Id="rId1000" Type="http://schemas.openxmlformats.org/officeDocument/2006/relationships/hyperlink" Target="https://hi-news.ru/eto-interesno/video-roboty-pomogayushhie-uchyonym-nablyudat-za-dikoj-prirodoj.html%20-%20Hi-news.ru" TargetMode="External"/><Relationship Id="rId1084" Type="http://schemas.openxmlformats.org/officeDocument/2006/relationships/hyperlink" Target="http://r.bookap.info/work/163626/Maloe-predprinimatelstvo-kak-subekt" TargetMode="External"/><Relationship Id="rId1305" Type="http://schemas.openxmlformats.org/officeDocument/2006/relationships/hyperlink" Target="http://elibrary.ru/contents.asp?issueid=1018977" TargetMode="External"/><Relationship Id="rId107" Type="http://schemas.openxmlformats.org/officeDocument/2006/relationships/hyperlink" Target="http://megabook.ru/article/%d0%94%d0%b8%d1%82%d1%8f%d1%82%d0%b8%d0%bd%20%d0%90%d0%bb%d0%b5%d0%ba%d1%81%d0%b0%d0%bd%d0%b4%d1%80%20%d0%9d%d0%b8%d0%ba%d0%be%d0%bb%d0%b0%d0%b5%d0%b2%d0%b8%d1%87%20%5b%d1%81%d0%bf%d0%be%d1%80%d1%82%5d" TargetMode="External"/><Relationship Id="rId454"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61" Type="http://schemas.openxmlformats.org/officeDocument/2006/relationships/image" Target="media/image50.jpg"/><Relationship Id="rId759" Type="http://schemas.openxmlformats.org/officeDocument/2006/relationships/hyperlink" Target="http://www.oracle.com/" TargetMode="External"/><Relationship Id="rId966" Type="http://schemas.openxmlformats.org/officeDocument/2006/relationships/hyperlink" Target="http://www.popmech.ru/science/327552-roboty-pchely-i-neobychnyy-gel-smogut-li-drony-zamenit-nasekomykh/" TargetMode="External"/><Relationship Id="rId1291" Type="http://schemas.openxmlformats.org/officeDocument/2006/relationships/hyperlink" Target="http://rulaws.ru/Lesnoy-kodeks/" TargetMode="External"/><Relationship Id="rId1389" Type="http://schemas.openxmlformats.org/officeDocument/2006/relationships/hyperlink" Target="http://kemerovostat.gks.ru/wps/wcm/connect/rosstat_ts/" TargetMode="External"/><Relationship Id="rId314"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98" Type="http://schemas.openxmlformats.org/officeDocument/2006/relationships/image" Target="media/image33.png"/><Relationship Id="rId521" Type="http://schemas.openxmlformats.org/officeDocument/2006/relationships/hyperlink" Target="http://ya62.ru/articles/publishing/kadry-dlya-biznesa-zachem-nuzhny-kadrovye-agentstva/" TargetMode="External"/><Relationship Id="rId619" Type="http://schemas.openxmlformats.org/officeDocument/2006/relationships/hyperlink" Target="http://www.energya.by/kak-razvivayutsya-alternativnayia-energetika-v-belarusi/" TargetMode="External"/><Relationship Id="rId1151" Type="http://schemas.openxmlformats.org/officeDocument/2006/relationships/hyperlink" Target="https://healthy-zone.ru/pravilnoe-pitanie-dlya-zhenshhin-produktyi-dlya-zhenskogo-zdorovya-i-krasotyi" TargetMode="External"/><Relationship Id="rId1249" Type="http://schemas.openxmlformats.org/officeDocument/2006/relationships/hyperlink" Target="http://press-service.uz/ru/news/5226/" TargetMode="External"/><Relationship Id="rId95" Type="http://schemas.openxmlformats.org/officeDocument/2006/relationships/hyperlink" Target="http://megabook.ru/article/%d0%a8%d0%b0%d1%85%d0%bb%d0%b8%d0%bd%20%d0%91%d0%be%d1%80%d0%b8%d1%81%20%d0%90%d0%bd%d1%84%d0%b8%d1%8f%d0%bd%d0%be%d0%b2%d0%b8%d1%87" TargetMode="External"/><Relationship Id="rId160" Type="http://schemas.openxmlformats.org/officeDocument/2006/relationships/image" Target="media/image15.png"/><Relationship Id="rId826" Type="http://schemas.openxmlformats.org/officeDocument/2006/relationships/hyperlink" Target="http://vegetarianskij.ru/kak-dobyvayut-mex-dlya-shub-iz-norki-lisicy-i-pesca/" TargetMode="External"/><Relationship Id="rId1011" Type="http://schemas.openxmlformats.org/officeDocument/2006/relationships/header" Target="header9.xml"/><Relationship Id="rId1109" Type="http://schemas.openxmlformats.org/officeDocument/2006/relationships/hyperlink" Target="http://heaclub.ru/pravilnoe-pitanie-dlya-zhenskoj-krasoty-poleznye-produkty-dlya-krasoty-i-zdorovya-kozhi-i-volos" TargetMode="External"/><Relationship Id="rId258" Type="http://schemas.openxmlformats.org/officeDocument/2006/relationships/hyperlink" Target="http://elib.bspu.by/bitstream/doc/5098/1/%D0%9E%D0%B1%D1%80%D0%B0%D0%B7%D0%BE%D0%B2%D0%B0%D0%BD%D0%B8%D0%B5%20%D0%B2%20%D0%B8%D0%BD%D1%82.pdf" TargetMode="External"/><Relationship Id="rId465" Type="http://schemas.openxmlformats.org/officeDocument/2006/relationships/hyperlink" Target="http://zarplatyinfo.ru/v_mire/zarplata-v-belarusi-v-dollarax-i-rossijskix-rublyax-srednyaya-v-2015-2016-godu.html.%20&#8211;%20&#1044;&#1072;&#1090;&#1072;%20&#1076;&#1086;&#1089;&#1090;&#1091;&#1087;&#1072;%2014.04.2017" TargetMode="External"/><Relationship Id="rId672" Type="http://schemas.openxmlformats.org/officeDocument/2006/relationships/hyperlink" Target="https://myfin.by/wiki/term/posobie-po-bezrabotice" TargetMode="External"/><Relationship Id="rId1095" Type="http://schemas.openxmlformats.org/officeDocument/2006/relationships/hyperlink" Target="http://www.scienceforum.ru/2015/pdf/11632.pdf" TargetMode="External"/><Relationship Id="rId1316" Type="http://schemas.openxmlformats.org/officeDocument/2006/relationships/hyperlink" Target="https://ru.wikipedia.org/wiki/%D0%A1%D0%BE%D1%86%D0%B8%D0%B0%D0%BB-%D0%B4%D0%B5%D0%BC%D0%BE%D0%BA%D1%80%D0%B0%D1%82%D0%B8%D1%8F" TargetMode="External"/><Relationship Id="rId118" Type="http://schemas.openxmlformats.org/officeDocument/2006/relationships/hyperlink" Target="http://vedkuzbass.ru/" TargetMode="External"/><Relationship Id="rId325" Type="http://schemas.openxmlformats.org/officeDocument/2006/relationships/hyperlink" Target="https://vk.com/away.php?to=http%3A%2F%2Fwww.nalog.gov.by%2Fru%2Fnalog-nagruzka-economica-ru%2F&amp;cc_key=" TargetMode="External"/><Relationship Id="rId532" Type="http://schemas.openxmlformats.org/officeDocument/2006/relationships/hyperlink" Target="http://zeus.sai.msu.ru:7000/cfin/prcorpsys/index.shtml" TargetMode="External"/><Relationship Id="rId977" Type="http://schemas.openxmlformats.org/officeDocument/2006/relationships/hyperlink" Target="http://www.popmech.ru/science/327552-roboty-pchely-i-neobychnyy-gel-smogut-li-drony-zamenit-nasekomykh/" TargetMode="External"/><Relationship Id="rId1162" Type="http://schemas.openxmlformats.org/officeDocument/2006/relationships/hyperlink" Target="http://efsol.ru/solutions/hrm-automation.html" TargetMode="External"/><Relationship Id="rId171" Type="http://schemas.openxmlformats.org/officeDocument/2006/relationships/hyperlink" Target="http://www.belstat.gov.by/ofitsialnaya-statistika/solialnaya-sfera/obrazovanie/godovye-dannye_5/osnovnye-pokazateli-obrazovaniya/" TargetMode="External"/><Relationship Id="rId837" Type="http://schemas.openxmlformats.org/officeDocument/2006/relationships/hyperlink" Target="http://vegetarianskij.ru/kak-dobyvayut-mex-dlya-shub-iz-norki-lisicy-i-pesca/" TargetMode="External"/><Relationship Id="rId1022" Type="http://schemas.openxmlformats.org/officeDocument/2006/relationships/image" Target="media/image61.png"/><Relationship Id="rId269" Type="http://schemas.openxmlformats.org/officeDocument/2006/relationships/image" Target="media/image20.jpg"/><Relationship Id="rId476" Type="http://schemas.openxmlformats.org/officeDocument/2006/relationships/hyperlink" Target="http://zarplatyinfo.ru/v_mire/zarplata-v-belarusi-v-dollarax-i-rossijskix-rublyax-srednyaya-v-2015-2016-godu.html.%20&#8211;%20&#1044;&#1072;&#1090;&#1072;%20&#1076;&#1086;&#1089;&#1090;&#1091;&#1087;&#1072;%2014.04.2017" TargetMode="External"/><Relationship Id="rId683"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90" Type="http://schemas.openxmlformats.org/officeDocument/2006/relationships/hyperlink" Target="http://ru-ecology.info/post/100767101910002/" TargetMode="External"/><Relationship Id="rId904" Type="http://schemas.openxmlformats.org/officeDocument/2006/relationships/hyperlink" Target="http://www.grandars.ru/student/nac-ekonomika/rynochnaya-ekonomika.html" TargetMode="External"/><Relationship Id="rId1327" Type="http://schemas.openxmlformats.org/officeDocument/2006/relationships/hyperlink" Target="http://old.dnr-online.ru/wp-content/uploads/2016/05/PrikazMinTSP_N4_2_04022015.pdf" TargetMode="External"/><Relationship Id="rId33" Type="http://schemas.openxmlformats.org/officeDocument/2006/relationships/footer" Target="footer2.xml"/><Relationship Id="rId129" Type="http://schemas.openxmlformats.org/officeDocument/2006/relationships/hyperlink" Target="http://www.metaltorg.ru/margantsevyj-kontsentrat.htm" TargetMode="External"/><Relationship Id="rId336" Type="http://schemas.openxmlformats.org/officeDocument/2006/relationships/hyperlink" Target="http://www.belstat.gov.by/ofitsialnaya-statistika/publications/izdania/public_bulletin/index_6948/" TargetMode="External"/><Relationship Id="rId543" Type="http://schemas.openxmlformats.org/officeDocument/2006/relationships/hyperlink" Target="http://progmk.ru/avtoinformator-na-arduino-ozvuchivanie-komand/" TargetMode="External"/><Relationship Id="rId988" Type="http://schemas.openxmlformats.org/officeDocument/2006/relationships/hyperlink" Target="https://hi-news.ru/eto-interesno/video-roboty-pomogayushhie-uchyonym-nablyudat-za-dikoj-prirodoj.html%20-%20Hi-news.ru" TargetMode="External"/><Relationship Id="rId1173" Type="http://schemas.openxmlformats.org/officeDocument/2006/relationships/hyperlink" Target="http://www.hr-portal.ru/article/trendy-razvitiya-hrm-tehnologiy-2014" TargetMode="External"/><Relationship Id="rId1380" Type="http://schemas.openxmlformats.org/officeDocument/2006/relationships/hyperlink" Target="http://kemerovostat.gks.ru/wps/wcm/connect/rosstat_ts/" TargetMode="External"/><Relationship Id="rId182" Type="http://schemas.openxmlformats.org/officeDocument/2006/relationships/hyperlink" Target="http://www.belstat.gov.by/ofitsialnaya-statistika/solialnaya-sfera/obrazovanie/godovye-dannye_5/osnovnye-pokazateli-obrazovaniya/" TargetMode="External"/><Relationship Id="rId403" Type="http://schemas.openxmlformats.org/officeDocument/2006/relationships/hyperlink" Target="https://myfin.by/wiki/term/indeks-potrebitelskih-cen" TargetMode="External"/><Relationship Id="rId750" Type="http://schemas.openxmlformats.org/officeDocument/2006/relationships/hyperlink" Target="http://autodrop.ru/autonews/1184-ceny-na-avto-2017.html" TargetMode="External"/><Relationship Id="rId848" Type="http://schemas.openxmlformats.org/officeDocument/2006/relationships/hyperlink" Target="http://vegetarianskij.ru/kak-dobyvayut-mex-dlya-shub-iz-norki-lisicy-i-pesca/" TargetMode="External"/><Relationship Id="rId1033" Type="http://schemas.openxmlformats.org/officeDocument/2006/relationships/hyperlink" Target="http://rulaws.ru/Lesnoy-kodeks/" TargetMode="External"/><Relationship Id="rId487" Type="http://schemas.openxmlformats.org/officeDocument/2006/relationships/hyperlink" Target="http://zarplatyinfo.ru/v_mire/zarplata-v-belarusi-v-dollarax-i-rossijskix-rublyax-srednyaya-v-2015-2016-godu.html.%20&#8211;%20&#1044;&#1072;&#1090;&#1072;%20&#1076;&#1086;&#1089;&#1090;&#1091;&#1087;&#1072;%2014.04.2017" TargetMode="External"/><Relationship Id="rId610" Type="http://schemas.openxmlformats.org/officeDocument/2006/relationships/hyperlink" Target="http://www.oecdbetterlifeindex.org/ru/" TargetMode="External"/><Relationship Id="rId694"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708"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5" Type="http://schemas.openxmlformats.org/officeDocument/2006/relationships/hyperlink" Target="http://www.grandars.ru/student/finansy/denezhnaya-sistema.html" TargetMode="External"/><Relationship Id="rId1240" Type="http://schemas.openxmlformats.org/officeDocument/2006/relationships/hyperlink" Target="https://www.gov.uk/government/uploads/system/uploads/attachment_data/file/32450/11-1387-innovation-and-research-strategy-for-growth.pdf" TargetMode="External"/><Relationship Id="rId1338" Type="http://schemas.openxmlformats.org/officeDocument/2006/relationships/hyperlink" Target="http://seoklub.ru/tablica_bezopasnyh_cvetov.html" TargetMode="External"/><Relationship Id="rId347" Type="http://schemas.openxmlformats.org/officeDocument/2006/relationships/hyperlink" Target="http://gagarskiy.narod.ru/" TargetMode="External"/><Relationship Id="rId999" Type="http://schemas.openxmlformats.org/officeDocument/2006/relationships/hyperlink" Target="https://hi-news.ru/eto-interesno/video-roboty-pomogayushhie-uchyonym-nablyudat-za-dikoj-prirodoj.html%20-%20Hi-news.ru" TargetMode="External"/><Relationship Id="rId1100" Type="http://schemas.openxmlformats.org/officeDocument/2006/relationships/hyperlink" Target="http://heaclub.ru/pravilnoe-pitanie-dlya-zhenskoj-krasoty-poleznye-produkty-dlya-krasoty-i-zdorovya-kozhi-i-volos" TargetMode="External"/><Relationship Id="rId1184" Type="http://schemas.openxmlformats.org/officeDocument/2006/relationships/hyperlink" Target="http://government.ru/docs/11912/" TargetMode="External"/><Relationship Id="rId1405" Type="http://schemas.openxmlformats.org/officeDocument/2006/relationships/hyperlink" Target="http://cheloveknauka.com/adaptatsiya-molodyh-spetsialistov-v-sovremennyh-rossiyskih-organizatsiyah" TargetMode="External"/><Relationship Id="rId44" Type="http://schemas.openxmlformats.org/officeDocument/2006/relationships/hyperlink" Target="https://psibook.com/religion/demograficheskiy-potentsial-respubliki-belarus-osnovnye-tendentsii-razvitiya.html" TargetMode="External"/><Relationship Id="rId554" Type="http://schemas.openxmlformats.org/officeDocument/2006/relationships/hyperlink" Target="http://cxem.net/arduino/arduino49.php" TargetMode="External"/><Relationship Id="rId761" Type="http://schemas.openxmlformats.org/officeDocument/2006/relationships/image" Target="media/image52.jpg"/><Relationship Id="rId859" Type="http://schemas.openxmlformats.org/officeDocument/2006/relationships/hyperlink" Target="http://www.ikirov.ru/news/13425-krasivaya-i-stilnaya-alternativa-naturalnym-meham" TargetMode="External"/><Relationship Id="rId1391" Type="http://schemas.openxmlformats.org/officeDocument/2006/relationships/hyperlink" Target="http://kemerovostat.gks.ru/wps/wcm/connect/rosstat_ts/" TargetMode="External"/><Relationship Id="rId193" Type="http://schemas.openxmlformats.org/officeDocument/2006/relationships/hyperlink" Target="http://www.belstat.gov.by/ofitsialnaya-statistika/solialnaya-sfera/obrazovanie/godovye-dannye_5/osnovnye-pokazateli-obrazovaniya/" TargetMode="External"/><Relationship Id="rId207" Type="http://schemas.openxmlformats.org/officeDocument/2006/relationships/hyperlink" Target="http://elib.bspu.by/bitstream/doc/5098/1/%D0%9E%D0%B1%D1%80%D0%B0%D0%B7%D0%BE%D0%B2%D0%B0%D0%BD%D0%B8%D0%B5%20%D0%B2%20%D0%B8%D0%BD%D1%82.pdf" TargetMode="External"/><Relationship Id="rId414" Type="http://schemas.openxmlformats.org/officeDocument/2006/relationships/hyperlink" Target="http://www.belstat.gov.by/ofitsialnaya-statistika/ssrd-mvf_2/natsionalnaya-stranitsa-svodnyh-dannyh/zarabotnaya-plata_2/" TargetMode="External"/><Relationship Id="rId498" Type="http://schemas.openxmlformats.org/officeDocument/2006/relationships/hyperlink" Target="http://zarplatyinfo.ru/v_mire/zarplata-v-belarusi-v-dollarax-i-rossijskix-rublyax-srednyaya-v-2015-2016-godu.html.%20&#8211;%20&#1044;&#1072;&#1090;&#1072;%20&#1076;&#1086;&#1089;&#1090;&#1091;&#1087;&#1072;%2014.04.2017" TargetMode="External"/><Relationship Id="rId621" Type="http://schemas.openxmlformats.org/officeDocument/2006/relationships/hyperlink" Target="http://www.energya.by/kak-razvivayutsya-alternativnayia-energetika-v-belarusi/" TargetMode="External"/><Relationship Id="rId1044" Type="http://schemas.openxmlformats.org/officeDocument/2006/relationships/hyperlink" Target="http://research.cmsmagazine.ru/report-on-communication-policy-of-banks-on-internet-russia/" TargetMode="External"/><Relationship Id="rId1251" Type="http://schemas.openxmlformats.org/officeDocument/2006/relationships/hyperlink" Target="http://www.gks.ru/wps/wcm/connect/rosstat_main/rosstat/ru/statistics/publications/catalog/doc" TargetMode="External"/><Relationship Id="rId1349" Type="http://schemas.openxmlformats.org/officeDocument/2006/relationships/hyperlink" Target="http://mintrud.donland.ru/" TargetMode="External"/><Relationship Id="rId260" Type="http://schemas.openxmlformats.org/officeDocument/2006/relationships/hyperlink" Target="http://elib.bspu.by/bitstream/doc/5098/1/%D0%9E%D0%B1%D1%80%D0%B0%D0%B7%D0%BE%D0%B2%D0%B0%D0%BD%D0%B8%D0%B5%20%D0%B2%20%D0%B8%D0%BD%D1%82.pdf" TargetMode="External"/><Relationship Id="rId719"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26" Type="http://schemas.openxmlformats.org/officeDocument/2006/relationships/hyperlink" Target="http://www.grandars.ru/student/ekonomicheskaya-teoriya/valovyy-vnutrenniy-produkt.html" TargetMode="External"/><Relationship Id="rId1111" Type="http://schemas.openxmlformats.org/officeDocument/2006/relationships/hyperlink" Target="http://heaclub.ru/pravilnoe-pitanie-dlya-zhenskoj-krasoty-poleznye-produkty-dlya-krasoty-i-zdorovya-kozhi-i-volos" TargetMode="External"/><Relationship Id="rId55" Type="http://schemas.openxmlformats.org/officeDocument/2006/relationships/hyperlink" Target="https://psibook.com/religion/demograficheskiy-potentsial-respubliki-belarus-osnovnye-tendentsii-razvitiya.html" TargetMode="External"/><Relationship Id="rId120" Type="http://schemas.openxmlformats.org/officeDocument/2006/relationships/hyperlink" Target="http://pandia.ru/text/80/149/9122.php" TargetMode="External"/><Relationship Id="rId358" Type="http://schemas.openxmlformats.org/officeDocument/2006/relationships/hyperlink" Target="http://www.smartmanage.ru/deels-441-1.html" TargetMode="External"/><Relationship Id="rId565" Type="http://schemas.openxmlformats.org/officeDocument/2006/relationships/hyperlink" Target="http://ru-ecology.info/post/104037401150002/" TargetMode="External"/><Relationship Id="rId772" Type="http://schemas.openxmlformats.org/officeDocument/2006/relationships/hyperlink" Target="https://thenextweb.com/insider/2017/03/14/5-ways-voice-search-will-affect-seo-2017/" TargetMode="External"/><Relationship Id="rId1195" Type="http://schemas.openxmlformats.org/officeDocument/2006/relationships/hyperlink" Target="http://biz.a42.ru/lenta/show/201606031656-vnesla-li-politika-importozamescheniya-suschestvennyie-izmeneniya-v-kuzbasskoy-ekonomike.html" TargetMode="External"/><Relationship Id="rId1209" Type="http://schemas.openxmlformats.org/officeDocument/2006/relationships/hyperlink" Target="http://biz.a42.ru/lenta/show/201606031656-vnesla-li-politika-importozamescheniya-suschestvennyie-izmeneniya-v-kuzbasskoy-ekonomike.html" TargetMode="External"/><Relationship Id="rId1416" Type="http://schemas.openxmlformats.org/officeDocument/2006/relationships/hyperlink" Target="http://cheloveknauka.com/adaptatsiya-molodyh-spetsialistov-v-sovremennyh-rossiyskih-organizatsiyah" TargetMode="External"/><Relationship Id="rId218" Type="http://schemas.openxmlformats.org/officeDocument/2006/relationships/hyperlink" Target="http://elib.bspu.by/bitstream/doc/5098/1/%D0%9E%D0%B1%D1%80%D0%B0%D0%B7%D0%BE%D0%B2%D0%B0%D0%BD%D0%B8%D0%B5%20%D0%B2%20%D0%B8%D0%BD%D1%82.pdf" TargetMode="External"/><Relationship Id="rId425"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32" Type="http://schemas.openxmlformats.org/officeDocument/2006/relationships/image" Target="media/image48.png"/><Relationship Id="rId1055" Type="http://schemas.openxmlformats.org/officeDocument/2006/relationships/hyperlink" Target="http://research.cmsmagazine.ru/report-on-communication-policy-of-banks-on-internet-russia/" TargetMode="External"/><Relationship Id="rId1262" Type="http://schemas.openxmlformats.org/officeDocument/2006/relationships/hyperlink" Target="https://ru.wikipedia.org/wiki/%D0%A0%D0%BE%D1%81%D1%81%D0%B8%D1%8F" TargetMode="External"/><Relationship Id="rId271" Type="http://schemas.openxmlformats.org/officeDocument/2006/relationships/image" Target="media/image22.png"/><Relationship Id="rId937" Type="http://schemas.openxmlformats.org/officeDocument/2006/relationships/hyperlink" Target="http://media.rspp.ru/document/1/f/2/f2eb3b415cffeb9aa7001c155904efea.pdf" TargetMode="External"/><Relationship Id="rId1122" Type="http://schemas.openxmlformats.org/officeDocument/2006/relationships/hyperlink" Target="http://heaclub.ru/pravilnoe-pitanie-dlya-zhenskoj-krasoty-poleznye-produkty-dlya-krasoty-i-zdorovya-kozhi-i-volos" TargetMode="External"/><Relationship Id="rId66" Type="http://schemas.openxmlformats.org/officeDocument/2006/relationships/hyperlink" Target="https://www.audit-it.ru/finanaliz/terms/solvency/" TargetMode="External"/><Relationship Id="rId131" Type="http://schemas.openxmlformats.org/officeDocument/2006/relationships/hyperlink" Target="http://www.metaltorg.ru/margantsevyj-kontsentrat.htm" TargetMode="External"/><Relationship Id="rId369"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576" Type="http://schemas.openxmlformats.org/officeDocument/2006/relationships/hyperlink" Target="http://ecoyear.ru/documentation/ukaz7/" TargetMode="External"/><Relationship Id="rId783" Type="http://schemas.openxmlformats.org/officeDocument/2006/relationships/hyperlink" Target="https://thenextweb.com/insider/2017/03/14/5-ways-voice-search-will-affect-seo-2017/" TargetMode="External"/><Relationship Id="rId990" Type="http://schemas.openxmlformats.org/officeDocument/2006/relationships/hyperlink" Target="https://hi-news.ru/eto-interesno/video-roboty-pomogayushhie-uchyonym-nablyudat-za-dikoj-prirodoj.html%20-%20Hi-news.ru" TargetMode="External"/><Relationship Id="rId1427" Type="http://schemas.openxmlformats.org/officeDocument/2006/relationships/header" Target="header12.xml"/><Relationship Id="rId229" Type="http://schemas.openxmlformats.org/officeDocument/2006/relationships/hyperlink" Target="http://elib.bspu.by/bitstream/doc/5098/1/%D0%9E%D0%B1%D1%80%D0%B0%D0%B7%D0%BE%D0%B2%D0%B0%D0%BD%D0%B8%D0%B5%20%D0%B2%20%D0%B8%D0%BD%D1%82.pdf" TargetMode="External"/><Relationship Id="rId436"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43"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1066" Type="http://schemas.openxmlformats.org/officeDocument/2006/relationships/hyperlink" Target="http://www.kemerovo.ru/archive/file/2027/invest_pasport_kemerovo.pdf" TargetMode="External"/><Relationship Id="rId1273" Type="http://schemas.openxmlformats.org/officeDocument/2006/relationships/hyperlink" Target="https://ru.wikipedia.org/wiki/%D0%A2%D1%80%D1%83%D0%B4" TargetMode="External"/><Relationship Id="rId850" Type="http://schemas.openxmlformats.org/officeDocument/2006/relationships/hyperlink" Target="http://www.ikirov.ru/news/13425-krasivaya-i-stilnaya-alternativa-naturalnym-meham" TargetMode="External"/><Relationship Id="rId948" Type="http://schemas.openxmlformats.org/officeDocument/2006/relationships/hyperlink" Target="http://www.nat-geo.ru/planet/50995-na-zemle-mozhet-ne-ostatsya-pchel/" TargetMode="External"/><Relationship Id="rId1133" Type="http://schemas.openxmlformats.org/officeDocument/2006/relationships/hyperlink" Target="http://zapiskiprofana.ru/pravilnoe-pitanie-dlya-zhenshhin/" TargetMode="External"/><Relationship Id="rId77" Type="http://schemas.openxmlformats.org/officeDocument/2006/relationships/hyperlink" Target="http://megabook.ru/article/%d0%9a%d0%be%d0%bd%d1%8c%20(%d0%b3%d0%b8%d0%bc%d0%bd%d0%b0%d1%81%d1%82%d0%b8%d1%87%d0%b5%d1%81%d0%ba%d0%b8%d0%b9%20%d1%81%d0%bd%d0%b0%d1%80%d1%8f%d0%b4)" TargetMode="External"/><Relationship Id="rId282"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03" Type="http://schemas.openxmlformats.org/officeDocument/2006/relationships/hyperlink" Target="http://zarplatyinfo.ru/v_mire/zarplata-v-belarusi-v-dollarax-i-rossijskix-rublyax-srednyaya-v-2015-2016-godu.html.%20&#8211;%20&#1044;&#1072;&#1090;&#1072;%20&#1076;&#1086;&#1089;&#1090;&#1091;&#1087;&#1072;%2014.04.2017" TargetMode="External"/><Relationship Id="rId587" Type="http://schemas.openxmlformats.org/officeDocument/2006/relationships/hyperlink" Target="http://ecoyear.ru/" TargetMode="External"/><Relationship Id="rId710"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08" Type="http://schemas.openxmlformats.org/officeDocument/2006/relationships/hyperlink" Target="http://searchengineland.com/google-reveals-20-percent-queries-voice-queries-249917" TargetMode="External"/><Relationship Id="rId1340" Type="http://schemas.openxmlformats.org/officeDocument/2006/relationships/hyperlink" Target="http://www.windpower.by/ru/" TargetMode="External"/><Relationship Id="rId142" Type="http://schemas.openxmlformats.org/officeDocument/2006/relationships/hyperlink" Target="http://www.customs.ru/index.php?option=com_content&amp;view=article&amp;id=24772:-------2016-&amp;catid=53:2011-01-24-16-29-43" TargetMode="External"/><Relationship Id="rId447"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794" Type="http://schemas.openxmlformats.org/officeDocument/2006/relationships/hyperlink" Target="http://searchengineland.com/google-reveals-20-percent-queries-voice-queries-249917" TargetMode="External"/><Relationship Id="rId1077" Type="http://schemas.openxmlformats.org/officeDocument/2006/relationships/hyperlink" Target="https://www.sba.gov/about-sba/sba-newsroom" TargetMode="External"/><Relationship Id="rId1200" Type="http://schemas.openxmlformats.org/officeDocument/2006/relationships/hyperlink" Target="http://biz.a42.ru/lenta/show/201606031656-vnesla-li-politika-importozamescheniya-suschestvennyie-izmeneniya-v-kuzbasskoy-ekonomike.html" TargetMode="External"/><Relationship Id="rId654" Type="http://schemas.openxmlformats.org/officeDocument/2006/relationships/hyperlink" Target="https://sb-vnedr.ru/about/publication/12468/" TargetMode="External"/><Relationship Id="rId861" Type="http://schemas.openxmlformats.org/officeDocument/2006/relationships/hyperlink" Target="http://www.ikirov.ru/news/13425-krasivaya-i-stilnaya-alternativa-naturalnym-meham" TargetMode="External"/><Relationship Id="rId959" Type="http://schemas.openxmlformats.org/officeDocument/2006/relationships/hyperlink" Target="http://www.popmech.ru/science/327552-roboty-pchely-i-neobychnyy-gel-smogut-li-drony-zamenit-nasekomykh/" TargetMode="External"/><Relationship Id="rId1284" Type="http://schemas.openxmlformats.org/officeDocument/2006/relationships/hyperlink" Target="http://www.iphones.ru/iNotes/494059" TargetMode="External"/><Relationship Id="rId293"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307" Type="http://schemas.openxmlformats.org/officeDocument/2006/relationships/hyperlink" Target="http://www.belstat.gov.by/ofitsialnaya-statistika/realny-sector-ekonomiki/maloe-pred%20prinimatelstvo/graficheskii-material-grafiki-diagrammy_9/raspredelenie-kolichestva-mikroorganizatsii-i-malyh-organizatsii-po-oblastyam-i-g-minsku-za-2014-god/" TargetMode="External"/><Relationship Id="rId514" Type="http://schemas.openxmlformats.org/officeDocument/2006/relationships/hyperlink" Target="http://ya62.ru/articles/publishing/kadry-dlya-biznesa-zachem-nuzhny-kadrovye-agentstva/" TargetMode="External"/><Relationship Id="rId721"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1144" Type="http://schemas.openxmlformats.org/officeDocument/2006/relationships/hyperlink" Target="https://healthy-zone.ru/pravilnoe-pitanie-dlya-zhenshhin-produktyi-dlya-zhenskogo-zdorovya-i-krasotyi" TargetMode="External"/><Relationship Id="rId1351" Type="http://schemas.openxmlformats.org/officeDocument/2006/relationships/image" Target="media/image84.jpg"/><Relationship Id="rId88" Type="http://schemas.openxmlformats.org/officeDocument/2006/relationships/hyperlink" Target="http://megabook.ru/article/%d0%a7%d1%83%d0%ba%d0%b0%d1%80%d0%b8%d0%bd%20%d0%92%d0%b8%d0%ba%d1%82%d0%be%d1%80%20%d0%98%d0%b2%d0%b0%d0%bd%d0%be%d0%b2%d0%b8%d1%87" TargetMode="External"/><Relationship Id="rId153" Type="http://schemas.openxmlformats.org/officeDocument/2006/relationships/hyperlink" Target="http://revolution.allbest.ru/economy/00340341_0.html" TargetMode="External"/><Relationship Id="rId360" Type="http://schemas.openxmlformats.org/officeDocument/2006/relationships/hyperlink" Target="http://www.smartmanage.ru/deels-441-1.html" TargetMode="External"/><Relationship Id="rId598" Type="http://schemas.openxmlformats.org/officeDocument/2006/relationships/hyperlink" Target="http://www.ecologytarget.ru/tarecs-34-1.html" TargetMode="External"/><Relationship Id="rId819" Type="http://schemas.openxmlformats.org/officeDocument/2006/relationships/hyperlink" Target="https://spark.ru/startup/se-ranking/blog/19483/pochemu-golosovoj-poisk-glavnij-trend-2017" TargetMode="External"/><Relationship Id="rId1004" Type="http://schemas.openxmlformats.org/officeDocument/2006/relationships/hyperlink" Target="https://hi-news.ru/eto-interesno/video-roboty-pomogayushhie-uchyonym-nablyudat-za-dikoj-prirodoj.html%20-%20Hi-news.ru" TargetMode="External"/><Relationship Id="rId1211" Type="http://schemas.openxmlformats.org/officeDocument/2006/relationships/hyperlink" Target="http://biz.a42.ru/lenta/show/201606031656-vnesla-li-politika-importozamescheniya-suschestvennyie-izmeneniya-v-kuzbasskoy-ekonomike.html" TargetMode="External"/><Relationship Id="rId220" Type="http://schemas.openxmlformats.org/officeDocument/2006/relationships/hyperlink" Target="http://elib.bspu.by/bitstream/doc/5098/1/%D0%9E%D0%B1%D1%80%D0%B0%D0%B7%D0%BE%D0%B2%D0%B0%D0%BD%D0%B8%D0%B5%20%D0%B2%20%D0%B8%D0%BD%D1%82.pdf" TargetMode="External"/><Relationship Id="rId458"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65" Type="http://schemas.openxmlformats.org/officeDocument/2006/relationships/hyperlink" Target="http://mintrud.gov.by/ru/sostojanie/" TargetMode="External"/><Relationship Id="rId872" Type="http://schemas.openxmlformats.org/officeDocument/2006/relationships/hyperlink" Target="http://www.donbass-info.com/content/view/26369/26380" TargetMode="External"/><Relationship Id="rId1088" Type="http://schemas.openxmlformats.org/officeDocument/2006/relationships/hyperlink" Target="http://r.bookap.info/work/163626/Maloe-predprinimatelstvo-kak-subekt" TargetMode="External"/><Relationship Id="rId1295" Type="http://schemas.openxmlformats.org/officeDocument/2006/relationships/hyperlink" Target="http://www.gks.ru/wps/wcm/connect/rosstat_main/rosstat/ru/statistics/publications/catalog/doc" TargetMode="External"/><Relationship Id="rId1309" Type="http://schemas.openxmlformats.org/officeDocument/2006/relationships/hyperlink" Target="https://ru.wikipedia.org/wiki/%D0%9D%D0%B5%D0%BC%D0%B5%D1%86%D0%BA%D0%B8%D0%B9_%D1%8F%D0%B7%D1%8B%D0%BA" TargetMode="External"/><Relationship Id="rId318" Type="http://schemas.openxmlformats.org/officeDocument/2006/relationships/hyperlink" Target="https://vk.com/away.php?to=http%3A%2F%2Fwww.nalog.gov.by%2Fru%2Fnalog-nagruzka-economica-ru%2F&amp;cc_key=" TargetMode="External"/><Relationship Id="rId525" Type="http://schemas.openxmlformats.org/officeDocument/2006/relationships/hyperlink" Target="http://economy.gov.ru/" TargetMode="External"/><Relationship Id="rId732" Type="http://schemas.openxmlformats.org/officeDocument/2006/relationships/hyperlink" Target="https://www.autostat.ru/test_draiv_7d/29315/" TargetMode="External"/><Relationship Id="rId1155" Type="http://schemas.openxmlformats.org/officeDocument/2006/relationships/hyperlink" Target="https://healthy-zone.ru/pravilnoe-pitanie-dlya-zhenshhin-produktyi-dlya-zhenskogo-zdorovya-i-krasotyi" TargetMode="External"/><Relationship Id="rId1362" Type="http://schemas.openxmlformats.org/officeDocument/2006/relationships/image" Target="media/image86.jpg"/><Relationship Id="rId99" Type="http://schemas.openxmlformats.org/officeDocument/2006/relationships/hyperlink" Target="http://megabook.ru/article/%d0%9a%d0%be%d1%80%d0%b1%d1%83%d1%82%20%d0%9e%d0%bb%d1%8c%d0%b3%d0%b0%20%d0%92%d0%b0%d0%bb%d0%b5%d0%bd%d1%82%d0%b8%d0%bd%d0%be%d0%b2%d0%bd%d0%b0%20%5b%d1%81%d0%bf%d0%be%d1%80%d1%82%5d" TargetMode="External"/><Relationship Id="rId164" Type="http://schemas.openxmlformats.org/officeDocument/2006/relationships/hyperlink" Target="http://www.belstat.gov.by/ofitsialnaya-statistika/solialnaya-sfera/obrazovanie/godovye-dannye_5/osnovnye-pokazateli-obrazovaniya/" TargetMode="External"/><Relationship Id="rId371" Type="http://schemas.openxmlformats.org/officeDocument/2006/relationships/hyperlink" Target="http://www.butb.by/&#1090;&#1086;&#1088;&#1075;&#1080;-&#1083;&#1077;&#1089;&#1086;&#1087;&#1088;&#1086;&#1076;&#1091;&#1082;&#1094;&#1080;&#1077;&#1081;/&#1083;&#1077;&#1089;&#1085;&#1099;&#1077;-&#1088;&#1077;&#1089;&#1091;&#1088;&#1089;&#1099;-&#1073;&#1077;&#1083;&#1072;&#1088;&#1091;&#1089;&#1080;/" TargetMode="External"/><Relationship Id="rId1015" Type="http://schemas.openxmlformats.org/officeDocument/2006/relationships/hyperlink" Target="https://ru.wikipedia.org/wiki/%D0%90%D0%B2%D0%B0%D1%80%D0%B8%D0%B9%D0%BD%D0%BE-%D1%81%D0%BF%D0%B0%D1%81%D0%B0%D1%82%D0%B5%D0%BB%D1%8C%D0%BD%D0%B0%D1%8F_%D1%81%D0%BB%D1%83%D0%B6%D0%B1%D0%B0" TargetMode="External"/><Relationship Id="rId1222" Type="http://schemas.openxmlformats.org/officeDocument/2006/relationships/hyperlink" Target="https://myfin.by/wiki/term/eksport" TargetMode="External"/><Relationship Id="rId469" Type="http://schemas.openxmlformats.org/officeDocument/2006/relationships/hyperlink" Target="http://zarplatyinfo.ru/v_mire/zarplata-v-belarusi-v-dollarax-i-rossijskix-rublyax-srednyaya-v-2015-2016-godu.html.%20&#8211;%20&#1044;&#1072;&#1090;&#1072;%20&#1076;&#1086;&#1089;&#1090;&#1091;&#1087;&#1072;%2014.04.2017" TargetMode="External"/><Relationship Id="rId676"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83" Type="http://schemas.openxmlformats.org/officeDocument/2006/relationships/hyperlink" Target="http://greenologia.ru/eko-problemy/tyazhelye-metally-pochvu.html" TargetMode="External"/><Relationship Id="rId1099" Type="http://schemas.openxmlformats.org/officeDocument/2006/relationships/hyperlink" Target="http://heaclub.ru/pravilnoe-pitanie-dlya-zhenskoj-krasoty-poleznye-produkty-dlya-krasoty-i-zdorovya-kozhi-i-volos" TargetMode="External"/><Relationship Id="rId26" Type="http://schemas.openxmlformats.org/officeDocument/2006/relationships/image" Target="media/image2.jpg"/><Relationship Id="rId231" Type="http://schemas.openxmlformats.org/officeDocument/2006/relationships/hyperlink" Target="http://elib.bspu.by/bitstream/doc/5098/1/%D0%9E%D0%B1%D1%80%D0%B0%D0%B7%D0%BE%D0%B2%D0%B0%D0%BD%D0%B8%D0%B5%20%D0%B2%20%D0%B8%D0%BD%D1%82.pdf" TargetMode="External"/><Relationship Id="rId329" Type="http://schemas.openxmlformats.org/officeDocument/2006/relationships/hyperlink" Target="https://vk.com/away.php?to=http%3A%2F%2Fwww.belstat.gov.by%2Fofitsialnaya-statistika%2Fmakroekonomika-i-okruzhayushchaya-sreda%2Ffinansy%2Fgodovye-dannye_14%2Ffinansovye-rezultaty-raboty-organizatsii%2F&amp;cc_key=" TargetMode="External"/><Relationship Id="rId536" Type="http://schemas.openxmlformats.org/officeDocument/2006/relationships/image" Target="media/image40.jpg"/><Relationship Id="rId1166" Type="http://schemas.openxmlformats.org/officeDocument/2006/relationships/hyperlink" Target="http://www.hr-portal.ru/article/trendy-razvitiya-hrm-tehnologiy-2014" TargetMode="External"/><Relationship Id="rId1373" Type="http://schemas.openxmlformats.org/officeDocument/2006/relationships/hyperlink" Target="http://www.gks.ru/wps/wcm/" TargetMode="External"/><Relationship Id="rId175" Type="http://schemas.openxmlformats.org/officeDocument/2006/relationships/hyperlink" Target="http://www.belstat.gov.by/ofitsialnaya-statistika/solialnaya-sfera/obrazovanie/godovye-dannye_5/osnovnye-pokazateli-obrazovaniya/" TargetMode="External"/><Relationship Id="rId743" Type="http://schemas.openxmlformats.org/officeDocument/2006/relationships/hyperlink" Target="http://autodrop.ru/autonews/1184-ceny-na-avto-2017.html" TargetMode="External"/><Relationship Id="rId950" Type="http://schemas.openxmlformats.org/officeDocument/2006/relationships/hyperlink" Target="http://www.nat-geo.ru/planet/50995-na-zemle-mozhet-ne-ostatsya-pchel/" TargetMode="External"/><Relationship Id="rId1026" Type="http://schemas.openxmlformats.org/officeDocument/2006/relationships/image" Target="media/image63.jpg"/><Relationship Id="rId382" Type="http://schemas.openxmlformats.org/officeDocument/2006/relationships/hyperlink" Target="http://www.belstat.gov.by/metodologiya/kratkiy-glossariy-statisticheskikh-terminov/26/" TargetMode="External"/><Relationship Id="rId603" Type="http://schemas.openxmlformats.org/officeDocument/2006/relationships/hyperlink" Target="http://www.ecologytarget.ru/tarecs-34-1.html" TargetMode="External"/><Relationship Id="rId687"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810" Type="http://schemas.openxmlformats.org/officeDocument/2006/relationships/hyperlink" Target="http://searchengineland.com/google-reveals-20-percent-queries-voice-queries-249917" TargetMode="External"/><Relationship Id="rId908" Type="http://schemas.openxmlformats.org/officeDocument/2006/relationships/hyperlink" Target="http://www.grandars.ru/student/mirovaya-ekonomika/sistema-zolotogo-standarta.html" TargetMode="External"/><Relationship Id="rId1233" Type="http://schemas.openxmlformats.org/officeDocument/2006/relationships/hyperlink" Target="https://www.gov.uk/government/uploads/system/uploads/attachment_data/file/32450/11-1387-innovation-and-research-strategy-for-growth.pdf" TargetMode="External"/><Relationship Id="rId242" Type="http://schemas.openxmlformats.org/officeDocument/2006/relationships/hyperlink" Target="http://elib.bspu.by/bitstream/doc/5098/1/%D0%9E%D0%B1%D1%80%D0%B0%D0%B7%D0%BE%D0%B2%D0%B0%D0%BD%D0%B8%D0%B5%20%D0%B2%20%D0%B8%D0%BD%D1%82.pdf" TargetMode="External"/><Relationship Id="rId894" Type="http://schemas.openxmlformats.org/officeDocument/2006/relationships/hyperlink" Target="https://www.psycho.ru/library/3419" TargetMode="External"/><Relationship Id="rId1177" Type="http://schemas.openxmlformats.org/officeDocument/2006/relationships/hyperlink" Target="http://mir-nauki.com/" TargetMode="External"/><Relationship Id="rId1300" Type="http://schemas.openxmlformats.org/officeDocument/2006/relationships/hyperlink" Target="http://elibrary.ru/contents.asp?issueid=1564727&amp;selid=25715733" TargetMode="External"/><Relationship Id="rId37" Type="http://schemas.openxmlformats.org/officeDocument/2006/relationships/header" Target="header4.xml"/><Relationship Id="rId102" Type="http://schemas.openxmlformats.org/officeDocument/2006/relationships/hyperlink" Target="http://megabook.ru/article/%d0%9a%d0%be%d0%bc%d1%8d%d0%bd%d0%b5%d1%87%20%d0%9d%d0%b0%d0%b4%d1%8f%20%5b%d1%81%d0%bf%d0%be%d1%80%d1%82%5d" TargetMode="External"/><Relationship Id="rId547" Type="http://schemas.openxmlformats.org/officeDocument/2006/relationships/hyperlink" Target="http://progmk.ru/avtoinformator-na-arduino-ozvuchivanie-komand/" TargetMode="External"/><Relationship Id="rId754" Type="http://schemas.openxmlformats.org/officeDocument/2006/relationships/hyperlink" Target="https://www.autostat.ru/infographics/27989/" TargetMode="External"/><Relationship Id="rId961" Type="http://schemas.openxmlformats.org/officeDocument/2006/relationships/hyperlink" Target="http://www.popmech.ru/science/327552-roboty-pchely-i-neobychnyy-gel-smogut-li-drony-zamenit-nasekomykh/" TargetMode="External"/><Relationship Id="rId1384" Type="http://schemas.openxmlformats.org/officeDocument/2006/relationships/hyperlink" Target="http://kemerovostat.gks.ru/wps/wcm/connect/rosstat_ts/" TargetMode="External"/><Relationship Id="rId90" Type="http://schemas.openxmlformats.org/officeDocument/2006/relationships/hyperlink" Target="http://megabook.ru/article/%d0%93%d0%be%d1%80%d0%be%d1%85%d0%be%d0%b2%d1%81%d0%ba%d0%b0%d1%8f%20%d0%9c%d0%b0%d1%80%d0%b8%d1%8f%20%d0%9a%d0%be%d0%bd%d0%b4%d1%80%d0%b0%d1%82%d1%8c%d0%b5%d0%b2%d0%bd%d0%b0" TargetMode="External"/><Relationship Id="rId186" Type="http://schemas.openxmlformats.org/officeDocument/2006/relationships/hyperlink" Target="http://www.belstat.gov.by/ofitsialnaya-statistika/solialnaya-sfera/obrazovanie/godovye-dannye_5/osnovnye-pokazateli-obrazovaniya/" TargetMode="External"/><Relationship Id="rId393" Type="http://schemas.openxmlformats.org/officeDocument/2006/relationships/hyperlink" Target="http://workspace.unpan.org/sites/Internet/Documents/UNPAN96407.pdf" TargetMode="External"/><Relationship Id="rId407" Type="http://schemas.openxmlformats.org/officeDocument/2006/relationships/image" Target="media/image37.png"/><Relationship Id="rId614" Type="http://schemas.openxmlformats.org/officeDocument/2006/relationships/hyperlink" Target="http://www.oecdbetterlifeindex.org/ru/" TargetMode="External"/><Relationship Id="rId821" Type="http://schemas.openxmlformats.org/officeDocument/2006/relationships/hyperlink" Target="https://spark.ru/startup/se-ranking/blog/19483/pochemu-golosovoj-poisk-glavnij-trend-2017" TargetMode="External"/><Relationship Id="rId1037" Type="http://schemas.openxmlformats.org/officeDocument/2006/relationships/image" Target="media/image65.png"/><Relationship Id="rId1244" Type="http://schemas.openxmlformats.org/officeDocument/2006/relationships/hyperlink" Target="https://www.gov.uk/government/uploads/system/uploads/attachment_data/file/32450/11-1387-innovation-and-research-strategy-for-growth.pdf" TargetMode="External"/><Relationship Id="rId253" Type="http://schemas.openxmlformats.org/officeDocument/2006/relationships/hyperlink" Target="http://elib.bspu.by/bitstream/doc/5098/1/%D0%9E%D0%B1%D1%80%D0%B0%D0%B7%D0%BE%D0%B2%D0%B0%D0%BD%D0%B8%D0%B5%20%D0%B2%20%D0%B8%D0%BD%D1%82.pdf" TargetMode="External"/><Relationship Id="rId460" Type="http://schemas.openxmlformats.org/officeDocument/2006/relationships/hyperlink" Target="https://finance.tut.by/news433195.html" TargetMode="External"/><Relationship Id="rId698" Type="http://schemas.openxmlformats.org/officeDocument/2006/relationships/hyperlink" Target="http://www.belstat.gov.by/ofitsialnaya-statistika/solialnaya-sfera/trud/operativnaya-informatsiya_8/chislennost-prinyatykh-i-uvolennykh-rabotnikov-v-organizatsiyakh-respubliki-belarus/chislennost-prinyatykh-i-uvolennykh-rabotnikov-v-organizatsiyakh-respubliki-belarus-v-yanvare-2017-g/" TargetMode="External"/><Relationship Id="rId919" Type="http://schemas.openxmlformats.org/officeDocument/2006/relationships/hyperlink" Target="http://www.grandars.ru/student/finansy/emissiya-deneg.html" TargetMode="External"/><Relationship Id="rId1090" Type="http://schemas.openxmlformats.org/officeDocument/2006/relationships/hyperlink" Target="http://r.bookap.info/work/163626/Maloe-predprinimatelstvo-kak-subekt" TargetMode="External"/><Relationship Id="rId1104" Type="http://schemas.openxmlformats.org/officeDocument/2006/relationships/hyperlink" Target="http://heaclub.ru/pravilnoe-pitanie-dlya-zhenskoj-krasoty-poleznye-produkty-dlya-krasoty-i-zdorovya-kozhi-i-volos" TargetMode="External"/><Relationship Id="rId1311" Type="http://schemas.openxmlformats.org/officeDocument/2006/relationships/hyperlink" Target="https://ru.wikipedia.org/wiki/%D0%9D%D0%B5%D0%BC%D0%B5%D1%86%D0%BA%D0%B8%D0%B9_%D1%8F%D0%B7%D1%8B%D0%BA" TargetMode="External"/><Relationship Id="rId48" Type="http://schemas.openxmlformats.org/officeDocument/2006/relationships/hyperlink" Target="https://psibook.com/religion/demograficheskiy-potentsial-respubliki-belarus-osnovnye-tendentsii-razvitiya.html" TargetMode="External"/><Relationship Id="rId113" Type="http://schemas.openxmlformats.org/officeDocument/2006/relationships/hyperlink" Target="http://megabook.ru/article/%d0%9d%d0%b5%d0%bc%d0%be%d0%b2%20%d0%90%d0%bb%d0%b5%d0%ba%d1%81%d0%b5%d0%b9%20%d0%ae%d1%80%d1%8c%d0%b5%d0%b2%d0%b8%d1%87" TargetMode="External"/><Relationship Id="rId320" Type="http://schemas.openxmlformats.org/officeDocument/2006/relationships/hyperlink" Target="https://vk.com/away.php?to=http%3A%2F%2Fwww.nalog.gov.by%2Fru%2Fnalog-nagruzka-economica-ru%2F&amp;cc_key=" TargetMode="External"/><Relationship Id="rId558" Type="http://schemas.openxmlformats.org/officeDocument/2006/relationships/hyperlink" Target="http://robotosha.ru/arduino/fritzing-intro.html" TargetMode="External"/><Relationship Id="rId765" Type="http://schemas.openxmlformats.org/officeDocument/2006/relationships/image" Target="media/image56.jpg"/><Relationship Id="rId972" Type="http://schemas.openxmlformats.org/officeDocument/2006/relationships/hyperlink" Target="http://www.popmech.ru/science/327552-roboty-pchely-i-neobychnyy-gel-smogut-li-drony-zamenit-nasekomykh/" TargetMode="External"/><Relationship Id="rId1188" Type="http://schemas.openxmlformats.org/officeDocument/2006/relationships/hyperlink" Target="http://government.ru/docs/11912/" TargetMode="External"/><Relationship Id="rId1395" Type="http://schemas.openxmlformats.org/officeDocument/2006/relationships/hyperlink" Target="http://kemerovostat.gks.ru/wps/wcm/connect/rosstat_ts/" TargetMode="External"/><Relationship Id="rId1409" Type="http://schemas.openxmlformats.org/officeDocument/2006/relationships/hyperlink" Target="http://cheloveknauka.com/adaptatsiya-molodyh-spetsialistov-v-sovremennyh-rossiyskih-organizatsiyah" TargetMode="External"/><Relationship Id="rId197" Type="http://schemas.openxmlformats.org/officeDocument/2006/relationships/hyperlink" Target="http://elib.bspu.by/bitstream/doc/5098/1/%D0%9E%D0%B1%D1%80%D0%B0%D0%B7%D0%BE%D0%B2%D0%B0%D0%BD%D0%B8%D0%B5%20%D0%B2%20%D0%B8%D0%BD%D1%82.pdf" TargetMode="External"/><Relationship Id="rId418" Type="http://schemas.openxmlformats.org/officeDocument/2006/relationships/hyperlink" Target="http://www.belstat.gov.by/ofitsialnaya-statistika/ssrd-mvf_2/natsionalnaya-stranitsa-svodnyh-dannyh/zarabotnaya-plata_2/" TargetMode="External"/><Relationship Id="rId625" Type="http://schemas.openxmlformats.org/officeDocument/2006/relationships/hyperlink" Target="http://www.energya.by/kak-razvivayutsya-alternativnayia-energetika-v-belarusi/" TargetMode="External"/><Relationship Id="rId832" Type="http://schemas.openxmlformats.org/officeDocument/2006/relationships/hyperlink" Target="http://vegetarianskij.ru/kak-dobyvayut-mex-dlya-shub-iz-norki-lisicy-i-pesca/" TargetMode="External"/><Relationship Id="rId1048" Type="http://schemas.openxmlformats.org/officeDocument/2006/relationships/hyperlink" Target="http://research.cmsmagazine.ru/report-on-communication-policy-of-banks-on-internet-russia/" TargetMode="External"/><Relationship Id="rId1255" Type="http://schemas.openxmlformats.org/officeDocument/2006/relationships/hyperlink" Target="http://www.grandars.ru/student/statistika/zanyatye-i-bezrabotnye.html" TargetMode="External"/><Relationship Id="rId264" Type="http://schemas.openxmlformats.org/officeDocument/2006/relationships/hyperlink" Target="http://elib.bspu.by/bitstream/doc/5098/1/%D0%9E%D0%B1%D1%80%D0%B0%D0%B7%D0%BE%D0%B2%D0%B0%D0%BD%D0%B8%D0%B5%20%D0%B2%20%D0%B8%D0%BD%D1%82.pdf" TargetMode="External"/><Relationship Id="rId471" Type="http://schemas.openxmlformats.org/officeDocument/2006/relationships/hyperlink" Target="http://zarplatyinfo.ru/v_mire/zarplata-v-belarusi-v-dollarax-i-rossijskix-rublyax-srednyaya-v-2015-2016-godu.html.%20&#8211;%20&#1044;&#1072;&#1090;&#1072;%20&#1076;&#1086;&#1089;&#1090;&#1091;&#1087;&#1072;%2014.04.2017" TargetMode="External"/><Relationship Id="rId1115" Type="http://schemas.openxmlformats.org/officeDocument/2006/relationships/hyperlink" Target="http://heaclub.ru/pravilnoe-pitanie-dlya-zhenskoj-krasoty-poleznye-produkty-dlya-krasoty-i-zdorovya-kozhi-i-volos" TargetMode="External"/><Relationship Id="rId1322" Type="http://schemas.openxmlformats.org/officeDocument/2006/relationships/hyperlink" Target="https://ru.wikipedia.org/wiki/%D0%93%D0%BE%D1%81%D1%83%D0%B4%D0%B0%D1%80%D1%81%D1%82%D0%B2%D0%B5%D0%BD%D0%BD%D0%BE%D0%B5_%D1%80%D0%B5%D0%B3%D1%83%D0%BB%D0%B8%D1%80%D0%BE%D0%B2%D0%B0%D0%BD%D0%B8%D0%B5_%D1%8D%D0%BA%D0%BE%D0%BD%D0%BE%D0%BC%D0%B8%D0%BA%D0%B8" TargetMode="External"/><Relationship Id="rId59" Type="http://schemas.openxmlformats.org/officeDocument/2006/relationships/hyperlink" Target="https://www.audit-it.ru/finanaliz/terms/solvency/coefficient_of_autonomy.html" TargetMode="External"/><Relationship Id="rId124" Type="http://schemas.openxmlformats.org/officeDocument/2006/relationships/hyperlink" Target="http://vedkuzbass.ru/index.php/mezhdunarodnoe-i-mezhregionalnoe-sotrudnichestvo/itogived" TargetMode="External"/><Relationship Id="rId569" Type="http://schemas.openxmlformats.org/officeDocument/2006/relationships/hyperlink" Target="http://ru-ecology.info/post/104037401150002/" TargetMode="External"/><Relationship Id="rId776" Type="http://schemas.openxmlformats.org/officeDocument/2006/relationships/hyperlink" Target="https://thenextweb.com/insider/2017/03/14/5-ways-voice-search-will-affect-seo-2017/" TargetMode="External"/><Relationship Id="rId983" Type="http://schemas.openxmlformats.org/officeDocument/2006/relationships/hyperlink" Target="https://hi-news.ru/eto-interesno/video-roboty-pomogayushhie-uchyonym-nablyudat-za-dikoj-prirodoj.html%20-%20Hi-news.ru" TargetMode="External"/><Relationship Id="rId1199" Type="http://schemas.openxmlformats.org/officeDocument/2006/relationships/hyperlink" Target="http://biz.a42.ru/lenta/show/201606031656-vnesla-li-politika-importozamescheniya-suschestvennyie-izmeneniya-v-kuzbasskoy-ekonomike.html" TargetMode="External"/><Relationship Id="rId331" Type="http://schemas.openxmlformats.org/officeDocument/2006/relationships/hyperlink" Target="https://vk.com/away.php?to=http%3A%2F%2Fwww.nalog.gov.by%2Fru%2Fkrupnie-platelschiki%2Fview%2Fob-uchastii-krupnyx-platelschikov-v-formirovanii-doxodov-bjudzheta-za-2015-god-21637%2F&amp;cc_key=" TargetMode="External"/><Relationship Id="rId429" Type="http://schemas.openxmlformats.org/officeDocument/2006/relationships/hyperlink" Target="http://www.belstat.gov.by/ofitsialnaya-statistika/makroekonomika-i-okruzhayushchaya-sreda/osnovnye-pokazateli/osnovnye-sotsialno-ekonomicheskie-pokazateli-po-respublike-belarus-oblastyam-i-g-minsku-v-yanvare-20/" TargetMode="External"/><Relationship Id="rId636" Type="http://schemas.openxmlformats.org/officeDocument/2006/relationships/hyperlink" Target="https://ru.wikipedia.org/wiki/&#1057;&#1080;&#1089;&#1090;&#1077;&#1084;&#1072;_&#1091;&#1087;&#1088;&#1072;&#1074;&#1083;&#1077;&#1085;&#1080;&#1103;_&#1074;&#1079;&#1072;&#1080;&#1084;&#1086;&#1086;&#1090;&#1085;&#1086;&#1096;&#1077;&#1085;&#1080;&#1103;&#1084;&#1080;_&#1089;_&#1082;&#1083;&#1080;&#1077;&#1090;&#1072;&#1084;&#1080;" TargetMode="External"/><Relationship Id="rId1059" Type="http://schemas.openxmlformats.org/officeDocument/2006/relationships/hyperlink" Target="http://zakonbase.ru/content/base/241/" TargetMode="External"/><Relationship Id="rId1266" Type="http://schemas.openxmlformats.org/officeDocument/2006/relationships/hyperlink" Target="https://ru.wikipedia.org/wiki/%D0%91%D0%B5%D0%B7%D1%80%D0%B0%D0%B1%D0%BE%D1%82%D0%B8%D1%86%D0%B0"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s>
</file>

<file path=word/_rels/header7.xml.rels><?xml version="1.0" encoding="UTF-8" standalone="yes"?>
<Relationships xmlns="http://schemas.openxmlformats.org/package/2006/relationships"><Relationship Id="rId1" Type="http://schemas.openxmlformats.org/officeDocument/2006/relationships/image" Target="media/image7.png"/></Relationships>
</file>

<file path=word/_rels/header8.xml.rels><?xml version="1.0" encoding="UTF-8" standalone="yes"?>
<Relationships xmlns="http://schemas.openxmlformats.org/package/2006/relationships"><Relationship Id="rId1" Type="http://schemas.openxmlformats.org/officeDocument/2006/relationships/image" Target="media/image7.png"/></Relationships>
</file>

<file path=word/_rels/header9.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567</Pages>
  <Words>197889</Words>
  <Characters>1127968</Characters>
  <Application>Microsoft Office Word</Application>
  <DocSecurity>0</DocSecurity>
  <Lines>9399</Lines>
  <Paragraphs>2646</Paragraphs>
  <ScaleCrop>false</ScaleCrop>
  <Company/>
  <LinksUpToDate>false</LinksUpToDate>
  <CharactersWithSpaces>1323211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 Дорошенко</dc:creator>
  <cp:keywords/>
  <cp:lastModifiedBy>Екатерина Дорошенко</cp:lastModifiedBy>
  <cp:revision>3</cp:revision>
  <dcterms:created xsi:type="dcterms:W3CDTF">2018-05-23T08:59:00Z</dcterms:created>
  <dcterms:modified xsi:type="dcterms:W3CDTF">2018-05-23T09:03:00Z</dcterms:modified>
</cp:coreProperties>
</file>